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79E8" w:rsidR="000215F0" w:rsidP="000215F0" w:rsidRDefault="000215F0" w14:paraId="76815E7C" w14:textId="73FFEA8B">
      <w:pPr>
        <w:tabs>
          <w:tab w:val="left" w:pos="3119"/>
        </w:tabs>
        <w:rPr>
          <w:rFonts w:cs="Arial"/>
          <w:b/>
          <w:sz w:val="18"/>
          <w:szCs w:val="18"/>
        </w:rPr>
      </w:pPr>
      <w:r>
        <w:rPr>
          <w:rFonts w:cs="Arial"/>
          <w:b/>
          <w:spacing w:val="-7"/>
          <w:sz w:val="18"/>
          <w:szCs w:val="18"/>
        </w:rPr>
        <w:t>T</w:t>
      </w:r>
      <w:r w:rsidRPr="006279E8">
        <w:rPr>
          <w:rFonts w:cs="Arial"/>
          <w:b/>
          <w:spacing w:val="-7"/>
          <w:sz w:val="18"/>
          <w:szCs w:val="18"/>
        </w:rPr>
        <w:t xml:space="preserve">HIS DOCUMENT IS IMPORTANT AND REQUIRES YOUR IMMEDIATE ATTENTION. If you are in any doubt </w:t>
      </w:r>
      <w:r w:rsidRPr="006279E8">
        <w:rPr>
          <w:rFonts w:cs="Arial"/>
          <w:b/>
          <w:sz w:val="18"/>
          <w:szCs w:val="18"/>
        </w:rPr>
        <w:t>about the action you should take, you are recommended to seek your own financial advice immediately from an independent financial adviser who is authorised under the Financial Services and Markets Act 2000 (as amended) (</w:t>
      </w:r>
      <w:r w:rsidRPr="006279E8">
        <w:rPr>
          <w:rFonts w:cs="Arial"/>
          <w:sz w:val="18"/>
          <w:szCs w:val="18"/>
        </w:rPr>
        <w:t>"</w:t>
      </w:r>
      <w:r w:rsidRPr="006279E8">
        <w:rPr>
          <w:rFonts w:cs="Arial"/>
          <w:b/>
          <w:sz w:val="18"/>
          <w:szCs w:val="18"/>
        </w:rPr>
        <w:t>FSMA</w:t>
      </w:r>
      <w:r w:rsidRPr="006279E8">
        <w:rPr>
          <w:rFonts w:cs="Arial"/>
          <w:sz w:val="18"/>
          <w:szCs w:val="18"/>
        </w:rPr>
        <w:t>"</w:t>
      </w:r>
      <w:r w:rsidRPr="006279E8">
        <w:rPr>
          <w:rFonts w:cs="Arial"/>
          <w:b/>
          <w:sz w:val="18"/>
          <w:szCs w:val="18"/>
        </w:rPr>
        <w:t>) if you are in the United Kingdom, or from another appropriately authorised independent financial adviser if you are in a territory outside the United Kingdom.</w:t>
      </w:r>
    </w:p>
    <w:p w:rsidRPr="006279E8" w:rsidR="000215F0" w:rsidP="000215F0" w:rsidRDefault="000215F0" w14:paraId="5C12C031" w14:textId="035D1CF8">
      <w:pPr>
        <w:rPr>
          <w:rFonts w:cs="Arial"/>
          <w:sz w:val="18"/>
          <w:szCs w:val="18"/>
        </w:rPr>
      </w:pPr>
      <w:r w:rsidRPr="006279E8">
        <w:rPr>
          <w:rFonts w:cs="Arial"/>
          <w:sz w:val="18"/>
          <w:szCs w:val="18"/>
        </w:rPr>
        <w:t xml:space="preserve">This document, which comprises a prospectus relating to </w:t>
      </w:r>
      <w:r>
        <w:rPr>
          <w:rFonts w:cs="Arial"/>
          <w:sz w:val="18"/>
          <w:szCs w:val="18"/>
        </w:rPr>
        <w:t>A</w:t>
      </w:r>
      <w:r w:rsidR="00926E16">
        <w:rPr>
          <w:rFonts w:cs="Arial"/>
          <w:sz w:val="18"/>
          <w:szCs w:val="18"/>
        </w:rPr>
        <w:t>chilles Investment Company</w:t>
      </w:r>
      <w:r>
        <w:rPr>
          <w:rFonts w:cs="Arial"/>
          <w:sz w:val="18"/>
          <w:szCs w:val="18"/>
        </w:rPr>
        <w:t xml:space="preserve"> Limited</w:t>
      </w:r>
      <w:r w:rsidRPr="006279E8">
        <w:rPr>
          <w:rFonts w:cs="Arial"/>
          <w:sz w:val="18"/>
          <w:szCs w:val="18"/>
        </w:rPr>
        <w:t xml:space="preserve"> (the "</w:t>
      </w:r>
      <w:r w:rsidRPr="006279E8">
        <w:rPr>
          <w:rFonts w:cs="Arial"/>
          <w:b/>
          <w:sz w:val="18"/>
          <w:szCs w:val="18"/>
        </w:rPr>
        <w:t>Company</w:t>
      </w:r>
      <w:r w:rsidRPr="006279E8">
        <w:rPr>
          <w:rFonts w:cs="Arial"/>
          <w:sz w:val="18"/>
          <w:szCs w:val="18"/>
        </w:rPr>
        <w:t>")</w:t>
      </w:r>
      <w:r>
        <w:rPr>
          <w:rFonts w:cs="Arial"/>
          <w:sz w:val="18"/>
          <w:szCs w:val="18"/>
        </w:rPr>
        <w:t>,</w:t>
      </w:r>
      <w:r w:rsidRPr="006279E8">
        <w:rPr>
          <w:rFonts w:cs="Arial"/>
          <w:sz w:val="18"/>
          <w:szCs w:val="18"/>
        </w:rPr>
        <w:t xml:space="preserve"> has been approved by the Financial Conduct Authority (the "</w:t>
      </w:r>
      <w:r w:rsidRPr="006279E8">
        <w:rPr>
          <w:rFonts w:cs="Arial"/>
          <w:b/>
          <w:sz w:val="18"/>
          <w:szCs w:val="18"/>
        </w:rPr>
        <w:t>FCA</w:t>
      </w:r>
      <w:r w:rsidRPr="006279E8">
        <w:rPr>
          <w:rFonts w:cs="Arial"/>
          <w:sz w:val="18"/>
          <w:szCs w:val="18"/>
        </w:rPr>
        <w:t xml:space="preserve">") under </w:t>
      </w:r>
      <w:r w:rsidRPr="00741F7B">
        <w:rPr>
          <w:rFonts w:cs="Arial"/>
          <w:sz w:val="18"/>
          <w:szCs w:val="18"/>
        </w:rPr>
        <w:t>the UK version of Regulation (EU) 2017/1129 of the European Parliament and of the Council of 14 June 2017 on the prospectus to be published when securities are offered to the public or admitted to trading on a regulated market, and repealing Directive 2003/71/EC, which is part of UK law by virtue of the European Union (Withdrawal) Act 2018, as amended by The Prospectus (Amendment, etc) (EU Exit) Regulations 2019</w:t>
      </w:r>
      <w:r w:rsidRPr="006279E8">
        <w:rPr>
          <w:rFonts w:cs="Arial"/>
          <w:sz w:val="18"/>
          <w:szCs w:val="18"/>
        </w:rPr>
        <w:t xml:space="preserve"> </w:t>
      </w:r>
      <w:r>
        <w:rPr>
          <w:rFonts w:cs="Arial"/>
          <w:sz w:val="18"/>
          <w:szCs w:val="18"/>
        </w:rPr>
        <w:t>(the "</w:t>
      </w:r>
      <w:r w:rsidRPr="005A2935">
        <w:rPr>
          <w:rFonts w:cs="Arial"/>
          <w:b/>
          <w:sz w:val="18"/>
          <w:szCs w:val="18"/>
        </w:rPr>
        <w:t>Prospectus Regulation</w:t>
      </w:r>
      <w:r>
        <w:rPr>
          <w:rFonts w:cs="Arial"/>
          <w:sz w:val="18"/>
          <w:szCs w:val="18"/>
        </w:rPr>
        <w:t xml:space="preserve">") </w:t>
      </w:r>
      <w:r w:rsidRPr="006279E8">
        <w:rPr>
          <w:rFonts w:cs="Arial"/>
          <w:sz w:val="18"/>
          <w:szCs w:val="18"/>
        </w:rPr>
        <w:t xml:space="preserve">and has been delivered to the FCA in accordance with Rule 3.2 of the Prospectus Regulation Rules. This document has been made available to the public as required by the Prospectus Regulation Rules. </w:t>
      </w:r>
    </w:p>
    <w:p w:rsidRPr="006279E8" w:rsidR="000215F0" w:rsidP="000215F0" w:rsidRDefault="000215F0" w14:paraId="56640F76" w14:textId="3011CCC6">
      <w:pPr>
        <w:rPr>
          <w:rFonts w:cs="Arial"/>
          <w:sz w:val="18"/>
          <w:szCs w:val="18"/>
        </w:rPr>
      </w:pPr>
      <w:bookmarkStart w:name="_Hlk184280524" w:id="0"/>
      <w:r w:rsidRPr="006279E8">
        <w:rPr>
          <w:rFonts w:cs="Arial"/>
          <w:sz w:val="18"/>
          <w:szCs w:val="18"/>
        </w:rPr>
        <w:t xml:space="preserve">This document has been approved by the FCA of 12 Endeavour Square, London E20 1JN, as the competent authority under the Prospectus Regulation. Contact information relating to the FCA can be found at </w:t>
      </w:r>
      <w:r w:rsidRPr="006279E8">
        <w:rPr>
          <w:rFonts w:cs="Arial"/>
          <w:sz w:val="18"/>
          <w:szCs w:val="18"/>
          <w:u w:val="single"/>
        </w:rPr>
        <w:t>http://www.fca.org.uk/contact</w:t>
      </w:r>
      <w:bookmarkEnd w:id="0"/>
      <w:r w:rsidRPr="006279E8">
        <w:rPr>
          <w:rFonts w:cs="Arial"/>
          <w:sz w:val="18"/>
          <w:szCs w:val="18"/>
        </w:rPr>
        <w:t>.</w:t>
      </w:r>
    </w:p>
    <w:p w:rsidRPr="006279E8" w:rsidR="000215F0" w:rsidP="000215F0" w:rsidRDefault="000215F0" w14:paraId="57B1FEC7" w14:textId="38D29A5B">
      <w:pPr>
        <w:rPr>
          <w:rFonts w:cs="Arial"/>
          <w:sz w:val="18"/>
          <w:szCs w:val="18"/>
        </w:rPr>
      </w:pPr>
      <w:r w:rsidRPr="006279E8">
        <w:rPr>
          <w:rFonts w:cs="Arial"/>
          <w:sz w:val="18"/>
          <w:szCs w:val="18"/>
        </w:rPr>
        <w:t xml:space="preserve">The FCA only approves this document as meeting the standards of completeness, comprehensibility and consistency imposed by the Prospectus Regulation. Such approval should not be considered as an endorsement of the Company or the quality of the securities that are the subject of this document.  Investors should make their own assessment as to the suitability of investing in </w:t>
      </w:r>
      <w:r w:rsidR="00623355">
        <w:rPr>
          <w:rFonts w:cs="Arial"/>
          <w:sz w:val="18"/>
          <w:szCs w:val="18"/>
        </w:rPr>
        <w:t xml:space="preserve">the </w:t>
      </w:r>
      <w:r w:rsidRPr="006279E8">
        <w:rPr>
          <w:rFonts w:cs="Arial"/>
          <w:sz w:val="18"/>
          <w:szCs w:val="18"/>
        </w:rPr>
        <w:t xml:space="preserve">securities.  </w:t>
      </w:r>
    </w:p>
    <w:p w:rsidRPr="006279E8" w:rsidR="000215F0" w:rsidP="000215F0" w:rsidRDefault="00623355" w14:paraId="6287FB1F" w14:textId="2BADE007">
      <w:pPr>
        <w:rPr>
          <w:rFonts w:cs="Arial"/>
          <w:sz w:val="18"/>
          <w:szCs w:val="18"/>
        </w:rPr>
      </w:pPr>
      <w:bookmarkStart w:name="_Hlk184280586" w:id="1"/>
      <w:r>
        <w:rPr>
          <w:rFonts w:cs="Arial"/>
          <w:b/>
          <w:sz w:val="18"/>
          <w:szCs w:val="18"/>
        </w:rPr>
        <w:t xml:space="preserve">Application </w:t>
      </w:r>
      <w:r w:rsidR="004177A2">
        <w:rPr>
          <w:rFonts w:cs="Arial"/>
          <w:b/>
          <w:sz w:val="18"/>
          <w:szCs w:val="18"/>
        </w:rPr>
        <w:t>has been</w:t>
      </w:r>
      <w:r>
        <w:rPr>
          <w:rFonts w:cs="Arial"/>
          <w:b/>
          <w:sz w:val="18"/>
          <w:szCs w:val="18"/>
        </w:rPr>
        <w:t xml:space="preserve"> made for t</w:t>
      </w:r>
      <w:r w:rsidRPr="006279E8" w:rsidR="000215F0">
        <w:rPr>
          <w:rFonts w:cs="Arial"/>
          <w:b/>
          <w:sz w:val="18"/>
          <w:szCs w:val="18"/>
        </w:rPr>
        <w:t xml:space="preserve">he </w:t>
      </w:r>
      <w:r w:rsidR="006873BD">
        <w:rPr>
          <w:rFonts w:cs="Arial"/>
          <w:b/>
          <w:sz w:val="18"/>
          <w:szCs w:val="18"/>
        </w:rPr>
        <w:t>Ordinary Shares</w:t>
      </w:r>
      <w:r>
        <w:rPr>
          <w:rFonts w:cs="Arial"/>
          <w:b/>
          <w:sz w:val="18"/>
          <w:szCs w:val="18"/>
        </w:rPr>
        <w:t xml:space="preserve"> </w:t>
      </w:r>
      <w:r w:rsidR="00E54035">
        <w:rPr>
          <w:rFonts w:cs="Arial"/>
          <w:b/>
          <w:sz w:val="18"/>
          <w:szCs w:val="18"/>
        </w:rPr>
        <w:t xml:space="preserve">(issued and to be issued) </w:t>
      </w:r>
      <w:r>
        <w:rPr>
          <w:rFonts w:cs="Arial"/>
          <w:b/>
          <w:sz w:val="18"/>
          <w:szCs w:val="18"/>
        </w:rPr>
        <w:t>to</w:t>
      </w:r>
      <w:r w:rsidRPr="006279E8" w:rsidR="000215F0">
        <w:rPr>
          <w:rFonts w:cs="Arial"/>
          <w:b/>
          <w:sz w:val="18"/>
          <w:szCs w:val="18"/>
        </w:rPr>
        <w:t xml:space="preserve"> be admitted to the Specialist Fund Segment, which is intended for institutional, professional, professionally advised and knowledgeable investors who understand, or who have been advised of, the potential risk from investing in companies admitted to the Specialist Fund Segment. The Specialist Fund Segment is only suitable for investors: (</w:t>
      </w:r>
      <w:proofErr w:type="spellStart"/>
      <w:r w:rsidRPr="006279E8" w:rsidR="000215F0">
        <w:rPr>
          <w:rFonts w:cs="Arial"/>
          <w:b/>
          <w:sz w:val="18"/>
          <w:szCs w:val="18"/>
        </w:rPr>
        <w:t>i</w:t>
      </w:r>
      <w:proofErr w:type="spellEnd"/>
      <w:r w:rsidRPr="006279E8" w:rsidR="000215F0">
        <w:rPr>
          <w:rFonts w:cs="Arial"/>
          <w:b/>
          <w:sz w:val="18"/>
          <w:szCs w:val="18"/>
        </w:rPr>
        <w:t xml:space="preserve">) who understand the potential risk of capital loss and that there may be limited liquidity in the underlying investments of the Company; (ii) for whom an investment in securities admitted to trading on the Specialist Fund Segment is part of a diversified investment programme; and (iii) who fully understand and are willing to assume the risks involved in such an investment portfolio. It should be remembered that the price of the </w:t>
      </w:r>
      <w:r w:rsidR="006873BD">
        <w:rPr>
          <w:rFonts w:cs="Arial"/>
          <w:b/>
          <w:sz w:val="18"/>
          <w:szCs w:val="18"/>
        </w:rPr>
        <w:t>Ordinary Shares</w:t>
      </w:r>
      <w:r w:rsidRPr="006279E8" w:rsidR="000215F0">
        <w:rPr>
          <w:rFonts w:cs="Arial"/>
          <w:b/>
          <w:sz w:val="18"/>
          <w:szCs w:val="18"/>
        </w:rPr>
        <w:t xml:space="preserve"> can go down as well as up.</w:t>
      </w:r>
    </w:p>
    <w:bookmarkEnd w:id="1"/>
    <w:p w:rsidRPr="006279E8" w:rsidR="000215F0" w:rsidP="000215F0" w:rsidRDefault="000215F0" w14:paraId="15B9C482" w14:textId="5AA7111D">
      <w:pPr>
        <w:rPr>
          <w:rFonts w:cs="Arial"/>
          <w:sz w:val="18"/>
          <w:szCs w:val="18"/>
        </w:rPr>
      </w:pPr>
      <w:r w:rsidRPr="006279E8">
        <w:rPr>
          <w:rFonts w:cs="Arial"/>
          <w:sz w:val="18"/>
          <w:szCs w:val="18"/>
        </w:rPr>
        <w:t xml:space="preserve">Application </w:t>
      </w:r>
      <w:r w:rsidR="004177A2">
        <w:rPr>
          <w:rFonts w:cs="Arial"/>
          <w:sz w:val="18"/>
          <w:szCs w:val="18"/>
        </w:rPr>
        <w:t>has been</w:t>
      </w:r>
      <w:r w:rsidRPr="006279E8">
        <w:rPr>
          <w:rFonts w:cs="Arial"/>
          <w:sz w:val="18"/>
          <w:szCs w:val="18"/>
        </w:rPr>
        <w:t xml:space="preserve"> made to the London Stock Exchange for all of the Ordinary Shares (issued and to be issued) in connection with the </w:t>
      </w:r>
      <w:r>
        <w:rPr>
          <w:rFonts w:cs="Arial"/>
          <w:sz w:val="18"/>
          <w:szCs w:val="18"/>
        </w:rPr>
        <w:t xml:space="preserve">Initial </w:t>
      </w:r>
      <w:r w:rsidR="00926E16">
        <w:rPr>
          <w:rFonts w:cs="Arial"/>
          <w:sz w:val="18"/>
          <w:szCs w:val="18"/>
        </w:rPr>
        <w:t>Placing</w:t>
      </w:r>
      <w:r w:rsidRPr="006279E8">
        <w:rPr>
          <w:rFonts w:cs="Arial"/>
          <w:sz w:val="18"/>
          <w:szCs w:val="18"/>
        </w:rPr>
        <w:t xml:space="preserve"> to be admitted to trading on the Specialist Fund Segment. </w:t>
      </w:r>
      <w:r>
        <w:rPr>
          <w:rFonts w:cs="Arial"/>
          <w:sz w:val="18"/>
          <w:szCs w:val="18"/>
        </w:rPr>
        <w:t xml:space="preserve">Applications will be made for all of the </w:t>
      </w:r>
      <w:r w:rsidR="006873BD">
        <w:rPr>
          <w:rFonts w:cs="Arial"/>
          <w:sz w:val="18"/>
          <w:szCs w:val="18"/>
        </w:rPr>
        <w:t>Ordinary Shares</w:t>
      </w:r>
      <w:r>
        <w:rPr>
          <w:rFonts w:cs="Arial"/>
          <w:sz w:val="18"/>
          <w:szCs w:val="18"/>
        </w:rPr>
        <w:t xml:space="preserve"> issued pursuant to each Subsequent Placing under the Placing Programme to be admitted to trading on the Specialist Fund Segment. </w:t>
      </w:r>
      <w:r w:rsidRPr="006279E8">
        <w:rPr>
          <w:rFonts w:cs="Arial"/>
          <w:sz w:val="18"/>
          <w:szCs w:val="18"/>
        </w:rPr>
        <w:t xml:space="preserve">It is expected that </w:t>
      </w:r>
      <w:r>
        <w:rPr>
          <w:rFonts w:cs="Arial"/>
          <w:sz w:val="18"/>
          <w:szCs w:val="18"/>
        </w:rPr>
        <w:t xml:space="preserve">Initial </w:t>
      </w:r>
      <w:r w:rsidRPr="006279E8">
        <w:rPr>
          <w:rFonts w:cs="Arial"/>
          <w:sz w:val="18"/>
          <w:szCs w:val="18"/>
        </w:rPr>
        <w:t>Admission will become effective and that unconditional dealings will commence in the Ordinary Shares</w:t>
      </w:r>
      <w:r>
        <w:rPr>
          <w:rFonts w:cs="Arial"/>
          <w:sz w:val="18"/>
          <w:szCs w:val="18"/>
        </w:rPr>
        <w:t xml:space="preserve"> at 8.00 a.m. on </w:t>
      </w:r>
      <w:r w:rsidR="007D3786">
        <w:rPr>
          <w:rFonts w:cs="Arial"/>
          <w:sz w:val="18"/>
          <w:szCs w:val="18"/>
        </w:rPr>
        <w:t>25</w:t>
      </w:r>
      <w:r w:rsidR="004177A2">
        <w:rPr>
          <w:rFonts w:cs="Arial"/>
          <w:sz w:val="18"/>
          <w:szCs w:val="18"/>
        </w:rPr>
        <w:t xml:space="preserve"> </w:t>
      </w:r>
      <w:r w:rsidR="004F0EF4">
        <w:rPr>
          <w:rFonts w:cs="Arial"/>
          <w:sz w:val="18"/>
          <w:szCs w:val="18"/>
        </w:rPr>
        <w:t xml:space="preserve">February </w:t>
      </w:r>
      <w:r>
        <w:rPr>
          <w:rFonts w:cs="Arial"/>
          <w:sz w:val="18"/>
          <w:szCs w:val="18"/>
        </w:rPr>
        <w:t>202</w:t>
      </w:r>
      <w:r w:rsidR="00926E16">
        <w:rPr>
          <w:rFonts w:cs="Arial"/>
          <w:sz w:val="18"/>
          <w:szCs w:val="18"/>
        </w:rPr>
        <w:t>5</w:t>
      </w:r>
      <w:r w:rsidRPr="006279E8">
        <w:rPr>
          <w:rFonts w:cs="Arial"/>
          <w:sz w:val="18"/>
          <w:szCs w:val="18"/>
        </w:rPr>
        <w:t xml:space="preserve">. </w:t>
      </w:r>
      <w:r>
        <w:rPr>
          <w:rFonts w:cs="Arial"/>
          <w:sz w:val="18"/>
          <w:szCs w:val="18"/>
        </w:rPr>
        <w:t xml:space="preserve">It is expected that Admission pursuant to Subsequent Placings under the Placing Programme will become effective and dealings will commence between </w:t>
      </w:r>
      <w:r w:rsidR="004177A2">
        <w:rPr>
          <w:rFonts w:cs="Arial"/>
          <w:sz w:val="18"/>
          <w:szCs w:val="18"/>
        </w:rPr>
        <w:t>2</w:t>
      </w:r>
      <w:r w:rsidR="007D3786">
        <w:rPr>
          <w:rFonts w:cs="Arial"/>
          <w:sz w:val="18"/>
          <w:szCs w:val="18"/>
        </w:rPr>
        <w:t>6</w:t>
      </w:r>
      <w:r>
        <w:rPr>
          <w:rFonts w:cs="Arial"/>
          <w:sz w:val="18"/>
          <w:szCs w:val="18"/>
        </w:rPr>
        <w:t xml:space="preserve"> </w:t>
      </w:r>
      <w:r w:rsidR="004F0EF4">
        <w:rPr>
          <w:rFonts w:cs="Arial"/>
          <w:sz w:val="18"/>
          <w:szCs w:val="18"/>
        </w:rPr>
        <w:t xml:space="preserve">February </w:t>
      </w:r>
      <w:r>
        <w:rPr>
          <w:rFonts w:cs="Arial"/>
          <w:sz w:val="18"/>
          <w:szCs w:val="18"/>
        </w:rPr>
        <w:t>202</w:t>
      </w:r>
      <w:r w:rsidR="00926E16">
        <w:rPr>
          <w:rFonts w:cs="Arial"/>
          <w:sz w:val="18"/>
          <w:szCs w:val="18"/>
        </w:rPr>
        <w:t>5</w:t>
      </w:r>
      <w:r>
        <w:rPr>
          <w:rFonts w:cs="Arial"/>
          <w:sz w:val="18"/>
          <w:szCs w:val="18"/>
        </w:rPr>
        <w:t xml:space="preserve"> and </w:t>
      </w:r>
      <w:r w:rsidR="004177A2">
        <w:rPr>
          <w:rFonts w:cs="Arial"/>
          <w:sz w:val="18"/>
          <w:szCs w:val="18"/>
        </w:rPr>
        <w:t>1</w:t>
      </w:r>
      <w:r w:rsidR="007D3786">
        <w:rPr>
          <w:rFonts w:cs="Arial"/>
          <w:sz w:val="18"/>
          <w:szCs w:val="18"/>
        </w:rPr>
        <w:t>9</w:t>
      </w:r>
      <w:r w:rsidR="004177A2">
        <w:rPr>
          <w:rFonts w:cs="Arial"/>
          <w:sz w:val="18"/>
          <w:szCs w:val="18"/>
        </w:rPr>
        <w:t xml:space="preserve"> </w:t>
      </w:r>
      <w:r w:rsidR="004F0EF4">
        <w:rPr>
          <w:rFonts w:cs="Arial"/>
          <w:sz w:val="18"/>
          <w:szCs w:val="18"/>
        </w:rPr>
        <w:t xml:space="preserve">February </w:t>
      </w:r>
      <w:r>
        <w:rPr>
          <w:rFonts w:cs="Arial"/>
          <w:sz w:val="18"/>
          <w:szCs w:val="18"/>
        </w:rPr>
        <w:t>202</w:t>
      </w:r>
      <w:r w:rsidR="00926E16">
        <w:rPr>
          <w:rFonts w:cs="Arial"/>
          <w:sz w:val="18"/>
          <w:szCs w:val="18"/>
        </w:rPr>
        <w:t>6</w:t>
      </w:r>
      <w:r>
        <w:rPr>
          <w:rFonts w:cs="Arial"/>
          <w:sz w:val="18"/>
          <w:szCs w:val="18"/>
        </w:rPr>
        <w:t xml:space="preserve">. </w:t>
      </w:r>
      <w:r w:rsidRPr="006279E8">
        <w:rPr>
          <w:rFonts w:cs="Arial"/>
          <w:sz w:val="18"/>
          <w:szCs w:val="18"/>
        </w:rPr>
        <w:t xml:space="preserve">No application has been made or is currently intended to be made for the </w:t>
      </w:r>
      <w:r w:rsidR="006873BD">
        <w:rPr>
          <w:rFonts w:cs="Arial"/>
          <w:sz w:val="18"/>
          <w:szCs w:val="18"/>
        </w:rPr>
        <w:t>Ordinary Shares</w:t>
      </w:r>
      <w:r w:rsidRPr="006279E8">
        <w:rPr>
          <w:rFonts w:cs="Arial"/>
          <w:sz w:val="18"/>
          <w:szCs w:val="18"/>
        </w:rPr>
        <w:t xml:space="preserve"> to be admitted to listing or trading on any other stock exchange.</w:t>
      </w:r>
    </w:p>
    <w:p w:rsidR="00926E16" w:rsidP="0043344E" w:rsidRDefault="0043344E" w14:paraId="5DC4476F" w14:textId="5C680F01">
      <w:pPr>
        <w:pBdr>
          <w:top w:val="single" w:color="auto" w:sz="4" w:space="16"/>
          <w:bottom w:val="single" w:color="auto" w:sz="4" w:space="1"/>
        </w:pBdr>
        <w:spacing w:after="0"/>
        <w:jc w:val="center"/>
        <w:rPr>
          <w:rFonts w:cs="Arial"/>
          <w:b/>
          <w:sz w:val="31"/>
          <w:szCs w:val="31"/>
        </w:rPr>
      </w:pPr>
      <w:r w:rsidRPr="00201D4D">
        <w:rPr>
          <w:rFonts w:cstheme="minorHAnsi"/>
          <w:noProof/>
        </w:rPr>
        <w:drawing>
          <wp:inline distT="0" distB="0" distL="0" distR="0" wp14:anchorId="3B4F3461" wp14:editId="751F66DA">
            <wp:extent cx="533400" cy="817277"/>
            <wp:effectExtent l="0" t="0" r="0" b="1905"/>
            <wp:docPr id="2092125214" name="Picture 8" descr="A logo of a helmet&#10;&#10;Description automatically generated">
              <a:extLst xmlns:a="http://schemas.openxmlformats.org/drawingml/2006/main">
                <a:ext uri="{FF2B5EF4-FFF2-40B4-BE49-F238E27FC236}">
                  <a16:creationId xmlns:a16="http://schemas.microsoft.com/office/drawing/2014/main" id="{11E403E7-1664-51DE-A2A2-3892240499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25214" name="Picture 8" descr="A logo of a helmet&#10;&#10;Description automatically generated">
                      <a:extLst>
                        <a:ext uri="{FF2B5EF4-FFF2-40B4-BE49-F238E27FC236}">
                          <a16:creationId xmlns:a16="http://schemas.microsoft.com/office/drawing/2014/main" id="{11E403E7-1664-51DE-A2A2-3892240499C4}"/>
                        </a:ext>
                      </a:extLst>
                    </pic:cNvPr>
                    <pic:cNvPicPr>
                      <a:picLocks noChangeAspect="1"/>
                    </pic:cNvPicPr>
                  </pic:nvPicPr>
                  <pic:blipFill>
                    <a:blip r:embed="rId8"/>
                    <a:stretch>
                      <a:fillRect/>
                    </a:stretch>
                  </pic:blipFill>
                  <pic:spPr>
                    <a:xfrm>
                      <a:off x="0" y="0"/>
                      <a:ext cx="535130" cy="819928"/>
                    </a:xfrm>
                    <a:prstGeom prst="rect">
                      <a:avLst/>
                    </a:prstGeom>
                  </pic:spPr>
                </pic:pic>
              </a:graphicData>
            </a:graphic>
          </wp:inline>
        </w:drawing>
      </w:r>
    </w:p>
    <w:p w:rsidRPr="00CA37A2" w:rsidR="000215F0" w:rsidP="000215F0" w:rsidRDefault="000215F0" w14:paraId="12B46674" w14:textId="5CEA6B84">
      <w:pPr>
        <w:pBdr>
          <w:top w:val="single" w:color="auto" w:sz="4" w:space="16"/>
          <w:bottom w:val="single" w:color="auto" w:sz="4" w:space="1"/>
        </w:pBdr>
        <w:spacing w:after="0"/>
        <w:jc w:val="center"/>
        <w:rPr>
          <w:rFonts w:cs="Arial"/>
          <w:b/>
          <w:w w:val="113"/>
          <w:sz w:val="28"/>
          <w:szCs w:val="28"/>
        </w:rPr>
      </w:pPr>
      <w:r w:rsidRPr="00CA37A2">
        <w:rPr>
          <w:rFonts w:cs="Arial"/>
          <w:b/>
          <w:noProof/>
          <w:spacing w:val="-7"/>
          <w:sz w:val="28"/>
          <w:szCs w:val="28"/>
        </w:rPr>
        <mc:AlternateContent>
          <mc:Choice Requires="wps">
            <w:drawing>
              <wp:anchor distT="0" distB="0" distL="114300" distR="114300" simplePos="0" relativeHeight="251927552" behindDoc="0" locked="0" layoutInCell="1" allowOverlap="1" wp14:editId="282B8D3B" wp14:anchorId="374B3072">
                <wp:simplePos x="0" y="0"/>
                <wp:positionH relativeFrom="column">
                  <wp:posOffset>6032633</wp:posOffset>
                </wp:positionH>
                <wp:positionV relativeFrom="paragraph">
                  <wp:posOffset>37767</wp:posOffset>
                </wp:positionV>
                <wp:extent cx="459465" cy="2142699"/>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65" cy="21426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A1569" w:rsidR="008026CE" w:rsidP="000215F0" w:rsidRDefault="008026CE" w14:paraId="694F1F6D" w14:textId="77777777">
                            <w:pPr>
                              <w:jc w:val="lef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74B3072">
                <v:stroke joinstyle="miter"/>
                <v:path gradientshapeok="t" o:connecttype="rect"/>
              </v:shapetype>
              <v:shape id="Text Box 5" style="position:absolute;left:0;text-align:left;margin-left:475pt;margin-top:2.95pt;width:36.2pt;height:168.7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">
                <v:textbox>
                  <w:txbxContent>
                    <w:p w:rsidRPr="00CA1569" w:rsidR="008026CE" w:rsidP="000215F0" w:rsidRDefault="008026CE" w14:paraId="694F1F6D" w14:textId="77777777">
                      <w:pPr>
                        <w:jc w:val="left"/>
                        <w:rPr>
                          <w:sz w:val="16"/>
                          <w:szCs w:val="16"/>
                        </w:rPr>
                      </w:pPr>
                    </w:p>
                  </w:txbxContent>
                </v:textbox>
              </v:shape>
            </w:pict>
          </mc:Fallback>
        </mc:AlternateContent>
      </w:r>
      <w:r w:rsidRPr="00CA37A2" w:rsidR="00351EA8">
        <w:rPr>
          <w:rFonts w:cs="Arial"/>
          <w:b/>
          <w:sz w:val="28"/>
          <w:szCs w:val="28"/>
        </w:rPr>
        <w:t>A</w:t>
      </w:r>
      <w:r w:rsidRPr="00CA37A2" w:rsidR="00926E16">
        <w:rPr>
          <w:rFonts w:cs="Arial"/>
          <w:b/>
          <w:sz w:val="28"/>
          <w:szCs w:val="28"/>
        </w:rPr>
        <w:t>CHILLES INVESTMENT COMPANY</w:t>
      </w:r>
      <w:r w:rsidRPr="00CA37A2">
        <w:rPr>
          <w:rFonts w:cs="Arial"/>
          <w:b/>
          <w:sz w:val="28"/>
          <w:szCs w:val="28"/>
        </w:rPr>
        <w:t xml:space="preserve"> LIMITED</w:t>
      </w:r>
    </w:p>
    <w:p w:rsidRPr="006279E8" w:rsidR="000215F0" w:rsidP="000215F0" w:rsidRDefault="000215F0" w14:paraId="2DCB1E99" w14:textId="020BFA07">
      <w:pPr>
        <w:pBdr>
          <w:top w:val="single" w:color="auto" w:sz="4" w:space="16"/>
          <w:bottom w:val="single" w:color="auto" w:sz="4" w:space="1"/>
        </w:pBdr>
        <w:jc w:val="center"/>
        <w:rPr>
          <w:rFonts w:cs="Arial"/>
          <w:i/>
          <w:iCs/>
          <w:sz w:val="16"/>
          <w:szCs w:val="16"/>
        </w:rPr>
      </w:pPr>
      <w:r w:rsidRPr="000C0D70">
        <w:rPr>
          <w:rFonts w:cs="Arial"/>
          <w:i/>
          <w:iCs/>
          <w:sz w:val="16"/>
          <w:szCs w:val="16"/>
        </w:rPr>
        <w:t>(</w:t>
      </w:r>
      <w:bookmarkStart w:name="_Hlk184280652" w:id="2"/>
      <w:r w:rsidRPr="000C0D70">
        <w:rPr>
          <w:rFonts w:cs="Arial"/>
          <w:i/>
          <w:iCs/>
          <w:sz w:val="16"/>
          <w:szCs w:val="16"/>
        </w:rPr>
        <w:t xml:space="preserve">a </w:t>
      </w:r>
      <w:r>
        <w:rPr>
          <w:rFonts w:cs="Arial"/>
          <w:i/>
          <w:iCs/>
          <w:sz w:val="16"/>
          <w:szCs w:val="16"/>
        </w:rPr>
        <w:t xml:space="preserve">non-cellular </w:t>
      </w:r>
      <w:r w:rsidRPr="000C0D70">
        <w:rPr>
          <w:rFonts w:cs="Arial"/>
          <w:i/>
          <w:iCs/>
          <w:sz w:val="16"/>
          <w:szCs w:val="16"/>
        </w:rPr>
        <w:t>company limited by shares incorporated under the laws of G</w:t>
      </w:r>
      <w:r>
        <w:rPr>
          <w:rFonts w:cs="Arial"/>
          <w:i/>
          <w:iCs/>
          <w:sz w:val="16"/>
          <w:szCs w:val="16"/>
        </w:rPr>
        <w:t>uer</w:t>
      </w:r>
      <w:r w:rsidR="00890EBC">
        <w:rPr>
          <w:rFonts w:cs="Arial"/>
          <w:i/>
          <w:iCs/>
          <w:sz w:val="16"/>
          <w:szCs w:val="16"/>
        </w:rPr>
        <w:t xml:space="preserve">nsey with registered number </w:t>
      </w:r>
      <w:bookmarkStart w:name="_Hlk188897668" w:id="3"/>
      <w:r w:rsidRPr="00AE31CD" w:rsidR="00AE31CD">
        <w:rPr>
          <w:rFonts w:cs="Arial"/>
          <w:i/>
          <w:iCs/>
          <w:sz w:val="16"/>
          <w:szCs w:val="16"/>
        </w:rPr>
        <w:t>75109</w:t>
      </w:r>
      <w:r>
        <w:rPr>
          <w:rFonts w:cs="Arial"/>
          <w:i/>
          <w:iCs/>
          <w:sz w:val="16"/>
          <w:szCs w:val="16"/>
        </w:rPr>
        <w:t xml:space="preserve"> </w:t>
      </w:r>
      <w:bookmarkEnd w:id="3"/>
      <w:r>
        <w:rPr>
          <w:rFonts w:cs="Arial"/>
          <w:i/>
          <w:iCs/>
          <w:sz w:val="16"/>
          <w:szCs w:val="16"/>
        </w:rPr>
        <w:t>and registered</w:t>
      </w:r>
      <w:r w:rsidR="00FC05AC">
        <w:rPr>
          <w:rFonts w:cs="Arial"/>
          <w:i/>
          <w:iCs/>
          <w:sz w:val="16"/>
          <w:szCs w:val="16"/>
        </w:rPr>
        <w:t xml:space="preserve"> with the Guernsey Financial Services Commission</w:t>
      </w:r>
      <w:r>
        <w:rPr>
          <w:rFonts w:cs="Arial"/>
          <w:i/>
          <w:iCs/>
          <w:sz w:val="16"/>
          <w:szCs w:val="16"/>
        </w:rPr>
        <w:t xml:space="preserve"> as a registered closed-ended collective investment scheme</w:t>
      </w:r>
      <w:bookmarkEnd w:id="2"/>
      <w:r w:rsidRPr="000C0D70">
        <w:rPr>
          <w:rFonts w:cs="Arial"/>
          <w:i/>
          <w:iCs/>
          <w:sz w:val="16"/>
          <w:szCs w:val="16"/>
        </w:rPr>
        <w:t>)</w:t>
      </w:r>
      <w:r w:rsidRPr="006279E8">
        <w:rPr>
          <w:rFonts w:cs="Arial"/>
          <w:b/>
          <w:noProof/>
        </w:rPr>
        <w:t xml:space="preserve"> </w:t>
      </w:r>
    </w:p>
    <w:p w:rsidRPr="00CA37A2" w:rsidR="000215F0" w:rsidP="000215F0" w:rsidRDefault="000215F0" w14:paraId="64619EBC" w14:textId="3799887F">
      <w:pPr>
        <w:pBdr>
          <w:top w:val="single" w:color="auto" w:sz="4" w:space="16"/>
          <w:bottom w:val="single" w:color="auto" w:sz="4" w:space="1"/>
        </w:pBdr>
        <w:jc w:val="center"/>
        <w:rPr>
          <w:rFonts w:cs="Arial"/>
          <w:b/>
          <w:szCs w:val="20"/>
        </w:rPr>
      </w:pPr>
      <w:r w:rsidRPr="006279E8">
        <w:rPr>
          <w:rFonts w:cs="Arial"/>
          <w:b/>
          <w:sz w:val="22"/>
          <w:szCs w:val="22"/>
        </w:rPr>
        <w:t xml:space="preserve"> </w:t>
      </w:r>
      <w:bookmarkStart w:name="_Hlk190172098" w:id="4"/>
      <w:r w:rsidRPr="00CA37A2">
        <w:rPr>
          <w:rFonts w:cs="Arial"/>
          <w:b/>
          <w:szCs w:val="20"/>
        </w:rPr>
        <w:t xml:space="preserve">Initial Placing of </w:t>
      </w:r>
      <w:r w:rsidR="00893EA6">
        <w:rPr>
          <w:rFonts w:cs="Arial"/>
          <w:b/>
          <w:szCs w:val="20"/>
        </w:rPr>
        <w:t>54</w:t>
      </w:r>
      <w:r w:rsidRPr="00CA37A2">
        <w:rPr>
          <w:rFonts w:cs="Arial"/>
          <w:b/>
          <w:szCs w:val="20"/>
        </w:rPr>
        <w:t xml:space="preserve"> million Ordinary Shares </w:t>
      </w:r>
      <w:bookmarkEnd w:id="4"/>
      <w:r w:rsidRPr="00CA37A2">
        <w:rPr>
          <w:rFonts w:cs="Arial"/>
          <w:b/>
          <w:szCs w:val="20"/>
        </w:rPr>
        <w:t>at 100 pence per Ordinary Share</w:t>
      </w:r>
    </w:p>
    <w:p w:rsidRPr="00CA37A2" w:rsidR="000215F0" w:rsidP="000215F0" w:rsidRDefault="000215F0" w14:paraId="10137342" w14:textId="27C9D1EE">
      <w:pPr>
        <w:pBdr>
          <w:top w:val="single" w:color="auto" w:sz="4" w:space="16"/>
          <w:bottom w:val="single" w:color="auto" w:sz="4" w:space="1"/>
        </w:pBdr>
        <w:jc w:val="center"/>
        <w:rPr>
          <w:rFonts w:cs="Arial"/>
          <w:b/>
          <w:szCs w:val="20"/>
        </w:rPr>
      </w:pPr>
      <w:bookmarkStart w:name="_Hlk190172114" w:id="5"/>
      <w:bookmarkStart w:name="_Hlk190172106" w:id="6"/>
      <w:bookmarkStart w:name="_Hlk190422641" w:id="7"/>
      <w:r w:rsidRPr="00CA37A2">
        <w:rPr>
          <w:rFonts w:cs="Arial"/>
          <w:b/>
          <w:szCs w:val="20"/>
        </w:rPr>
        <w:t xml:space="preserve">Placing Programme for up to </w:t>
      </w:r>
      <w:r w:rsidRPr="00CA37A2" w:rsidR="00926E16">
        <w:rPr>
          <w:rFonts w:cs="Arial"/>
          <w:b/>
          <w:szCs w:val="20"/>
        </w:rPr>
        <w:t>150</w:t>
      </w:r>
      <w:r w:rsidRPr="00CA37A2">
        <w:rPr>
          <w:rFonts w:cs="Arial"/>
          <w:b/>
          <w:szCs w:val="20"/>
        </w:rPr>
        <w:t xml:space="preserve"> million </w:t>
      </w:r>
      <w:bookmarkEnd w:id="5"/>
      <w:r w:rsidRPr="00CA37A2">
        <w:rPr>
          <w:rFonts w:cs="Arial"/>
          <w:b/>
          <w:szCs w:val="20"/>
        </w:rPr>
        <w:t>Ordinary Shares</w:t>
      </w:r>
    </w:p>
    <w:bookmarkEnd w:id="6"/>
    <w:p w:rsidRPr="00CA37A2" w:rsidR="000215F0" w:rsidP="00CA37A2" w:rsidRDefault="000215F0" w14:paraId="5539601A" w14:textId="77777777">
      <w:pPr>
        <w:pBdr>
          <w:top w:val="single" w:color="auto" w:sz="4" w:space="16"/>
          <w:bottom w:val="single" w:color="auto" w:sz="4" w:space="1"/>
        </w:pBdr>
        <w:spacing w:after="0"/>
        <w:jc w:val="center"/>
        <w:rPr>
          <w:rFonts w:cs="Arial"/>
          <w:b/>
          <w:szCs w:val="20"/>
        </w:rPr>
      </w:pPr>
      <w:r w:rsidRPr="00CA37A2">
        <w:rPr>
          <w:rFonts w:cs="Arial"/>
          <w:b/>
          <w:szCs w:val="20"/>
        </w:rPr>
        <w:t>Admission to trading on the Specialist Fund Segment of the Main Market</w:t>
      </w:r>
    </w:p>
    <w:bookmarkEnd w:id="7"/>
    <w:p w:rsidRPr="006279E8" w:rsidR="000215F0" w:rsidP="000215F0" w:rsidRDefault="000215F0" w14:paraId="152896F8" w14:textId="77777777">
      <w:pPr>
        <w:pBdr>
          <w:top w:val="single" w:color="auto" w:sz="4" w:space="16"/>
          <w:bottom w:val="single" w:color="auto" w:sz="4" w:space="1"/>
        </w:pBdr>
        <w:jc w:val="center"/>
        <w:rPr>
          <w:rFonts w:cs="Arial"/>
          <w:b/>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44"/>
      </w:tblGrid>
      <w:tr w:rsidRPr="006279E8" w:rsidR="000215F0" w:rsidTr="000215F0" w14:paraId="5C935318" w14:textId="77777777">
        <w:trPr>
          <w:trHeight w:val="940"/>
        </w:trPr>
        <w:tc>
          <w:tcPr>
            <w:tcW w:w="9344" w:type="dxa"/>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4"/>
              <w:gridCol w:w="4564"/>
            </w:tblGrid>
            <w:tr w:rsidR="00CA37A2" w:rsidTr="00CA37A2" w14:paraId="173A9A74" w14:textId="77777777">
              <w:tc>
                <w:tcPr>
                  <w:tcW w:w="4564" w:type="dxa"/>
                </w:tcPr>
                <w:p w:rsidRPr="006279E8" w:rsidR="00CA37A2" w:rsidP="00CA37A2" w:rsidRDefault="00CA37A2" w14:paraId="6084D62F" w14:textId="77777777">
                  <w:pPr>
                    <w:jc w:val="center"/>
                    <w:rPr>
                      <w:rFonts w:cs="Arial"/>
                      <w:b/>
                    </w:rPr>
                  </w:pPr>
                  <w:r w:rsidRPr="006279E8">
                    <w:rPr>
                      <w:rFonts w:cs="Arial"/>
                      <w:b/>
                    </w:rPr>
                    <w:t>Investment Manager</w:t>
                  </w:r>
                </w:p>
                <w:p w:rsidR="00CA37A2" w:rsidP="00CA37A2" w:rsidRDefault="00CA37A2" w14:paraId="3E3B5708" w14:textId="6319BA84">
                  <w:pPr>
                    <w:jc w:val="center"/>
                    <w:rPr>
                      <w:rFonts w:cs="Arial"/>
                      <w:b/>
                    </w:rPr>
                  </w:pPr>
                  <w:r>
                    <w:rPr>
                      <w:rFonts w:cs="Arial"/>
                      <w:b/>
                    </w:rPr>
                    <w:t>HARWOOD CAPITAL MANAGEMENT (GIBRALTAR) LIMITED</w:t>
                  </w:r>
                </w:p>
              </w:tc>
              <w:tc>
                <w:tcPr>
                  <w:tcW w:w="4564" w:type="dxa"/>
                </w:tcPr>
                <w:p w:rsidR="00CA37A2" w:rsidP="00CA37A2" w:rsidRDefault="00CA37A2" w14:paraId="2A9BF32B" w14:textId="77777777">
                  <w:pPr>
                    <w:jc w:val="center"/>
                    <w:rPr>
                      <w:rFonts w:cs="Arial"/>
                      <w:b/>
                    </w:rPr>
                  </w:pPr>
                  <w:r w:rsidRPr="006279E8">
                    <w:rPr>
                      <w:rFonts w:cs="Arial"/>
                      <w:b/>
                    </w:rPr>
                    <w:t>Financial Adviser</w:t>
                  </w:r>
                  <w:r>
                    <w:rPr>
                      <w:rFonts w:cs="Arial"/>
                      <w:b/>
                    </w:rPr>
                    <w:t xml:space="preserve"> and Sole Bookrunner</w:t>
                  </w:r>
                </w:p>
                <w:p w:rsidR="00CA37A2" w:rsidP="00CA37A2" w:rsidRDefault="00CA37A2" w14:paraId="05869624" w14:textId="3BCC81C0">
                  <w:pPr>
                    <w:jc w:val="center"/>
                    <w:rPr>
                      <w:rFonts w:cs="Arial"/>
                      <w:b/>
                    </w:rPr>
                  </w:pPr>
                  <w:r>
                    <w:rPr>
                      <w:rFonts w:cs="Arial"/>
                      <w:b/>
                    </w:rPr>
                    <w:t>SINGER CAPITAL MARKETS SECURITIES LIMITED</w:t>
                  </w:r>
                </w:p>
              </w:tc>
            </w:tr>
          </w:tbl>
          <w:p w:rsidRPr="006279E8" w:rsidR="000215F0" w:rsidP="000215F0" w:rsidRDefault="000215F0" w14:paraId="251CCA8D" w14:textId="77777777">
            <w:pPr>
              <w:jc w:val="center"/>
              <w:rPr>
                <w:rFonts w:cs="Arial"/>
                <w:b/>
              </w:rPr>
            </w:pPr>
          </w:p>
        </w:tc>
      </w:tr>
    </w:tbl>
    <w:p w:rsidRPr="006279E8" w:rsidR="000215F0" w:rsidP="000215F0" w:rsidRDefault="000215F0" w14:paraId="034CE1F3" w14:textId="392A72FA">
      <w:pPr>
        <w:rPr>
          <w:rFonts w:cs="Arial"/>
          <w:sz w:val="18"/>
          <w:szCs w:val="18"/>
        </w:rPr>
      </w:pPr>
      <w:r w:rsidRPr="006279E8">
        <w:rPr>
          <w:rFonts w:cs="Arial"/>
          <w:sz w:val="18"/>
          <w:szCs w:val="18"/>
        </w:rPr>
        <w:lastRenderedPageBreak/>
        <w:t>Specialist Fund Segment securities are not admitted to the Official List of the FCA. Therefore, the Company has not been required to satisfy the eligibility criteria for admission to listing on the Official List and is not subject to the FCA</w:t>
      </w:r>
      <w:r w:rsidR="007F0C92">
        <w:rPr>
          <w:rFonts w:cs="Arial"/>
          <w:sz w:val="18"/>
          <w:szCs w:val="18"/>
        </w:rPr>
        <w:t>'</w:t>
      </w:r>
      <w:r w:rsidRPr="006279E8">
        <w:rPr>
          <w:rFonts w:cs="Arial"/>
          <w:sz w:val="18"/>
          <w:szCs w:val="18"/>
        </w:rPr>
        <w:t xml:space="preserve">s </w:t>
      </w:r>
      <w:r w:rsidR="007F0C92">
        <w:rPr>
          <w:rFonts w:cs="Arial"/>
          <w:sz w:val="18"/>
          <w:szCs w:val="18"/>
        </w:rPr>
        <w:t xml:space="preserve">UK </w:t>
      </w:r>
      <w:r w:rsidRPr="006279E8">
        <w:rPr>
          <w:rFonts w:cs="Arial"/>
          <w:sz w:val="18"/>
          <w:szCs w:val="18"/>
        </w:rPr>
        <w:t>Listing Rules. The London Stock Exchange has not examined or approved the contents of this document.</w:t>
      </w:r>
    </w:p>
    <w:p w:rsidRPr="006279E8" w:rsidR="000215F0" w:rsidP="000215F0" w:rsidRDefault="000215F0" w14:paraId="3784D4AF" w14:textId="0E30351D">
      <w:pPr>
        <w:rPr>
          <w:rFonts w:cs="Arial"/>
          <w:sz w:val="18"/>
          <w:szCs w:val="18"/>
        </w:rPr>
      </w:pPr>
      <w:r w:rsidRPr="006279E8">
        <w:rPr>
          <w:rFonts w:cs="Arial"/>
          <w:sz w:val="18"/>
          <w:szCs w:val="18"/>
        </w:rPr>
        <w:t>The Company and each of the Directors, whose names appear on page</w:t>
      </w:r>
      <w:r>
        <w:rPr>
          <w:rFonts w:cs="Arial"/>
          <w:sz w:val="18"/>
          <w:szCs w:val="18"/>
        </w:rPr>
        <w:t xml:space="preserve"> </w:t>
      </w:r>
      <w:r w:rsidR="00D372D0">
        <w:rPr>
          <w:rFonts w:cs="Arial"/>
          <w:sz w:val="18"/>
          <w:szCs w:val="18"/>
        </w:rPr>
        <w:t>26</w:t>
      </w:r>
      <w:r w:rsidRPr="006279E8">
        <w:rPr>
          <w:rFonts w:cs="Arial"/>
          <w:sz w:val="18"/>
          <w:szCs w:val="18"/>
        </w:rPr>
        <w:t xml:space="preserve"> of this document, accept responsibility for the information contained in this document. To the best of the knowledge of the Company and the Directors, the information contained in this document is in accordance with the facts and this document makes no omission likely to affect its import.</w:t>
      </w:r>
      <w:r w:rsidRPr="006279E8">
        <w:rPr>
          <w:rFonts w:cs="Arial"/>
          <w:b/>
          <w:noProof/>
        </w:rPr>
        <w:t xml:space="preserve"> </w:t>
      </w:r>
    </w:p>
    <w:p w:rsidRPr="006279E8" w:rsidR="000215F0" w:rsidP="000215F0" w:rsidRDefault="000215F0" w14:paraId="7DE01A42" w14:textId="77777777">
      <w:pPr>
        <w:rPr>
          <w:rFonts w:cs="Arial"/>
          <w:b/>
        </w:rPr>
      </w:pPr>
      <w:r w:rsidRPr="006279E8">
        <w:rPr>
          <w:rFonts w:cs="Arial"/>
          <w:b/>
          <w:sz w:val="18"/>
          <w:szCs w:val="18"/>
        </w:rPr>
        <w:t>Prospective investors should read the entire document and, in particular, the section headed "Ri</w:t>
      </w:r>
      <w:r>
        <w:rPr>
          <w:rFonts w:cs="Arial"/>
          <w:b/>
          <w:sz w:val="18"/>
          <w:szCs w:val="18"/>
        </w:rPr>
        <w:t xml:space="preserve">sk Factors" </w:t>
      </w:r>
      <w:r w:rsidRPr="006279E8">
        <w:rPr>
          <w:rFonts w:cs="Arial"/>
          <w:b/>
          <w:sz w:val="18"/>
          <w:szCs w:val="18"/>
        </w:rPr>
        <w:t>of this document when considering an investment in the Company.</w:t>
      </w:r>
      <w:r w:rsidRPr="006279E8" w:rsidDel="00C4184A">
        <w:rPr>
          <w:rFonts w:cs="Arial"/>
          <w:b/>
          <w:sz w:val="18"/>
          <w:szCs w:val="18"/>
        </w:rPr>
        <w:t xml:space="preserve"> </w:t>
      </w:r>
    </w:p>
    <w:p w:rsidRPr="006279E8" w:rsidR="000215F0" w:rsidP="000215F0" w:rsidRDefault="000215F0" w14:paraId="195C6145" w14:textId="6A725939">
      <w:pPr>
        <w:rPr>
          <w:rFonts w:cs="Arial"/>
          <w:sz w:val="18"/>
          <w:szCs w:val="18"/>
        </w:rPr>
      </w:pPr>
      <w:r>
        <w:rPr>
          <w:rFonts w:cs="Arial"/>
          <w:noProof/>
          <w:sz w:val="18"/>
          <w:szCs w:val="18"/>
        </w:rPr>
        <w:t>Singer Capital Markets Securities Limited ("</w:t>
      </w:r>
      <w:r w:rsidRPr="00F943E5" w:rsidR="00DD0C05">
        <w:rPr>
          <w:rFonts w:cs="Arial"/>
          <w:b/>
          <w:sz w:val="18"/>
          <w:szCs w:val="18"/>
        </w:rPr>
        <w:t>Singer Capital Markets</w:t>
      </w:r>
      <w:r>
        <w:rPr>
          <w:rFonts w:cs="Arial"/>
          <w:noProof/>
          <w:sz w:val="18"/>
          <w:szCs w:val="18"/>
        </w:rPr>
        <w:t>")</w:t>
      </w:r>
      <w:r w:rsidR="00DD0C05">
        <w:rPr>
          <w:rFonts w:cs="Arial"/>
          <w:sz w:val="18"/>
          <w:szCs w:val="18"/>
        </w:rPr>
        <w:t xml:space="preserve"> is</w:t>
      </w:r>
      <w:r w:rsidRPr="006279E8">
        <w:rPr>
          <w:rFonts w:cs="Arial"/>
          <w:sz w:val="18"/>
          <w:szCs w:val="18"/>
        </w:rPr>
        <w:t xml:space="preserve"> authorised and regulated in the United Kingdom by the Financial Conduct Authority</w:t>
      </w:r>
      <w:r>
        <w:rPr>
          <w:rFonts w:cs="Arial"/>
          <w:sz w:val="18"/>
          <w:szCs w:val="18"/>
        </w:rPr>
        <w:t xml:space="preserve">. </w:t>
      </w:r>
      <w:r w:rsidR="00DD0C05">
        <w:rPr>
          <w:rFonts w:cs="Arial"/>
          <w:sz w:val="18"/>
          <w:szCs w:val="18"/>
        </w:rPr>
        <w:t>Singer Capital Markets</w:t>
      </w:r>
      <w:r>
        <w:rPr>
          <w:rFonts w:cs="Arial"/>
          <w:sz w:val="18"/>
          <w:szCs w:val="18"/>
        </w:rPr>
        <w:t xml:space="preserve"> </w:t>
      </w:r>
      <w:r w:rsidRPr="006279E8">
        <w:rPr>
          <w:rFonts w:cs="Arial"/>
          <w:sz w:val="18"/>
          <w:szCs w:val="18"/>
        </w:rPr>
        <w:t xml:space="preserve">is acting exclusively as </w:t>
      </w:r>
      <w:r>
        <w:rPr>
          <w:rFonts w:cs="Arial"/>
          <w:sz w:val="18"/>
          <w:szCs w:val="18"/>
        </w:rPr>
        <w:t xml:space="preserve">financial adviser </w:t>
      </w:r>
      <w:r w:rsidR="00DD0C05">
        <w:rPr>
          <w:rFonts w:cs="Arial"/>
          <w:sz w:val="18"/>
          <w:szCs w:val="18"/>
        </w:rPr>
        <w:t xml:space="preserve">and sole </w:t>
      </w:r>
      <w:r w:rsidRPr="006279E8">
        <w:rPr>
          <w:rFonts w:cs="Arial"/>
          <w:sz w:val="18"/>
          <w:szCs w:val="18"/>
        </w:rPr>
        <w:t xml:space="preserve">bookrunner for the Company and for no one else in relation to </w:t>
      </w:r>
      <w:r>
        <w:rPr>
          <w:rFonts w:cs="Arial"/>
          <w:sz w:val="18"/>
          <w:szCs w:val="18"/>
        </w:rPr>
        <w:t xml:space="preserve">Initial </w:t>
      </w:r>
      <w:r w:rsidRPr="006279E8">
        <w:rPr>
          <w:rFonts w:cs="Arial"/>
          <w:sz w:val="18"/>
          <w:szCs w:val="18"/>
        </w:rPr>
        <w:t>Admission,</w:t>
      </w:r>
      <w:r>
        <w:rPr>
          <w:rFonts w:cs="Arial"/>
          <w:sz w:val="18"/>
          <w:szCs w:val="18"/>
        </w:rPr>
        <w:t xml:space="preserve"> any Admission of any Ordinary Shares</w:t>
      </w:r>
      <w:r w:rsidR="00F225B7">
        <w:rPr>
          <w:rFonts w:cs="Arial"/>
          <w:sz w:val="18"/>
          <w:szCs w:val="18"/>
        </w:rPr>
        <w:t xml:space="preserve">, </w:t>
      </w:r>
      <w:r w:rsidRPr="006279E8">
        <w:rPr>
          <w:rFonts w:cs="Arial"/>
          <w:sz w:val="18"/>
          <w:szCs w:val="18"/>
        </w:rPr>
        <w:t xml:space="preserve">the </w:t>
      </w:r>
      <w:r w:rsidR="00B97B41">
        <w:rPr>
          <w:rFonts w:cs="Arial"/>
          <w:sz w:val="18"/>
          <w:szCs w:val="18"/>
        </w:rPr>
        <w:t xml:space="preserve">Initial </w:t>
      </w:r>
      <w:r w:rsidR="00F225B7">
        <w:rPr>
          <w:rFonts w:cs="Arial"/>
          <w:sz w:val="18"/>
          <w:szCs w:val="18"/>
        </w:rPr>
        <w:t>P</w:t>
      </w:r>
      <w:r w:rsidR="00926E16">
        <w:rPr>
          <w:rFonts w:cs="Arial"/>
          <w:sz w:val="18"/>
          <w:szCs w:val="18"/>
        </w:rPr>
        <w:t>lacing</w:t>
      </w:r>
      <w:r>
        <w:rPr>
          <w:rFonts w:cs="Arial"/>
          <w:sz w:val="18"/>
          <w:szCs w:val="18"/>
        </w:rPr>
        <w:t>, the Placing Programme</w:t>
      </w:r>
      <w:r w:rsidRPr="006279E8">
        <w:rPr>
          <w:rFonts w:cs="Arial"/>
          <w:sz w:val="18"/>
          <w:szCs w:val="18"/>
        </w:rPr>
        <w:t xml:space="preserve"> and the other arrangements referr</w:t>
      </w:r>
      <w:r>
        <w:rPr>
          <w:rFonts w:cs="Arial"/>
          <w:sz w:val="18"/>
          <w:szCs w:val="18"/>
        </w:rPr>
        <w:t>ed to in this document. Singer Capital Markets</w:t>
      </w:r>
      <w:r w:rsidRPr="006279E8">
        <w:rPr>
          <w:rFonts w:cs="Arial"/>
          <w:sz w:val="18"/>
          <w:szCs w:val="18"/>
        </w:rPr>
        <w:t xml:space="preserve"> will not regard any other person (whether or not a recipient of this document) as its client in relation to </w:t>
      </w:r>
      <w:r>
        <w:rPr>
          <w:rFonts w:cs="Arial"/>
          <w:sz w:val="18"/>
          <w:szCs w:val="18"/>
        </w:rPr>
        <w:t xml:space="preserve">Initial </w:t>
      </w:r>
      <w:r w:rsidRPr="006279E8">
        <w:rPr>
          <w:rFonts w:cs="Arial"/>
          <w:sz w:val="18"/>
          <w:szCs w:val="18"/>
        </w:rPr>
        <w:t xml:space="preserve">Admission, </w:t>
      </w:r>
      <w:r>
        <w:rPr>
          <w:rFonts w:cs="Arial"/>
          <w:sz w:val="18"/>
          <w:szCs w:val="18"/>
        </w:rPr>
        <w:t xml:space="preserve">any Admission of any Ordinary Shares, </w:t>
      </w:r>
      <w:r w:rsidRPr="006279E8">
        <w:rPr>
          <w:rFonts w:cs="Arial"/>
          <w:sz w:val="18"/>
          <w:szCs w:val="18"/>
        </w:rPr>
        <w:t xml:space="preserve">the </w:t>
      </w:r>
      <w:r w:rsidR="00B97B41">
        <w:rPr>
          <w:rFonts w:cs="Arial"/>
          <w:sz w:val="18"/>
          <w:szCs w:val="18"/>
        </w:rPr>
        <w:t xml:space="preserve">Initial </w:t>
      </w:r>
      <w:r w:rsidR="00926E16">
        <w:rPr>
          <w:rFonts w:cs="Arial"/>
          <w:sz w:val="18"/>
          <w:szCs w:val="18"/>
        </w:rPr>
        <w:t>Placing</w:t>
      </w:r>
      <w:r>
        <w:rPr>
          <w:rFonts w:cs="Arial"/>
          <w:sz w:val="18"/>
          <w:szCs w:val="18"/>
        </w:rPr>
        <w:t>, the Placing Programme</w:t>
      </w:r>
      <w:r w:rsidRPr="006279E8">
        <w:rPr>
          <w:rFonts w:cs="Arial"/>
          <w:sz w:val="18"/>
          <w:szCs w:val="18"/>
        </w:rPr>
        <w:t xml:space="preserve"> and the other arrangements referred to in this document and will not be responsible to anyone other than the Company for providing the protections afforded to its clients or for providing any advice in relation to </w:t>
      </w:r>
      <w:r>
        <w:rPr>
          <w:rFonts w:cs="Arial"/>
          <w:sz w:val="18"/>
          <w:szCs w:val="18"/>
        </w:rPr>
        <w:t xml:space="preserve">Initial </w:t>
      </w:r>
      <w:r w:rsidRPr="006279E8">
        <w:rPr>
          <w:rFonts w:cs="Arial"/>
          <w:sz w:val="18"/>
          <w:szCs w:val="18"/>
        </w:rPr>
        <w:t xml:space="preserve">Admission, </w:t>
      </w:r>
      <w:r>
        <w:rPr>
          <w:rFonts w:cs="Arial"/>
          <w:sz w:val="18"/>
          <w:szCs w:val="18"/>
        </w:rPr>
        <w:t xml:space="preserve">any Admission of any Ordinary Shares, </w:t>
      </w:r>
      <w:r w:rsidRPr="006279E8">
        <w:rPr>
          <w:rFonts w:cs="Arial"/>
          <w:sz w:val="18"/>
          <w:szCs w:val="18"/>
        </w:rPr>
        <w:t xml:space="preserve">the </w:t>
      </w:r>
      <w:r w:rsidR="00B97B41">
        <w:rPr>
          <w:rFonts w:cs="Arial"/>
          <w:sz w:val="18"/>
          <w:szCs w:val="18"/>
        </w:rPr>
        <w:t xml:space="preserve">Initial </w:t>
      </w:r>
      <w:r w:rsidR="00926E16">
        <w:rPr>
          <w:rFonts w:cs="Arial"/>
          <w:sz w:val="18"/>
          <w:szCs w:val="18"/>
        </w:rPr>
        <w:t>Placing</w:t>
      </w:r>
      <w:r w:rsidRPr="006279E8">
        <w:rPr>
          <w:rFonts w:cs="Arial"/>
          <w:sz w:val="18"/>
          <w:szCs w:val="18"/>
        </w:rPr>
        <w:t>,</w:t>
      </w:r>
      <w:r>
        <w:rPr>
          <w:rFonts w:cs="Arial"/>
          <w:sz w:val="18"/>
          <w:szCs w:val="18"/>
        </w:rPr>
        <w:t xml:space="preserve"> </w:t>
      </w:r>
      <w:r w:rsidRPr="006279E8">
        <w:rPr>
          <w:rFonts w:cs="Arial"/>
          <w:sz w:val="18"/>
          <w:szCs w:val="18"/>
        </w:rPr>
        <w:t xml:space="preserve">the </w:t>
      </w:r>
      <w:r>
        <w:rPr>
          <w:rFonts w:cs="Arial"/>
          <w:sz w:val="18"/>
          <w:szCs w:val="18"/>
        </w:rPr>
        <w:t xml:space="preserve">Placing Programme, the </w:t>
      </w:r>
      <w:r w:rsidRPr="006279E8">
        <w:rPr>
          <w:rFonts w:cs="Arial"/>
          <w:sz w:val="18"/>
          <w:szCs w:val="18"/>
        </w:rPr>
        <w:t>contents of this document or any transaction or arrangement referred to in this document.</w:t>
      </w:r>
    </w:p>
    <w:p w:rsidR="000215F0" w:rsidP="000215F0" w:rsidRDefault="000215F0" w14:paraId="080C6152" w14:textId="791A05BC">
      <w:pPr>
        <w:rPr>
          <w:rFonts w:cs="Arial"/>
          <w:sz w:val="18"/>
          <w:szCs w:val="18"/>
        </w:rPr>
      </w:pPr>
      <w:r w:rsidRPr="006279E8">
        <w:rPr>
          <w:rFonts w:cs="Arial"/>
          <w:sz w:val="18"/>
          <w:szCs w:val="18"/>
        </w:rPr>
        <w:t xml:space="preserve">Apart from the responsibilities and liabilities, if any, which may be imposed on </w:t>
      </w:r>
      <w:r>
        <w:rPr>
          <w:rFonts w:cs="Arial"/>
          <w:sz w:val="18"/>
          <w:szCs w:val="18"/>
        </w:rPr>
        <w:t>Singer Capital Markets</w:t>
      </w:r>
      <w:r w:rsidRPr="006279E8">
        <w:rPr>
          <w:rFonts w:cs="Arial"/>
          <w:sz w:val="18"/>
          <w:szCs w:val="18"/>
        </w:rPr>
        <w:t xml:space="preserve"> by FSMA or the regulatory regime established thereunder, </w:t>
      </w:r>
      <w:r>
        <w:rPr>
          <w:rFonts w:cs="Arial"/>
          <w:sz w:val="18"/>
          <w:szCs w:val="18"/>
        </w:rPr>
        <w:t>Singer Capital Markets</w:t>
      </w:r>
      <w:r w:rsidRPr="006279E8">
        <w:rPr>
          <w:rFonts w:cs="Arial"/>
          <w:sz w:val="18"/>
          <w:szCs w:val="18"/>
        </w:rPr>
        <w:t xml:space="preserve"> make</w:t>
      </w:r>
      <w:r>
        <w:rPr>
          <w:rFonts w:cs="Arial"/>
          <w:sz w:val="18"/>
          <w:szCs w:val="18"/>
        </w:rPr>
        <w:t>s</w:t>
      </w:r>
      <w:r w:rsidRPr="006279E8">
        <w:rPr>
          <w:rFonts w:cs="Arial"/>
          <w:sz w:val="18"/>
          <w:szCs w:val="18"/>
        </w:rPr>
        <w:t xml:space="preserve"> no representation, express or implied, in relation to, nor accept</w:t>
      </w:r>
      <w:r>
        <w:rPr>
          <w:rFonts w:cs="Arial"/>
          <w:sz w:val="18"/>
          <w:szCs w:val="18"/>
        </w:rPr>
        <w:t>s</w:t>
      </w:r>
      <w:r w:rsidRPr="006279E8">
        <w:rPr>
          <w:rFonts w:cs="Arial"/>
          <w:sz w:val="18"/>
          <w:szCs w:val="18"/>
        </w:rPr>
        <w:t xml:space="preserve"> any responsibility whatsoever for, the contents of this document or any other statement made or purported to be made by it or on its behalf in connection with the Company, the </w:t>
      </w:r>
      <w:r>
        <w:rPr>
          <w:rFonts w:cs="Arial"/>
          <w:sz w:val="18"/>
          <w:szCs w:val="18"/>
        </w:rPr>
        <w:t xml:space="preserve">Ordinary </w:t>
      </w:r>
      <w:r w:rsidRPr="006279E8">
        <w:rPr>
          <w:rFonts w:cs="Arial"/>
          <w:sz w:val="18"/>
          <w:szCs w:val="18"/>
        </w:rPr>
        <w:t xml:space="preserve">Shares, </w:t>
      </w:r>
      <w:r>
        <w:rPr>
          <w:rFonts w:cs="Arial"/>
          <w:sz w:val="18"/>
          <w:szCs w:val="18"/>
        </w:rPr>
        <w:t xml:space="preserve">Initial </w:t>
      </w:r>
      <w:r w:rsidRPr="006279E8">
        <w:rPr>
          <w:rFonts w:cs="Arial"/>
          <w:sz w:val="18"/>
          <w:szCs w:val="18"/>
        </w:rPr>
        <w:t>Admission</w:t>
      </w:r>
      <w:r>
        <w:rPr>
          <w:rFonts w:cs="Arial"/>
          <w:sz w:val="18"/>
          <w:szCs w:val="18"/>
        </w:rPr>
        <w:t xml:space="preserve">, any Admission of any Ordinary Shares, </w:t>
      </w:r>
      <w:r w:rsidRPr="006279E8">
        <w:rPr>
          <w:rFonts w:cs="Arial"/>
          <w:sz w:val="18"/>
          <w:szCs w:val="18"/>
        </w:rPr>
        <w:t xml:space="preserve">the </w:t>
      </w:r>
      <w:r w:rsidR="00B97B41">
        <w:rPr>
          <w:rFonts w:cs="Arial"/>
          <w:sz w:val="18"/>
          <w:szCs w:val="18"/>
        </w:rPr>
        <w:t xml:space="preserve">Initial </w:t>
      </w:r>
      <w:r w:rsidR="00926E16">
        <w:rPr>
          <w:rFonts w:cs="Arial"/>
          <w:sz w:val="18"/>
          <w:szCs w:val="18"/>
        </w:rPr>
        <w:t>Placing</w:t>
      </w:r>
      <w:r>
        <w:rPr>
          <w:rFonts w:cs="Arial"/>
          <w:sz w:val="18"/>
          <w:szCs w:val="18"/>
        </w:rPr>
        <w:t>, the Placing Programme or any other arrangements referred to in this document</w:t>
      </w:r>
      <w:r w:rsidRPr="006279E8">
        <w:rPr>
          <w:rFonts w:cs="Arial"/>
          <w:sz w:val="18"/>
          <w:szCs w:val="18"/>
        </w:rPr>
        <w:t xml:space="preserve">. </w:t>
      </w:r>
      <w:r>
        <w:rPr>
          <w:rFonts w:cs="Arial"/>
          <w:sz w:val="18"/>
          <w:szCs w:val="18"/>
        </w:rPr>
        <w:t>Singer Capital Markets</w:t>
      </w:r>
      <w:r w:rsidRPr="006279E8">
        <w:rPr>
          <w:rFonts w:cs="Arial"/>
          <w:sz w:val="18"/>
          <w:szCs w:val="18"/>
        </w:rPr>
        <w:t xml:space="preserve"> (and its affiliates) accordingly, to the fullest extent permissible by law, disclaims all and any responsibility or liability (save for statutory liability), whether arising in tort, contract or otherwise which it might otherwise have in respect of the contents of this document or any other statement made or purported to be made by it or on its behalf in connection with the Company, the </w:t>
      </w:r>
      <w:r>
        <w:rPr>
          <w:rFonts w:cs="Arial"/>
          <w:sz w:val="18"/>
          <w:szCs w:val="18"/>
        </w:rPr>
        <w:t xml:space="preserve">Ordinary </w:t>
      </w:r>
      <w:r w:rsidRPr="006279E8">
        <w:rPr>
          <w:rFonts w:cs="Arial"/>
          <w:sz w:val="18"/>
          <w:szCs w:val="18"/>
        </w:rPr>
        <w:t xml:space="preserve">Shares, </w:t>
      </w:r>
      <w:r>
        <w:rPr>
          <w:rFonts w:cs="Arial"/>
          <w:sz w:val="18"/>
          <w:szCs w:val="18"/>
        </w:rPr>
        <w:t xml:space="preserve">Initial </w:t>
      </w:r>
      <w:r w:rsidRPr="006279E8">
        <w:rPr>
          <w:rFonts w:cs="Arial"/>
          <w:sz w:val="18"/>
          <w:szCs w:val="18"/>
        </w:rPr>
        <w:t>Admission</w:t>
      </w:r>
      <w:r>
        <w:rPr>
          <w:rFonts w:cs="Arial"/>
          <w:sz w:val="18"/>
          <w:szCs w:val="18"/>
        </w:rPr>
        <w:t xml:space="preserve">, any Admission of any Ordinary Shares, </w:t>
      </w:r>
      <w:r w:rsidRPr="006279E8">
        <w:rPr>
          <w:rFonts w:cs="Arial"/>
          <w:sz w:val="18"/>
          <w:szCs w:val="18"/>
        </w:rPr>
        <w:t xml:space="preserve">the </w:t>
      </w:r>
      <w:r w:rsidR="00B97B41">
        <w:rPr>
          <w:rFonts w:cs="Arial"/>
          <w:sz w:val="18"/>
          <w:szCs w:val="18"/>
        </w:rPr>
        <w:t xml:space="preserve">Initial </w:t>
      </w:r>
      <w:r w:rsidR="00926E16">
        <w:rPr>
          <w:rFonts w:cs="Arial"/>
          <w:sz w:val="18"/>
          <w:szCs w:val="18"/>
        </w:rPr>
        <w:t>Placing</w:t>
      </w:r>
      <w:r>
        <w:rPr>
          <w:rFonts w:cs="Arial"/>
          <w:sz w:val="18"/>
          <w:szCs w:val="18"/>
        </w:rPr>
        <w:t>, the Placing Programme or any other arrangements referred to in this document</w:t>
      </w:r>
      <w:r w:rsidRPr="006279E8">
        <w:rPr>
          <w:rFonts w:cs="Arial"/>
          <w:sz w:val="18"/>
          <w:szCs w:val="18"/>
        </w:rPr>
        <w:t>.</w:t>
      </w:r>
    </w:p>
    <w:p w:rsidRPr="006279E8" w:rsidR="000215F0" w:rsidP="000215F0" w:rsidRDefault="000215F0" w14:paraId="5DFE44AE" w14:textId="2D276625">
      <w:pPr>
        <w:rPr>
          <w:rFonts w:cs="Arial"/>
          <w:sz w:val="18"/>
          <w:szCs w:val="18"/>
        </w:rPr>
      </w:pPr>
      <w:r w:rsidRPr="006279E8">
        <w:rPr>
          <w:rFonts w:cs="Arial"/>
          <w:sz w:val="18"/>
          <w:szCs w:val="18"/>
        </w:rPr>
        <w:t>Investors should rely only on the information contained in this document</w:t>
      </w:r>
      <w:r>
        <w:rPr>
          <w:rFonts w:cs="Arial"/>
          <w:sz w:val="18"/>
          <w:szCs w:val="18"/>
        </w:rPr>
        <w:t xml:space="preserve"> and any supplementary prospectus published by the Company prior to Initial Admission or any Admission of Ordinary Shares issued pursuant to the Placing Programme</w:t>
      </w:r>
      <w:r w:rsidRPr="006279E8">
        <w:rPr>
          <w:rFonts w:cs="Arial"/>
          <w:sz w:val="18"/>
          <w:szCs w:val="18"/>
        </w:rPr>
        <w:t xml:space="preserve">. No person has been authorised to give any information or make any representations in relation to the Company other than those contained in this document </w:t>
      </w:r>
      <w:r>
        <w:rPr>
          <w:rFonts w:cs="Arial"/>
          <w:sz w:val="18"/>
          <w:szCs w:val="18"/>
        </w:rPr>
        <w:t xml:space="preserve">and any such supplementary prospectus </w:t>
      </w:r>
      <w:r w:rsidRPr="006279E8">
        <w:rPr>
          <w:rFonts w:cs="Arial"/>
          <w:sz w:val="18"/>
          <w:szCs w:val="18"/>
        </w:rPr>
        <w:t xml:space="preserve">and, if given or made, such information or representations must not be relied upon as having been so authorised by the Company, the Investment Manager and/or </w:t>
      </w:r>
      <w:r>
        <w:rPr>
          <w:rFonts w:cs="Arial"/>
          <w:sz w:val="18"/>
          <w:szCs w:val="18"/>
        </w:rPr>
        <w:t>Singer Capital Markets</w:t>
      </w:r>
      <w:r w:rsidRPr="006279E8">
        <w:rPr>
          <w:rFonts w:cs="Arial"/>
          <w:sz w:val="18"/>
          <w:szCs w:val="18"/>
        </w:rPr>
        <w:t>. Without prejudice to the Company’s obligations under the Prospectus Regulation Rules, the Disclosure Guidance and Transparency Rules, the Prospectus Regulation</w:t>
      </w:r>
      <w:r>
        <w:rPr>
          <w:rFonts w:cs="Arial"/>
          <w:sz w:val="18"/>
          <w:szCs w:val="18"/>
        </w:rPr>
        <w:t xml:space="preserve">, </w:t>
      </w:r>
      <w:r w:rsidRPr="006279E8">
        <w:rPr>
          <w:rFonts w:cs="Arial"/>
          <w:sz w:val="18"/>
          <w:szCs w:val="18"/>
        </w:rPr>
        <w:t>MAR</w:t>
      </w:r>
      <w:r>
        <w:rPr>
          <w:rFonts w:cs="Arial"/>
          <w:sz w:val="18"/>
          <w:szCs w:val="18"/>
        </w:rPr>
        <w:t xml:space="preserve"> and the RCIS Rules </w:t>
      </w:r>
      <w:r w:rsidRPr="006279E8">
        <w:rPr>
          <w:rFonts w:cs="Arial"/>
          <w:sz w:val="18"/>
          <w:szCs w:val="18"/>
        </w:rPr>
        <w:t xml:space="preserve">neither the delivery of this document nor any subscription for, or purchase of, </w:t>
      </w:r>
      <w:r>
        <w:rPr>
          <w:rFonts w:cs="Arial"/>
          <w:sz w:val="18"/>
          <w:szCs w:val="18"/>
        </w:rPr>
        <w:t xml:space="preserve">Ordinary </w:t>
      </w:r>
      <w:r w:rsidRPr="006279E8">
        <w:rPr>
          <w:rFonts w:cs="Arial"/>
          <w:sz w:val="18"/>
          <w:szCs w:val="18"/>
        </w:rPr>
        <w:t xml:space="preserve">Shares pursuant to the </w:t>
      </w:r>
      <w:r w:rsidR="00B97B41">
        <w:rPr>
          <w:rFonts w:cs="Arial"/>
          <w:sz w:val="18"/>
          <w:szCs w:val="18"/>
        </w:rPr>
        <w:t xml:space="preserve">Initial </w:t>
      </w:r>
      <w:r w:rsidR="00926E16">
        <w:rPr>
          <w:rFonts w:cs="Arial"/>
          <w:sz w:val="18"/>
          <w:szCs w:val="18"/>
        </w:rPr>
        <w:t>Placing</w:t>
      </w:r>
      <w:r>
        <w:rPr>
          <w:rFonts w:cs="Arial"/>
          <w:sz w:val="18"/>
          <w:szCs w:val="18"/>
        </w:rPr>
        <w:t xml:space="preserve"> and/or the Placing Programme</w:t>
      </w:r>
      <w:r w:rsidRPr="006279E8">
        <w:rPr>
          <w:rFonts w:cs="Arial"/>
          <w:sz w:val="18"/>
          <w:szCs w:val="18"/>
        </w:rPr>
        <w:t>, under any circumstances, creates any implication that there has been no change in the affairs of the Company since, or that the information contained herein is correct at any time subsequent to, the date of this document.</w:t>
      </w:r>
    </w:p>
    <w:p w:rsidRPr="006279E8" w:rsidR="000215F0" w:rsidP="000215F0" w:rsidRDefault="000215F0" w14:paraId="7E9DA265" w14:textId="38646C94">
      <w:pPr>
        <w:rPr>
          <w:rFonts w:cs="Arial"/>
          <w:sz w:val="18"/>
          <w:szCs w:val="18"/>
        </w:rPr>
      </w:pPr>
      <w:r>
        <w:rPr>
          <w:rFonts w:cs="Arial"/>
          <w:sz w:val="18"/>
          <w:szCs w:val="18"/>
        </w:rPr>
        <w:t>Singer Capital Markets</w:t>
      </w:r>
      <w:r w:rsidRPr="006279E8">
        <w:rPr>
          <w:rFonts w:cs="Arial"/>
          <w:sz w:val="18"/>
          <w:szCs w:val="18"/>
        </w:rPr>
        <w:t xml:space="preserve"> and its affiliates may have engaged in transactions with, and provided various investment banking, financial advisory and other services for, the Company and/or the Investment Manager, for which they would have r</w:t>
      </w:r>
      <w:r w:rsidR="00692ECE">
        <w:rPr>
          <w:rFonts w:cs="Arial"/>
          <w:sz w:val="18"/>
          <w:szCs w:val="18"/>
        </w:rPr>
        <w:t>eceived customary fees. Singer Capital Markets</w:t>
      </w:r>
      <w:r w:rsidRPr="006279E8">
        <w:rPr>
          <w:rFonts w:cs="Arial"/>
          <w:sz w:val="18"/>
          <w:szCs w:val="18"/>
        </w:rPr>
        <w:t xml:space="preserve"> and its affiliates may provide such services to the Company and/or the Investment Manager and any of their respective affiliates in the future.</w:t>
      </w:r>
    </w:p>
    <w:p w:rsidRPr="006279E8" w:rsidR="000215F0" w:rsidP="000215F0" w:rsidRDefault="000215F0" w14:paraId="006BFF12" w14:textId="59FCEC9F">
      <w:pPr>
        <w:rPr>
          <w:rFonts w:cs="Arial"/>
          <w:sz w:val="18"/>
          <w:szCs w:val="18"/>
        </w:rPr>
      </w:pPr>
      <w:r w:rsidRPr="006279E8">
        <w:rPr>
          <w:rFonts w:cs="Arial"/>
          <w:sz w:val="18"/>
          <w:szCs w:val="18"/>
        </w:rPr>
        <w:t xml:space="preserve">In connection with the </w:t>
      </w:r>
      <w:r w:rsidR="00B97B41">
        <w:rPr>
          <w:rFonts w:cs="Arial"/>
          <w:sz w:val="18"/>
          <w:szCs w:val="18"/>
        </w:rPr>
        <w:t xml:space="preserve">Initial </w:t>
      </w:r>
      <w:r w:rsidR="00926E16">
        <w:rPr>
          <w:rFonts w:cs="Arial"/>
          <w:sz w:val="18"/>
          <w:szCs w:val="18"/>
        </w:rPr>
        <w:t>Placing</w:t>
      </w:r>
      <w:r>
        <w:rPr>
          <w:rFonts w:cs="Arial"/>
          <w:sz w:val="18"/>
          <w:szCs w:val="18"/>
        </w:rPr>
        <w:t xml:space="preserve"> and/or Subsequent Placings</w:t>
      </w:r>
      <w:r w:rsidRPr="006279E8">
        <w:rPr>
          <w:rFonts w:cs="Arial"/>
          <w:sz w:val="18"/>
          <w:szCs w:val="18"/>
        </w:rPr>
        <w:t xml:space="preserve">, </w:t>
      </w:r>
      <w:r>
        <w:rPr>
          <w:rFonts w:cs="Arial"/>
          <w:sz w:val="18"/>
          <w:szCs w:val="18"/>
        </w:rPr>
        <w:t>Singer Capital Markets</w:t>
      </w:r>
      <w:r w:rsidRPr="006279E8">
        <w:rPr>
          <w:rFonts w:cs="Arial"/>
          <w:sz w:val="18"/>
          <w:szCs w:val="18"/>
        </w:rPr>
        <w:t xml:space="preserve"> and its affiliates, acting as investors for its or their own accounts, may subscribe for or purchase </w:t>
      </w:r>
      <w:r>
        <w:rPr>
          <w:rFonts w:cs="Arial"/>
          <w:sz w:val="18"/>
          <w:szCs w:val="18"/>
        </w:rPr>
        <w:t xml:space="preserve">Ordinary </w:t>
      </w:r>
      <w:r w:rsidRPr="006279E8">
        <w:rPr>
          <w:rFonts w:cs="Arial"/>
          <w:sz w:val="18"/>
          <w:szCs w:val="18"/>
        </w:rPr>
        <w:t xml:space="preserve">Shares and in that capacity may retain, purchase, sell, offer to sell or otherwise deal for its or their own account(s) in the </w:t>
      </w:r>
      <w:r>
        <w:rPr>
          <w:rFonts w:cs="Arial"/>
          <w:sz w:val="18"/>
          <w:szCs w:val="18"/>
        </w:rPr>
        <w:t xml:space="preserve">Ordinary </w:t>
      </w:r>
      <w:r w:rsidRPr="006279E8">
        <w:rPr>
          <w:rFonts w:cs="Arial"/>
          <w:sz w:val="18"/>
          <w:szCs w:val="18"/>
        </w:rPr>
        <w:t xml:space="preserve">Shares and other securities of the Company or related investments in connection with the </w:t>
      </w:r>
      <w:r w:rsidR="00B97B41">
        <w:rPr>
          <w:rFonts w:cs="Arial"/>
          <w:sz w:val="18"/>
          <w:szCs w:val="18"/>
        </w:rPr>
        <w:t xml:space="preserve">Initial </w:t>
      </w:r>
      <w:r w:rsidR="00926E16">
        <w:rPr>
          <w:rFonts w:cs="Arial"/>
          <w:sz w:val="18"/>
          <w:szCs w:val="18"/>
        </w:rPr>
        <w:t>Placing</w:t>
      </w:r>
      <w:r>
        <w:rPr>
          <w:rFonts w:cs="Arial"/>
          <w:sz w:val="18"/>
          <w:szCs w:val="18"/>
        </w:rPr>
        <w:t xml:space="preserve"> and/or Subsequent Placings</w:t>
      </w:r>
      <w:r w:rsidRPr="006279E8">
        <w:rPr>
          <w:rFonts w:cs="Arial"/>
          <w:sz w:val="18"/>
          <w:szCs w:val="18"/>
        </w:rPr>
        <w:t xml:space="preserve"> or otherwise. Accordingly, references in this document to </w:t>
      </w:r>
      <w:r>
        <w:rPr>
          <w:rFonts w:cs="Arial"/>
          <w:sz w:val="18"/>
          <w:szCs w:val="18"/>
        </w:rPr>
        <w:t xml:space="preserve">Ordinary </w:t>
      </w:r>
      <w:r w:rsidRPr="006279E8">
        <w:rPr>
          <w:rFonts w:cs="Arial"/>
          <w:sz w:val="18"/>
          <w:szCs w:val="18"/>
        </w:rPr>
        <w:t xml:space="preserve">Shares being issued, offered, acquired, subscribed or otherwise dealt with, should be read as including any issue or offer to, acquisition of, or subscription or dealing by </w:t>
      </w:r>
      <w:r>
        <w:rPr>
          <w:rFonts w:cs="Arial"/>
          <w:sz w:val="18"/>
          <w:szCs w:val="18"/>
        </w:rPr>
        <w:t>Singer Capital Markets</w:t>
      </w:r>
      <w:r w:rsidRPr="006279E8">
        <w:rPr>
          <w:rFonts w:cs="Arial"/>
          <w:sz w:val="18"/>
          <w:szCs w:val="18"/>
        </w:rPr>
        <w:t xml:space="preserve"> and its affiliates acting as an investor for its or their own account(s).</w:t>
      </w:r>
    </w:p>
    <w:p w:rsidRPr="006279E8" w:rsidR="000215F0" w:rsidP="000215F0" w:rsidRDefault="000215F0" w14:paraId="4A250B1D" w14:textId="77777777">
      <w:pPr>
        <w:rPr>
          <w:rFonts w:cs="Arial"/>
          <w:sz w:val="18"/>
          <w:szCs w:val="18"/>
        </w:rPr>
      </w:pPr>
      <w:r>
        <w:rPr>
          <w:rFonts w:cs="Arial"/>
          <w:sz w:val="18"/>
          <w:szCs w:val="18"/>
        </w:rPr>
        <w:t>Singer Capital Markets</w:t>
      </w:r>
      <w:r w:rsidRPr="006279E8">
        <w:rPr>
          <w:rFonts w:cs="Arial"/>
          <w:sz w:val="18"/>
          <w:szCs w:val="18"/>
        </w:rPr>
        <w:t xml:space="preserve"> and its affiliates </w:t>
      </w:r>
      <w:r>
        <w:rPr>
          <w:rFonts w:cs="Arial"/>
          <w:sz w:val="18"/>
          <w:szCs w:val="18"/>
        </w:rPr>
        <w:t>do</w:t>
      </w:r>
      <w:r w:rsidRPr="006279E8">
        <w:rPr>
          <w:rFonts w:cs="Arial"/>
          <w:sz w:val="18"/>
          <w:szCs w:val="18"/>
        </w:rPr>
        <w:t xml:space="preserve"> not intend to disclose the extent of any such investment or transactions otherwise than in accordance with any legal or regulatory obligation to do so. In addition, </w:t>
      </w:r>
      <w:r>
        <w:rPr>
          <w:rFonts w:cs="Arial"/>
          <w:sz w:val="18"/>
          <w:szCs w:val="18"/>
        </w:rPr>
        <w:t>Singer Capital Markets</w:t>
      </w:r>
      <w:r w:rsidRPr="006279E8">
        <w:rPr>
          <w:rFonts w:cs="Arial"/>
          <w:sz w:val="18"/>
          <w:szCs w:val="18"/>
        </w:rPr>
        <w:t xml:space="preserve"> and its affiliates may enter into financing arrangements with investors, such as share swap arrangements or lending arrangements in connection with which </w:t>
      </w:r>
      <w:r>
        <w:rPr>
          <w:rFonts w:cs="Arial"/>
          <w:sz w:val="18"/>
          <w:szCs w:val="18"/>
        </w:rPr>
        <w:t>Singer Capital Markets</w:t>
      </w:r>
      <w:r w:rsidRPr="006279E8">
        <w:rPr>
          <w:rFonts w:cs="Arial"/>
          <w:sz w:val="18"/>
          <w:szCs w:val="18"/>
        </w:rPr>
        <w:t xml:space="preserve"> and its affiliates may from time to time acquire, hold or dispose of shareholdings in the Company.</w:t>
      </w:r>
    </w:p>
    <w:p w:rsidRPr="006279E8" w:rsidR="000215F0" w:rsidP="000215F0" w:rsidRDefault="000215F0" w14:paraId="0A282C82" w14:textId="77777777">
      <w:pPr>
        <w:rPr>
          <w:rFonts w:cs="Arial"/>
          <w:sz w:val="18"/>
          <w:szCs w:val="18"/>
        </w:rPr>
      </w:pPr>
      <w:r>
        <w:rPr>
          <w:rFonts w:cs="Arial"/>
          <w:sz w:val="18"/>
          <w:szCs w:val="18"/>
        </w:rPr>
        <w:t>The contents of this document and any supplementary prospectus published by the Company a</w:t>
      </w:r>
      <w:r w:rsidRPr="006279E8">
        <w:rPr>
          <w:rFonts w:cs="Arial"/>
          <w:sz w:val="18"/>
          <w:szCs w:val="18"/>
        </w:rPr>
        <w:t xml:space="preserve">re not to be construed as legal, financial, business, investment or tax advice. Investors should consult their own legal adviser, financial adviser </w:t>
      </w:r>
      <w:r w:rsidRPr="006279E8">
        <w:rPr>
          <w:rFonts w:cs="Arial"/>
          <w:sz w:val="18"/>
          <w:szCs w:val="18"/>
        </w:rPr>
        <w:lastRenderedPageBreak/>
        <w:t xml:space="preserve">or tax adviser for legal, financial, business, investment or tax advice. Investors must inform themselves as to: (a) the legal requirements within their own countries for the purchase, holding, transfer, </w:t>
      </w:r>
      <w:r>
        <w:rPr>
          <w:rFonts w:cs="Arial"/>
          <w:sz w:val="18"/>
          <w:szCs w:val="18"/>
        </w:rPr>
        <w:t xml:space="preserve">conversion, </w:t>
      </w:r>
      <w:r w:rsidRPr="006279E8">
        <w:rPr>
          <w:rFonts w:cs="Arial"/>
          <w:sz w:val="18"/>
          <w:szCs w:val="18"/>
        </w:rPr>
        <w:t xml:space="preserve">redemption or other disposal of </w:t>
      </w:r>
      <w:r>
        <w:rPr>
          <w:rFonts w:cs="Arial"/>
          <w:sz w:val="18"/>
          <w:szCs w:val="18"/>
        </w:rPr>
        <w:t xml:space="preserve">Ordinary </w:t>
      </w:r>
      <w:r w:rsidRPr="006279E8">
        <w:rPr>
          <w:rFonts w:cs="Arial"/>
          <w:sz w:val="18"/>
          <w:szCs w:val="18"/>
        </w:rPr>
        <w:t>Shares; (b) any foreign exchange restrictions applicable to the purchase, holding,</w:t>
      </w:r>
      <w:r>
        <w:rPr>
          <w:rFonts w:cs="Arial"/>
          <w:sz w:val="18"/>
          <w:szCs w:val="18"/>
        </w:rPr>
        <w:t xml:space="preserve"> </w:t>
      </w:r>
      <w:r w:rsidRPr="006279E8">
        <w:rPr>
          <w:rFonts w:cs="Arial"/>
          <w:sz w:val="18"/>
          <w:szCs w:val="18"/>
        </w:rPr>
        <w:t>transfer</w:t>
      </w:r>
      <w:r>
        <w:rPr>
          <w:rFonts w:cs="Arial"/>
          <w:sz w:val="18"/>
          <w:szCs w:val="18"/>
        </w:rPr>
        <w:t>,</w:t>
      </w:r>
      <w:r w:rsidRPr="006279E8">
        <w:rPr>
          <w:rFonts w:cs="Arial"/>
          <w:sz w:val="18"/>
          <w:szCs w:val="18"/>
        </w:rPr>
        <w:t xml:space="preserve"> </w:t>
      </w:r>
      <w:r>
        <w:rPr>
          <w:rFonts w:cs="Arial"/>
          <w:sz w:val="18"/>
          <w:szCs w:val="18"/>
        </w:rPr>
        <w:t xml:space="preserve">conversion, redemption </w:t>
      </w:r>
      <w:r w:rsidRPr="006279E8">
        <w:rPr>
          <w:rFonts w:cs="Arial"/>
          <w:sz w:val="18"/>
          <w:szCs w:val="18"/>
        </w:rPr>
        <w:t xml:space="preserve">or other disposal of </w:t>
      </w:r>
      <w:r>
        <w:rPr>
          <w:rFonts w:cs="Arial"/>
          <w:sz w:val="18"/>
          <w:szCs w:val="18"/>
        </w:rPr>
        <w:t xml:space="preserve">Ordinary </w:t>
      </w:r>
      <w:r w:rsidRPr="006279E8">
        <w:rPr>
          <w:rFonts w:cs="Arial"/>
          <w:sz w:val="18"/>
          <w:szCs w:val="18"/>
        </w:rPr>
        <w:t>Shares which they might encounter; and (c) the income and other tax consequences which may apply in their own countries as a result of the purchase, holding, transfer</w:t>
      </w:r>
      <w:r>
        <w:rPr>
          <w:rFonts w:cs="Arial"/>
          <w:sz w:val="18"/>
          <w:szCs w:val="18"/>
        </w:rPr>
        <w:t>, conversion, redemption</w:t>
      </w:r>
      <w:r w:rsidRPr="006279E8">
        <w:rPr>
          <w:rFonts w:cs="Arial"/>
          <w:sz w:val="18"/>
          <w:szCs w:val="18"/>
        </w:rPr>
        <w:t xml:space="preserve"> or other disposal of, or subscription for </w:t>
      </w:r>
      <w:r>
        <w:rPr>
          <w:rFonts w:cs="Arial"/>
          <w:sz w:val="18"/>
          <w:szCs w:val="18"/>
        </w:rPr>
        <w:t xml:space="preserve">Ordinary </w:t>
      </w:r>
      <w:r w:rsidRPr="006279E8">
        <w:rPr>
          <w:rFonts w:cs="Arial"/>
          <w:sz w:val="18"/>
          <w:szCs w:val="18"/>
        </w:rPr>
        <w:t xml:space="preserve">Shares. Investors must rely on their own representatives, including their own legal advisers and accountants, as to legal, financial, business, investment, tax, or any other related matters concerning the Company and an investment therein. None of the Company, the Investment Manager and/or </w:t>
      </w:r>
      <w:r>
        <w:rPr>
          <w:rFonts w:cs="Arial"/>
          <w:sz w:val="18"/>
          <w:szCs w:val="18"/>
        </w:rPr>
        <w:t>Singer Capital Markets</w:t>
      </w:r>
      <w:r w:rsidRPr="006279E8">
        <w:rPr>
          <w:rFonts w:cs="Arial"/>
          <w:sz w:val="18"/>
          <w:szCs w:val="18"/>
        </w:rPr>
        <w:t xml:space="preserve"> nor any of their respective representatives is making any representation to any offeree or purchaser of </w:t>
      </w:r>
      <w:r>
        <w:rPr>
          <w:rFonts w:cs="Arial"/>
          <w:sz w:val="18"/>
          <w:szCs w:val="18"/>
        </w:rPr>
        <w:t xml:space="preserve">Ordinary </w:t>
      </w:r>
      <w:r w:rsidRPr="006279E8">
        <w:rPr>
          <w:rFonts w:cs="Arial"/>
          <w:sz w:val="18"/>
          <w:szCs w:val="18"/>
        </w:rPr>
        <w:t xml:space="preserve">Shares regarding the legality of an investment in the </w:t>
      </w:r>
      <w:r>
        <w:rPr>
          <w:rFonts w:cs="Arial"/>
          <w:sz w:val="18"/>
          <w:szCs w:val="18"/>
        </w:rPr>
        <w:t xml:space="preserve">Ordinary </w:t>
      </w:r>
      <w:r w:rsidRPr="006279E8">
        <w:rPr>
          <w:rFonts w:cs="Arial"/>
          <w:sz w:val="18"/>
          <w:szCs w:val="18"/>
        </w:rPr>
        <w:t>Shares by such offeree or purchaser under the laws applicable to such offeree or purchaser.</w:t>
      </w:r>
    </w:p>
    <w:p w:rsidRPr="006279E8" w:rsidR="000215F0" w:rsidP="000215F0" w:rsidRDefault="000215F0" w14:paraId="4240356B" w14:textId="77777777">
      <w:pPr>
        <w:keepNext/>
        <w:rPr>
          <w:rFonts w:cs="Arial"/>
          <w:b/>
          <w:sz w:val="18"/>
          <w:szCs w:val="18"/>
        </w:rPr>
      </w:pPr>
      <w:r w:rsidRPr="006279E8">
        <w:rPr>
          <w:rFonts w:cs="Arial"/>
          <w:b/>
          <w:sz w:val="18"/>
          <w:szCs w:val="18"/>
        </w:rPr>
        <w:t>Notice to U.S. and other overseas investors</w:t>
      </w:r>
    </w:p>
    <w:p w:rsidRPr="006279E8" w:rsidR="000215F0" w:rsidP="000215F0" w:rsidRDefault="000215F0" w14:paraId="344E1A92" w14:textId="11B2BC7E">
      <w:pPr>
        <w:rPr>
          <w:rFonts w:cs="Arial"/>
          <w:sz w:val="18"/>
          <w:szCs w:val="18"/>
        </w:rPr>
      </w:pPr>
      <w:r w:rsidRPr="006279E8">
        <w:rPr>
          <w:rFonts w:cs="Arial"/>
          <w:sz w:val="18"/>
          <w:szCs w:val="18"/>
        </w:rPr>
        <w:t xml:space="preserve">This document may not be used for the purpose of, and does not constitute, an offer or solicitation by anyone in any jurisdiction or in any circumstances in which such offer or solicitation is unlawful or not authorised or would impose any unfulfilled registration, qualification, publication or approval requirements on the Company and/or </w:t>
      </w:r>
      <w:r>
        <w:rPr>
          <w:rFonts w:cs="Arial"/>
          <w:sz w:val="18"/>
          <w:szCs w:val="18"/>
        </w:rPr>
        <w:t>Singer Capital Markets</w:t>
      </w:r>
      <w:r w:rsidRPr="006279E8">
        <w:rPr>
          <w:rFonts w:cs="Arial"/>
          <w:sz w:val="18"/>
          <w:szCs w:val="18"/>
        </w:rPr>
        <w:t xml:space="preserve"> or to any person to whom it is unlawful to make such offer or solicitation. The offer and sale of </w:t>
      </w:r>
      <w:r>
        <w:rPr>
          <w:rFonts w:cs="Arial"/>
          <w:sz w:val="18"/>
          <w:szCs w:val="18"/>
        </w:rPr>
        <w:t xml:space="preserve">Ordinary </w:t>
      </w:r>
      <w:r w:rsidRPr="006279E8">
        <w:rPr>
          <w:rFonts w:cs="Arial"/>
          <w:sz w:val="18"/>
          <w:szCs w:val="18"/>
        </w:rPr>
        <w:t>Shares has not been and will not be registered under the applicable securities laws of Canada, Australia, the Republic of South Africa</w:t>
      </w:r>
      <w:r>
        <w:rPr>
          <w:rFonts w:cs="Arial"/>
          <w:sz w:val="18"/>
          <w:szCs w:val="18"/>
        </w:rPr>
        <w:t>,</w:t>
      </w:r>
      <w:r w:rsidRPr="006279E8">
        <w:rPr>
          <w:rFonts w:cs="Arial"/>
          <w:sz w:val="18"/>
          <w:szCs w:val="18"/>
        </w:rPr>
        <w:t xml:space="preserve"> Japan</w:t>
      </w:r>
      <w:r>
        <w:rPr>
          <w:rFonts w:cs="Arial"/>
          <w:sz w:val="18"/>
          <w:szCs w:val="18"/>
        </w:rPr>
        <w:t>, or any member state of the EEA</w:t>
      </w:r>
      <w:r w:rsidRPr="006279E8">
        <w:rPr>
          <w:rFonts w:cs="Arial"/>
          <w:sz w:val="18"/>
          <w:szCs w:val="18"/>
        </w:rPr>
        <w:t xml:space="preserve">. Subject to certain exemptions, the </w:t>
      </w:r>
      <w:r>
        <w:rPr>
          <w:rFonts w:cs="Arial"/>
          <w:sz w:val="18"/>
          <w:szCs w:val="18"/>
        </w:rPr>
        <w:t xml:space="preserve">Ordinary </w:t>
      </w:r>
      <w:r w:rsidRPr="006279E8">
        <w:rPr>
          <w:rFonts w:cs="Arial"/>
          <w:sz w:val="18"/>
          <w:szCs w:val="18"/>
        </w:rPr>
        <w:t>Shares may not be offered to or sold within Canada, Australia, the Republic of South Africa</w:t>
      </w:r>
      <w:r>
        <w:rPr>
          <w:rFonts w:cs="Arial"/>
          <w:sz w:val="18"/>
          <w:szCs w:val="18"/>
        </w:rPr>
        <w:t>,</w:t>
      </w:r>
      <w:r w:rsidRPr="006279E8">
        <w:rPr>
          <w:rFonts w:cs="Arial"/>
          <w:sz w:val="18"/>
          <w:szCs w:val="18"/>
        </w:rPr>
        <w:t xml:space="preserve"> Japan </w:t>
      </w:r>
      <w:r>
        <w:rPr>
          <w:rFonts w:cs="Arial"/>
          <w:sz w:val="18"/>
          <w:szCs w:val="18"/>
        </w:rPr>
        <w:t xml:space="preserve">or any member state of the EEA </w:t>
      </w:r>
      <w:r w:rsidRPr="006279E8">
        <w:rPr>
          <w:rFonts w:cs="Arial"/>
          <w:sz w:val="18"/>
          <w:szCs w:val="18"/>
        </w:rPr>
        <w:t>or to any national, resident or citizen of Canada, Australia, the Republic of South Africa</w:t>
      </w:r>
      <w:r>
        <w:rPr>
          <w:rFonts w:cs="Arial"/>
          <w:sz w:val="18"/>
          <w:szCs w:val="18"/>
        </w:rPr>
        <w:t>,</w:t>
      </w:r>
      <w:r w:rsidRPr="006279E8">
        <w:rPr>
          <w:rFonts w:cs="Arial"/>
          <w:sz w:val="18"/>
          <w:szCs w:val="18"/>
        </w:rPr>
        <w:t xml:space="preserve"> Japan</w:t>
      </w:r>
      <w:r>
        <w:rPr>
          <w:rFonts w:cs="Arial"/>
          <w:sz w:val="18"/>
          <w:szCs w:val="18"/>
        </w:rPr>
        <w:t xml:space="preserve"> or any member state of the EEA</w:t>
      </w:r>
      <w:r w:rsidRPr="006279E8">
        <w:rPr>
          <w:rFonts w:cs="Arial"/>
          <w:sz w:val="18"/>
          <w:szCs w:val="18"/>
        </w:rPr>
        <w:t xml:space="preserve">. </w:t>
      </w:r>
    </w:p>
    <w:p w:rsidRPr="00414BEA" w:rsidR="000215F0" w:rsidP="000215F0" w:rsidRDefault="000215F0" w14:paraId="335E1E91" w14:textId="77777777">
      <w:pPr>
        <w:rPr>
          <w:rFonts w:cs="Arial"/>
          <w:sz w:val="18"/>
          <w:szCs w:val="18"/>
        </w:rPr>
      </w:pPr>
      <w:r w:rsidRPr="00414BEA">
        <w:rPr>
          <w:rFonts w:cs="Arial"/>
          <w:sz w:val="18"/>
          <w:szCs w:val="18"/>
        </w:rPr>
        <w:t xml:space="preserve">The </w:t>
      </w:r>
      <w:r>
        <w:rPr>
          <w:rFonts w:cs="Arial"/>
          <w:sz w:val="18"/>
          <w:szCs w:val="18"/>
        </w:rPr>
        <w:t xml:space="preserve">Ordinary </w:t>
      </w:r>
      <w:r w:rsidRPr="00414BEA">
        <w:rPr>
          <w:rFonts w:cs="Arial"/>
          <w:sz w:val="18"/>
          <w:szCs w:val="18"/>
        </w:rPr>
        <w:t xml:space="preserve">Shares have not been approved or disapproved by the U.S. Securities and Exchange Commission, any state securities commission in the United States or any other U.S. regulatory authority, nor have any of the foregoing authorities passed upon or endorsed the merits of the offering of </w:t>
      </w:r>
      <w:r>
        <w:rPr>
          <w:rFonts w:cs="Arial"/>
          <w:sz w:val="18"/>
          <w:szCs w:val="18"/>
        </w:rPr>
        <w:t xml:space="preserve">Ordinary </w:t>
      </w:r>
      <w:r w:rsidRPr="00414BEA">
        <w:rPr>
          <w:rFonts w:cs="Arial"/>
          <w:sz w:val="18"/>
          <w:szCs w:val="18"/>
        </w:rPr>
        <w:t xml:space="preserve">Shares or the accuracy or adequacy of this document. Any representation to the contrary is a criminal offence in the United States and any re-offer or resale of any of the </w:t>
      </w:r>
      <w:r>
        <w:rPr>
          <w:rFonts w:cs="Arial"/>
          <w:sz w:val="18"/>
          <w:szCs w:val="18"/>
        </w:rPr>
        <w:t xml:space="preserve">Ordinary </w:t>
      </w:r>
      <w:r w:rsidRPr="00414BEA">
        <w:rPr>
          <w:rFonts w:cs="Arial"/>
          <w:sz w:val="18"/>
          <w:szCs w:val="18"/>
        </w:rPr>
        <w:t>Shares in the United States or to U.S. Persons may constitute a violat</w:t>
      </w:r>
      <w:r>
        <w:rPr>
          <w:rFonts w:cs="Arial"/>
          <w:sz w:val="18"/>
          <w:szCs w:val="18"/>
        </w:rPr>
        <w:t>ion of U.S. law or regulation.</w:t>
      </w:r>
    </w:p>
    <w:p w:rsidRPr="006A5E69" w:rsidR="000B499E" w:rsidP="000B499E" w:rsidRDefault="000B499E" w14:paraId="4F1CF815" w14:textId="627D3303">
      <w:pPr>
        <w:pStyle w:val="BodyText"/>
        <w:spacing w:after="240"/>
        <w:rPr>
          <w:sz w:val="18"/>
          <w:szCs w:val="18"/>
        </w:rPr>
      </w:pPr>
      <w:r w:rsidRPr="006A5E69">
        <w:rPr>
          <w:sz w:val="18"/>
          <w:szCs w:val="18"/>
        </w:rPr>
        <w:t xml:space="preserve">The Company is a registered closed-ended collective investment scheme pursuant to the Protection of Investors (Bailiwick of Guernsey) Law, </w:t>
      </w:r>
      <w:r>
        <w:rPr>
          <w:sz w:val="18"/>
          <w:szCs w:val="18"/>
        </w:rPr>
        <w:t xml:space="preserve">2020 </w:t>
      </w:r>
      <w:r w:rsidRPr="006A5E69">
        <w:rPr>
          <w:sz w:val="18"/>
          <w:szCs w:val="18"/>
        </w:rPr>
        <w:t xml:space="preserve">and the Registered Collective Investment Scheme Rules </w:t>
      </w:r>
      <w:r>
        <w:rPr>
          <w:sz w:val="18"/>
          <w:szCs w:val="18"/>
        </w:rPr>
        <w:t>and Guidance, 2021</w:t>
      </w:r>
      <w:r w:rsidRPr="006A5E69">
        <w:rPr>
          <w:sz w:val="18"/>
          <w:szCs w:val="18"/>
        </w:rPr>
        <w:t xml:space="preserve"> issued by the Guernsey Financial Services Commission (the "</w:t>
      </w:r>
      <w:r w:rsidRPr="006A5E69">
        <w:rPr>
          <w:b/>
          <w:sz w:val="18"/>
          <w:szCs w:val="18"/>
        </w:rPr>
        <w:t>GFSC</w:t>
      </w:r>
      <w:r w:rsidRPr="006A5E69">
        <w:rPr>
          <w:sz w:val="18"/>
          <w:szCs w:val="18"/>
        </w:rPr>
        <w:t>"). The GFSC takes no responsibility for the financial soundness of the Company or for the correctness of any statements made or opinions expressed with regard to it.</w:t>
      </w:r>
    </w:p>
    <w:p w:rsidRPr="006A5E69" w:rsidR="000215F0" w:rsidP="000B499E" w:rsidRDefault="000B499E" w14:paraId="4C3DE56B" w14:textId="1F09411A">
      <w:pPr>
        <w:pStyle w:val="BodyText"/>
        <w:spacing w:after="240"/>
        <w:rPr>
          <w:sz w:val="18"/>
          <w:szCs w:val="18"/>
        </w:rPr>
      </w:pPr>
      <w:r w:rsidRPr="006A5E69">
        <w:rPr>
          <w:sz w:val="18"/>
          <w:szCs w:val="18"/>
        </w:rPr>
        <w:t>Th</w:t>
      </w:r>
      <w:r>
        <w:rPr>
          <w:sz w:val="18"/>
          <w:szCs w:val="18"/>
        </w:rPr>
        <w:t xml:space="preserve">e GFSC, in </w:t>
      </w:r>
      <w:r w:rsidRPr="006A5E69">
        <w:rPr>
          <w:sz w:val="18"/>
          <w:szCs w:val="18"/>
        </w:rPr>
        <w:t>granting registration,</w:t>
      </w:r>
      <w:r>
        <w:rPr>
          <w:sz w:val="18"/>
          <w:szCs w:val="18"/>
        </w:rPr>
        <w:t xml:space="preserve"> has not reviewed this document but has relied upon specific declarations provided by </w:t>
      </w:r>
      <w:r w:rsidR="002267BD">
        <w:rPr>
          <w:sz w:val="18"/>
          <w:szCs w:val="18"/>
        </w:rPr>
        <w:t>NSM Funds Limited</w:t>
      </w:r>
      <w:r>
        <w:rPr>
          <w:sz w:val="18"/>
          <w:szCs w:val="18"/>
        </w:rPr>
        <w:t>, the Company's designated administrator.</w:t>
      </w:r>
    </w:p>
    <w:p w:rsidRPr="006279E8" w:rsidR="000215F0" w:rsidP="000215F0" w:rsidRDefault="000215F0" w14:paraId="7D970D43" w14:textId="3FD5C8AF">
      <w:pPr>
        <w:rPr>
          <w:rFonts w:cs="Arial"/>
          <w:sz w:val="18"/>
          <w:szCs w:val="18"/>
        </w:rPr>
      </w:pPr>
      <w:r w:rsidRPr="006279E8">
        <w:rPr>
          <w:rFonts w:cs="Arial"/>
          <w:sz w:val="18"/>
          <w:szCs w:val="18"/>
        </w:rPr>
        <w:t>Copies of this document will be available on the Company’s website (</w:t>
      </w:r>
      <w:r w:rsidRPr="006279E8">
        <w:rPr>
          <w:rFonts w:eastAsia="Arial" w:cs="Arial"/>
          <w:color w:val="000000"/>
          <w:sz w:val="18"/>
          <w:szCs w:val="18"/>
          <w:u w:val="single"/>
          <w:lang w:val="x-none" w:eastAsia="en-US"/>
        </w:rPr>
        <w:t>www.</w:t>
      </w:r>
      <w:r w:rsidR="00137B97">
        <w:rPr>
          <w:rFonts w:cs="Arial"/>
          <w:sz w:val="18"/>
          <w:szCs w:val="18"/>
          <w:u w:val="single"/>
        </w:rPr>
        <w:t>achillesic.com</w:t>
      </w:r>
      <w:r w:rsidRPr="006279E8">
        <w:rPr>
          <w:rFonts w:cs="Arial"/>
          <w:sz w:val="18"/>
          <w:szCs w:val="18"/>
        </w:rPr>
        <w:t xml:space="preserve">) and the National Storage Mechanism of the FCA at </w:t>
      </w:r>
      <w:r w:rsidRPr="006279E8">
        <w:rPr>
          <w:rFonts w:cs="Arial"/>
          <w:sz w:val="18"/>
          <w:szCs w:val="18"/>
          <w:u w:val="single"/>
        </w:rPr>
        <w:t>https://data.fca.org.uk/#/nsm/nationalstoragemechanism</w:t>
      </w:r>
      <w:r w:rsidRPr="006279E8">
        <w:rPr>
          <w:rFonts w:cs="Arial"/>
          <w:sz w:val="18"/>
          <w:szCs w:val="18"/>
        </w:rPr>
        <w:t xml:space="preserve">.  </w:t>
      </w:r>
    </w:p>
    <w:p w:rsidRPr="006279E8" w:rsidR="000215F0" w:rsidP="000215F0" w:rsidRDefault="000215F0" w14:paraId="26E4C9EA" w14:textId="0780A769">
      <w:pPr>
        <w:rPr>
          <w:rFonts w:cs="Arial"/>
          <w:b/>
          <w:sz w:val="18"/>
          <w:szCs w:val="18"/>
        </w:rPr>
      </w:pPr>
      <w:r w:rsidRPr="006279E8">
        <w:rPr>
          <w:rFonts w:cs="Arial"/>
          <w:b/>
          <w:sz w:val="18"/>
          <w:szCs w:val="18"/>
        </w:rPr>
        <w:t>Without limitation, neither the contents of the Company’s or the Investment Manager'</w:t>
      </w:r>
      <w:r w:rsidR="00F6186E">
        <w:rPr>
          <w:rFonts w:cs="Arial"/>
          <w:b/>
          <w:sz w:val="18"/>
          <w:szCs w:val="18"/>
        </w:rPr>
        <w:t>s website (</w:t>
      </w:r>
      <w:r w:rsidRPr="00FF6A04" w:rsidR="00F6186E">
        <w:rPr>
          <w:rFonts w:cs="Arial"/>
          <w:b/>
          <w:sz w:val="18"/>
          <w:szCs w:val="18"/>
          <w:u w:val="single"/>
        </w:rPr>
        <w:t>www.</w:t>
      </w:r>
      <w:r w:rsidR="00137B97">
        <w:rPr>
          <w:rFonts w:cs="Arial"/>
          <w:b/>
          <w:sz w:val="18"/>
          <w:szCs w:val="18"/>
          <w:u w:val="single"/>
        </w:rPr>
        <w:t>harwoodcapital.co.uk</w:t>
      </w:r>
      <w:r>
        <w:rPr>
          <w:rFonts w:cs="Arial"/>
          <w:b/>
          <w:sz w:val="18"/>
          <w:szCs w:val="18"/>
        </w:rPr>
        <w:t>) or any other website</w:t>
      </w:r>
      <w:r w:rsidRPr="006279E8">
        <w:rPr>
          <w:rFonts w:cs="Arial"/>
          <w:b/>
          <w:sz w:val="18"/>
          <w:szCs w:val="18"/>
        </w:rPr>
        <w:t xml:space="preserve"> nor the content of any website accessible from hyperlinks on the Company's or the Investment Manager's website (or any other website) is incorporated into, or forms part of this document, or has been approved by the FCA. Investors should base their decision whether or not to invest in the</w:t>
      </w:r>
      <w:r>
        <w:rPr>
          <w:rFonts w:cs="Arial"/>
          <w:b/>
          <w:sz w:val="18"/>
          <w:szCs w:val="18"/>
        </w:rPr>
        <w:t xml:space="preserve"> Ordinary</w:t>
      </w:r>
      <w:r w:rsidRPr="006279E8">
        <w:rPr>
          <w:rFonts w:cs="Arial"/>
          <w:b/>
          <w:sz w:val="18"/>
          <w:szCs w:val="18"/>
        </w:rPr>
        <w:t xml:space="preserve"> Shares on the contents of this document </w:t>
      </w:r>
      <w:r>
        <w:rPr>
          <w:rFonts w:cs="Arial"/>
          <w:b/>
          <w:sz w:val="18"/>
          <w:szCs w:val="18"/>
        </w:rPr>
        <w:t xml:space="preserve">and any supplementary prospectus published by the Company prior to Initial Admission or any Admission of Ordinary Shares issued pursuant to the Placing Programme </w:t>
      </w:r>
      <w:r w:rsidRPr="006279E8">
        <w:rPr>
          <w:rFonts w:cs="Arial"/>
          <w:b/>
          <w:sz w:val="18"/>
          <w:szCs w:val="18"/>
        </w:rPr>
        <w:t>alone.</w:t>
      </w:r>
    </w:p>
    <w:p w:rsidRPr="001B2FAF" w:rsidR="000215F0" w:rsidP="000215F0" w:rsidRDefault="000215F0" w14:paraId="3222D22D" w14:textId="37FFB0CF">
      <w:pPr>
        <w:rPr>
          <w:rFonts w:cs="Arial"/>
          <w:sz w:val="18"/>
          <w:szCs w:val="18"/>
        </w:rPr>
      </w:pPr>
      <w:r w:rsidRPr="006279E8">
        <w:rPr>
          <w:rFonts w:cs="Arial"/>
          <w:sz w:val="18"/>
          <w:szCs w:val="18"/>
        </w:rPr>
        <w:t>Dated:</w:t>
      </w:r>
      <w:r>
        <w:rPr>
          <w:rFonts w:cs="Arial"/>
          <w:sz w:val="18"/>
          <w:szCs w:val="18"/>
        </w:rPr>
        <w:t xml:space="preserve"> </w:t>
      </w:r>
      <w:r w:rsidR="007D3786">
        <w:rPr>
          <w:rFonts w:cs="Arial"/>
          <w:sz w:val="18"/>
          <w:szCs w:val="18"/>
        </w:rPr>
        <w:t>20</w:t>
      </w:r>
      <w:r w:rsidR="004F0EF4">
        <w:rPr>
          <w:rFonts w:cs="Arial"/>
          <w:sz w:val="18"/>
          <w:szCs w:val="18"/>
        </w:rPr>
        <w:t xml:space="preserve"> February</w:t>
      </w:r>
      <w:r>
        <w:rPr>
          <w:rFonts w:cs="Arial"/>
          <w:sz w:val="18"/>
          <w:szCs w:val="18"/>
        </w:rPr>
        <w:t xml:space="preserve"> 202</w:t>
      </w:r>
      <w:r w:rsidR="00926E16">
        <w:rPr>
          <w:rFonts w:cs="Arial"/>
          <w:sz w:val="18"/>
          <w:szCs w:val="18"/>
        </w:rPr>
        <w:t>5</w:t>
      </w:r>
    </w:p>
    <w:p w:rsidRPr="001B2FAF" w:rsidR="000215F0" w:rsidP="000215F0" w:rsidRDefault="000215F0" w14:paraId="7CE5DCB7" w14:textId="77777777">
      <w:pPr>
        <w:spacing w:after="0"/>
        <w:jc w:val="left"/>
        <w:rPr>
          <w:rFonts w:cs="Arial"/>
          <w:sz w:val="18"/>
          <w:szCs w:val="18"/>
        </w:rPr>
      </w:pPr>
      <w:r w:rsidRPr="001B2FAF">
        <w:rPr>
          <w:rFonts w:cs="Arial"/>
          <w:sz w:val="18"/>
          <w:szCs w:val="18"/>
        </w:rPr>
        <w:br w:type="page"/>
      </w:r>
    </w:p>
    <w:p w:rsidRPr="001B2FAF" w:rsidR="000215F0" w:rsidP="000215F0" w:rsidRDefault="000215F0" w14:paraId="1951468E" w14:textId="77777777">
      <w:pPr>
        <w:pStyle w:val="BoldCentre"/>
        <w:rPr>
          <w:rFonts w:cs="Arial"/>
        </w:rPr>
      </w:pPr>
      <w:r w:rsidRPr="001B2FAF">
        <w:rPr>
          <w:rFonts w:cs="Arial"/>
        </w:rPr>
        <w:lastRenderedPageBreak/>
        <w:t>CONTENTS</w:t>
      </w:r>
    </w:p>
    <w:p w:rsidRPr="001B2FAF" w:rsidR="000215F0" w:rsidP="000215F0" w:rsidRDefault="000215F0" w14:paraId="5E0C629E" w14:textId="77777777">
      <w:pPr>
        <w:pStyle w:val="Headertoc"/>
        <w:tabs>
          <w:tab w:val="clear" w:pos="9356"/>
          <w:tab w:val="right" w:pos="8931"/>
        </w:tabs>
        <w:rPr>
          <w:rFonts w:cs="Arial"/>
        </w:rPr>
      </w:pPr>
      <w:r w:rsidRPr="001B2FAF">
        <w:rPr>
          <w:rFonts w:cs="Arial"/>
        </w:rPr>
        <w:tab/>
        <w:t>Page</w:t>
      </w:r>
    </w:p>
    <w:p w:rsidR="00FA62DB" w:rsidRDefault="000215F0" w14:paraId="5746CFA1" w14:textId="56FB6EF0">
      <w:pPr>
        <w:pStyle w:val="TOC1"/>
        <w:rPr>
          <w:rFonts w:asciiTheme="minorHAnsi" w:hAnsiTheme="minorHAnsi" w:eastAsiaTheme="minorEastAsia" w:cstheme="minorBidi"/>
          <w:kern w:val="2"/>
          <w:sz w:val="24"/>
          <w14:ligatures w14:val="standardContextual"/>
        </w:rPr>
      </w:pPr>
      <w:r w:rsidRPr="0043344E">
        <w:rPr>
          <w:highlight w:val="yellow"/>
        </w:rPr>
        <w:fldChar w:fldCharType="begin"/>
      </w:r>
      <w:r w:rsidRPr="0043344E">
        <w:rPr>
          <w:highlight w:val="yellow"/>
        </w:rPr>
        <w:instrText xml:space="preserve"> TOC \f </w:instrText>
      </w:r>
      <w:r w:rsidRPr="0043344E">
        <w:rPr>
          <w:highlight w:val="yellow"/>
        </w:rPr>
        <w:fldChar w:fldCharType="separate"/>
      </w:r>
      <w:r w:rsidRPr="00907DA9" w:rsidR="00FA62DB">
        <w:rPr>
          <w:bCs/>
          <w:caps/>
        </w:rPr>
        <w:t>SUMMARY</w:t>
      </w:r>
      <w:r w:rsidR="00FA62DB">
        <w:tab/>
      </w:r>
      <w:r w:rsidR="00FA62DB">
        <w:fldChar w:fldCharType="begin"/>
      </w:r>
      <w:r w:rsidR="00FA62DB">
        <w:instrText xml:space="preserve"> PAGEREF _Toc190288023 \h </w:instrText>
      </w:r>
      <w:r w:rsidR="00FA62DB">
        <w:fldChar w:fldCharType="separate"/>
      </w:r>
      <w:r w:rsidR="00AE6553">
        <w:t>5</w:t>
      </w:r>
      <w:r w:rsidR="00FA62DB">
        <w:fldChar w:fldCharType="end"/>
      </w:r>
    </w:p>
    <w:p w:rsidR="00FA62DB" w:rsidRDefault="00FA62DB" w14:paraId="52982529" w14:textId="38B9FCDB">
      <w:pPr>
        <w:pStyle w:val="TOC1"/>
        <w:rPr>
          <w:rFonts w:asciiTheme="minorHAnsi" w:hAnsiTheme="minorHAnsi" w:eastAsiaTheme="minorEastAsia" w:cstheme="minorBidi"/>
          <w:kern w:val="2"/>
          <w:sz w:val="24"/>
          <w14:ligatures w14:val="standardContextual"/>
        </w:rPr>
      </w:pPr>
      <w:r w:rsidRPr="00907DA9">
        <w:t>RISK FACTORS</w:t>
      </w:r>
      <w:r>
        <w:tab/>
      </w:r>
      <w:r>
        <w:fldChar w:fldCharType="begin"/>
      </w:r>
      <w:r>
        <w:instrText xml:space="preserve"> PAGEREF _Toc190288024 \h </w:instrText>
      </w:r>
      <w:r>
        <w:fldChar w:fldCharType="separate"/>
      </w:r>
      <w:r w:rsidR="00AE6553">
        <w:t>10</w:t>
      </w:r>
      <w:r>
        <w:fldChar w:fldCharType="end"/>
      </w:r>
    </w:p>
    <w:p w:rsidR="00FA62DB" w:rsidRDefault="00FA62DB" w14:paraId="31D66F49" w14:textId="1EEBB872">
      <w:pPr>
        <w:pStyle w:val="TOC1"/>
        <w:rPr>
          <w:rFonts w:asciiTheme="minorHAnsi" w:hAnsiTheme="minorHAnsi" w:eastAsiaTheme="minorEastAsia" w:cstheme="minorBidi"/>
          <w:kern w:val="2"/>
          <w:sz w:val="24"/>
          <w14:ligatures w14:val="standardContextual"/>
        </w:rPr>
      </w:pPr>
      <w:r w:rsidRPr="00907DA9">
        <w:t>IMPORTANT INFORMATION</w:t>
      </w:r>
      <w:r>
        <w:tab/>
      </w:r>
      <w:r>
        <w:fldChar w:fldCharType="begin"/>
      </w:r>
      <w:r>
        <w:instrText xml:space="preserve"> PAGEREF _Toc190288025 \h </w:instrText>
      </w:r>
      <w:r>
        <w:fldChar w:fldCharType="separate"/>
      </w:r>
      <w:r w:rsidR="00AE6553">
        <w:t>18</w:t>
      </w:r>
      <w:r>
        <w:fldChar w:fldCharType="end"/>
      </w:r>
    </w:p>
    <w:p w:rsidR="00FA62DB" w:rsidRDefault="00FA62DB" w14:paraId="0A7811C0" w14:textId="78036C55">
      <w:pPr>
        <w:pStyle w:val="TOC1"/>
        <w:rPr>
          <w:rFonts w:asciiTheme="minorHAnsi" w:hAnsiTheme="minorHAnsi" w:eastAsiaTheme="minorEastAsia" w:cstheme="minorBidi"/>
          <w:kern w:val="2"/>
          <w:sz w:val="24"/>
          <w14:ligatures w14:val="standardContextual"/>
        </w:rPr>
      </w:pPr>
      <w:r w:rsidRPr="00907DA9">
        <w:t>EXPECTED TIMETABLE</w:t>
      </w:r>
      <w:r>
        <w:tab/>
      </w:r>
      <w:r>
        <w:fldChar w:fldCharType="begin"/>
      </w:r>
      <w:r>
        <w:instrText xml:space="preserve"> PAGEREF _Toc190288026 \h </w:instrText>
      </w:r>
      <w:r>
        <w:fldChar w:fldCharType="separate"/>
      </w:r>
      <w:r w:rsidR="00AE6553">
        <w:t>24</w:t>
      </w:r>
      <w:r>
        <w:fldChar w:fldCharType="end"/>
      </w:r>
    </w:p>
    <w:p w:rsidR="00FA62DB" w:rsidRDefault="00FA62DB" w14:paraId="3B4D9824" w14:textId="185CA98D">
      <w:pPr>
        <w:pStyle w:val="TOC1"/>
        <w:rPr>
          <w:rFonts w:asciiTheme="minorHAnsi" w:hAnsiTheme="minorHAnsi" w:eastAsiaTheme="minorEastAsia" w:cstheme="minorBidi"/>
          <w:kern w:val="2"/>
          <w:sz w:val="24"/>
          <w14:ligatures w14:val="standardContextual"/>
        </w:rPr>
      </w:pPr>
      <w:r w:rsidRPr="00907DA9">
        <w:t>ISSUE STATISTICS</w:t>
      </w:r>
      <w:r>
        <w:tab/>
      </w:r>
      <w:r>
        <w:fldChar w:fldCharType="begin"/>
      </w:r>
      <w:r>
        <w:instrText xml:space="preserve"> PAGEREF _Toc190288027 \h </w:instrText>
      </w:r>
      <w:r>
        <w:fldChar w:fldCharType="separate"/>
      </w:r>
      <w:r w:rsidR="00AE6553">
        <w:t>25</w:t>
      </w:r>
      <w:r>
        <w:fldChar w:fldCharType="end"/>
      </w:r>
    </w:p>
    <w:p w:rsidR="00FA62DB" w:rsidRDefault="00FA62DB" w14:paraId="2AD2690F" w14:textId="1F6ED72C">
      <w:pPr>
        <w:pStyle w:val="TOC1"/>
        <w:rPr>
          <w:rFonts w:asciiTheme="minorHAnsi" w:hAnsiTheme="minorHAnsi" w:eastAsiaTheme="minorEastAsia" w:cstheme="minorBidi"/>
          <w:kern w:val="2"/>
          <w:sz w:val="24"/>
          <w14:ligatures w14:val="standardContextual"/>
        </w:rPr>
      </w:pPr>
      <w:r w:rsidRPr="00907DA9">
        <w:rPr>
          <w:bCs/>
          <w:spacing w:val="6"/>
        </w:rPr>
        <w:t>DEALING CODES</w:t>
      </w:r>
      <w:r>
        <w:tab/>
      </w:r>
      <w:r>
        <w:fldChar w:fldCharType="begin"/>
      </w:r>
      <w:r>
        <w:instrText xml:space="preserve"> PAGEREF _Toc190288028 \h </w:instrText>
      </w:r>
      <w:r>
        <w:fldChar w:fldCharType="separate"/>
      </w:r>
      <w:r w:rsidR="00AE6553">
        <w:t>25</w:t>
      </w:r>
      <w:r>
        <w:fldChar w:fldCharType="end"/>
      </w:r>
    </w:p>
    <w:p w:rsidR="00FA62DB" w:rsidRDefault="00FA62DB" w14:paraId="65151EF7" w14:textId="3BC7DA3C">
      <w:pPr>
        <w:pStyle w:val="TOC1"/>
        <w:rPr>
          <w:rFonts w:asciiTheme="minorHAnsi" w:hAnsiTheme="minorHAnsi" w:eastAsiaTheme="minorEastAsia" w:cstheme="minorBidi"/>
          <w:kern w:val="2"/>
          <w:sz w:val="24"/>
          <w14:ligatures w14:val="standardContextual"/>
        </w:rPr>
      </w:pPr>
      <w:r w:rsidRPr="00907DA9">
        <w:t>DIRECTORS, MANAGEMENT AND ADVISERS</w:t>
      </w:r>
      <w:r>
        <w:tab/>
      </w:r>
      <w:r>
        <w:fldChar w:fldCharType="begin"/>
      </w:r>
      <w:r>
        <w:instrText xml:space="preserve"> PAGEREF _Toc190288029 \h </w:instrText>
      </w:r>
      <w:r>
        <w:fldChar w:fldCharType="separate"/>
      </w:r>
      <w:r w:rsidR="00AE6553">
        <w:t>26</w:t>
      </w:r>
      <w:r>
        <w:fldChar w:fldCharType="end"/>
      </w:r>
    </w:p>
    <w:p w:rsidR="00FA62DB" w:rsidRDefault="00FA62DB" w14:paraId="7651E49C" w14:textId="52927B9C">
      <w:pPr>
        <w:pStyle w:val="TOC1"/>
        <w:rPr>
          <w:rFonts w:asciiTheme="minorHAnsi" w:hAnsiTheme="minorHAnsi" w:eastAsiaTheme="minorEastAsia" w:cstheme="minorBidi"/>
          <w:kern w:val="2"/>
          <w:sz w:val="24"/>
          <w14:ligatures w14:val="standardContextual"/>
        </w:rPr>
      </w:pPr>
      <w:r w:rsidRPr="00907DA9">
        <w:t>VOLUNTARY COMPLIANCE WITH THE UK LISTING RULES</w:t>
      </w:r>
      <w:r>
        <w:tab/>
      </w:r>
      <w:r>
        <w:fldChar w:fldCharType="begin"/>
      </w:r>
      <w:r>
        <w:instrText xml:space="preserve"> PAGEREF _Toc190288030 \h </w:instrText>
      </w:r>
      <w:r>
        <w:fldChar w:fldCharType="separate"/>
      </w:r>
      <w:r w:rsidR="00AE6553">
        <w:t>28</w:t>
      </w:r>
      <w:r>
        <w:fldChar w:fldCharType="end"/>
      </w:r>
    </w:p>
    <w:p w:rsidR="00FA62DB" w:rsidRDefault="00FA62DB" w14:paraId="3EBC30AE" w14:textId="17639081">
      <w:pPr>
        <w:pStyle w:val="TOC1"/>
        <w:rPr>
          <w:rFonts w:asciiTheme="minorHAnsi" w:hAnsiTheme="minorHAnsi" w:eastAsiaTheme="minorEastAsia" w:cstheme="minorBidi"/>
          <w:kern w:val="2"/>
          <w:sz w:val="24"/>
          <w14:ligatures w14:val="standardContextual"/>
        </w:rPr>
      </w:pPr>
      <w:r>
        <w:t>PART 1 – INFORMATION ON THE COMPANY</w:t>
      </w:r>
      <w:r>
        <w:tab/>
      </w:r>
      <w:r>
        <w:fldChar w:fldCharType="begin"/>
      </w:r>
      <w:r>
        <w:instrText xml:space="preserve"> PAGEREF _Toc190288031 \h </w:instrText>
      </w:r>
      <w:r>
        <w:fldChar w:fldCharType="separate"/>
      </w:r>
      <w:r w:rsidR="00AE6553">
        <w:t>30</w:t>
      </w:r>
      <w:r>
        <w:fldChar w:fldCharType="end"/>
      </w:r>
    </w:p>
    <w:p w:rsidR="00FA62DB" w:rsidRDefault="00FA62DB" w14:paraId="54A44E5D" w14:textId="0887EF54">
      <w:pPr>
        <w:pStyle w:val="TOC1"/>
        <w:rPr>
          <w:rFonts w:asciiTheme="minorHAnsi" w:hAnsiTheme="minorHAnsi" w:eastAsiaTheme="minorEastAsia" w:cstheme="minorBidi"/>
          <w:kern w:val="2"/>
          <w:sz w:val="24"/>
          <w14:ligatures w14:val="standardContextual"/>
        </w:rPr>
      </w:pPr>
      <w:r>
        <w:t>PART 2 – DIRECTORS, MANAGEMENT AND ADMINISTRATION</w:t>
      </w:r>
      <w:r>
        <w:tab/>
      </w:r>
      <w:r>
        <w:fldChar w:fldCharType="begin"/>
      </w:r>
      <w:r>
        <w:instrText xml:space="preserve"> PAGEREF _Toc190288032 \h </w:instrText>
      </w:r>
      <w:r>
        <w:fldChar w:fldCharType="separate"/>
      </w:r>
      <w:r w:rsidR="00AE6553">
        <w:t>40</w:t>
      </w:r>
      <w:r>
        <w:fldChar w:fldCharType="end"/>
      </w:r>
    </w:p>
    <w:p w:rsidR="00FA62DB" w:rsidRDefault="00FA62DB" w14:paraId="3E5F26BE" w14:textId="141E05AC">
      <w:pPr>
        <w:pStyle w:val="TOC1"/>
        <w:rPr>
          <w:rFonts w:asciiTheme="minorHAnsi" w:hAnsiTheme="minorHAnsi" w:eastAsiaTheme="minorEastAsia" w:cstheme="minorBidi"/>
          <w:kern w:val="2"/>
          <w:sz w:val="24"/>
          <w14:ligatures w14:val="standardContextual"/>
        </w:rPr>
      </w:pPr>
      <w:r>
        <w:t>PART 3 – THE INITIAL PLACING</w:t>
      </w:r>
      <w:r>
        <w:tab/>
      </w:r>
      <w:r>
        <w:fldChar w:fldCharType="begin"/>
      </w:r>
      <w:r>
        <w:instrText xml:space="preserve"> PAGEREF _Toc190288033 \h </w:instrText>
      </w:r>
      <w:r>
        <w:fldChar w:fldCharType="separate"/>
      </w:r>
      <w:r w:rsidR="00AE6553">
        <w:t>46</w:t>
      </w:r>
      <w:r>
        <w:fldChar w:fldCharType="end"/>
      </w:r>
    </w:p>
    <w:p w:rsidR="00FA62DB" w:rsidRDefault="00FA62DB" w14:paraId="635E2282" w14:textId="5F0B4989">
      <w:pPr>
        <w:pStyle w:val="TOC1"/>
        <w:rPr>
          <w:rFonts w:asciiTheme="minorHAnsi" w:hAnsiTheme="minorHAnsi" w:eastAsiaTheme="minorEastAsia" w:cstheme="minorBidi"/>
          <w:kern w:val="2"/>
          <w:sz w:val="24"/>
          <w14:ligatures w14:val="standardContextual"/>
        </w:rPr>
      </w:pPr>
      <w:r>
        <w:t>PART 4 – THE PLACING PROGRAMME</w:t>
      </w:r>
      <w:r>
        <w:tab/>
      </w:r>
      <w:r>
        <w:fldChar w:fldCharType="begin"/>
      </w:r>
      <w:r>
        <w:instrText xml:space="preserve"> PAGEREF _Toc190288034 \h </w:instrText>
      </w:r>
      <w:r>
        <w:fldChar w:fldCharType="separate"/>
      </w:r>
      <w:r w:rsidR="00AE6553">
        <w:t>50</w:t>
      </w:r>
      <w:r>
        <w:fldChar w:fldCharType="end"/>
      </w:r>
    </w:p>
    <w:p w:rsidR="00FA62DB" w:rsidRDefault="00FA62DB" w14:paraId="2D5ECD1D" w14:textId="5AC70E2A">
      <w:pPr>
        <w:pStyle w:val="TOC1"/>
        <w:rPr>
          <w:rFonts w:asciiTheme="minorHAnsi" w:hAnsiTheme="minorHAnsi" w:eastAsiaTheme="minorEastAsia" w:cstheme="minorBidi"/>
          <w:kern w:val="2"/>
          <w:sz w:val="24"/>
          <w14:ligatures w14:val="standardContextual"/>
        </w:rPr>
      </w:pPr>
      <w:r>
        <w:t>PART 5 – TAXATION</w:t>
      </w:r>
      <w:r>
        <w:tab/>
      </w:r>
      <w:r>
        <w:fldChar w:fldCharType="begin"/>
      </w:r>
      <w:r>
        <w:instrText xml:space="preserve"> PAGEREF _Toc190288035 \h </w:instrText>
      </w:r>
      <w:r>
        <w:fldChar w:fldCharType="separate"/>
      </w:r>
      <w:r w:rsidR="00AE6553">
        <w:t>54</w:t>
      </w:r>
      <w:r>
        <w:fldChar w:fldCharType="end"/>
      </w:r>
    </w:p>
    <w:p w:rsidR="00FA62DB" w:rsidRDefault="00FA62DB" w14:paraId="28EF9CFD" w14:textId="77E92B51">
      <w:pPr>
        <w:pStyle w:val="TOC1"/>
        <w:rPr>
          <w:rFonts w:asciiTheme="minorHAnsi" w:hAnsiTheme="minorHAnsi" w:eastAsiaTheme="minorEastAsia" w:cstheme="minorBidi"/>
          <w:kern w:val="2"/>
          <w:sz w:val="24"/>
          <w14:ligatures w14:val="standardContextual"/>
        </w:rPr>
      </w:pPr>
      <w:r>
        <w:t>PART 6 – GENERAL INFORMATION</w:t>
      </w:r>
      <w:r>
        <w:tab/>
      </w:r>
      <w:r>
        <w:fldChar w:fldCharType="begin"/>
      </w:r>
      <w:r>
        <w:instrText xml:space="preserve"> PAGEREF _Toc190288036 \h </w:instrText>
      </w:r>
      <w:r>
        <w:fldChar w:fldCharType="separate"/>
      </w:r>
      <w:r w:rsidR="00AE6553">
        <w:t>61</w:t>
      </w:r>
      <w:r>
        <w:fldChar w:fldCharType="end"/>
      </w:r>
    </w:p>
    <w:p w:rsidR="00FA62DB" w:rsidRDefault="00FA62DB" w14:paraId="0B666C62" w14:textId="0E616B34">
      <w:pPr>
        <w:pStyle w:val="TOC1"/>
        <w:rPr>
          <w:rFonts w:asciiTheme="minorHAnsi" w:hAnsiTheme="minorHAnsi" w:eastAsiaTheme="minorEastAsia" w:cstheme="minorBidi"/>
          <w:kern w:val="2"/>
          <w:sz w:val="24"/>
          <w14:ligatures w14:val="standardContextual"/>
        </w:rPr>
      </w:pPr>
      <w:r>
        <w:t>PART 7 – DEFINITIONS</w:t>
      </w:r>
      <w:r>
        <w:tab/>
      </w:r>
      <w:r>
        <w:fldChar w:fldCharType="begin"/>
      </w:r>
      <w:r>
        <w:instrText xml:space="preserve"> PAGEREF _Toc190288037 \h </w:instrText>
      </w:r>
      <w:r>
        <w:fldChar w:fldCharType="separate"/>
      </w:r>
      <w:r w:rsidR="00AE6553">
        <w:t>88</w:t>
      </w:r>
      <w:r>
        <w:fldChar w:fldCharType="end"/>
      </w:r>
    </w:p>
    <w:p w:rsidR="00FA62DB" w:rsidRDefault="00FA62DB" w14:paraId="7358903D" w14:textId="0985BC43">
      <w:pPr>
        <w:pStyle w:val="TOC1"/>
        <w:rPr>
          <w:rFonts w:asciiTheme="minorHAnsi" w:hAnsiTheme="minorHAnsi" w:eastAsiaTheme="minorEastAsia" w:cstheme="minorBidi"/>
          <w:kern w:val="2"/>
          <w:sz w:val="24"/>
          <w14:ligatures w14:val="standardContextual"/>
        </w:rPr>
      </w:pPr>
      <w:r>
        <w:t>PART 8 – TERMS AND CONDITIONS OF PLACING</w:t>
      </w:r>
      <w:r>
        <w:tab/>
      </w:r>
      <w:r>
        <w:fldChar w:fldCharType="begin"/>
      </w:r>
      <w:r>
        <w:instrText xml:space="preserve"> PAGEREF _Toc190288038 \h </w:instrText>
      </w:r>
      <w:r>
        <w:fldChar w:fldCharType="separate"/>
      </w:r>
      <w:r w:rsidR="00AE6553">
        <w:t>95</w:t>
      </w:r>
      <w:r>
        <w:fldChar w:fldCharType="end"/>
      </w:r>
    </w:p>
    <w:p w:rsidR="00FA62DB" w:rsidRDefault="00FA62DB" w14:paraId="27A26D8C" w14:textId="4BC24EAD">
      <w:pPr>
        <w:pStyle w:val="TOC1"/>
        <w:rPr>
          <w:rFonts w:asciiTheme="minorHAnsi" w:hAnsiTheme="minorHAnsi" w:eastAsiaTheme="minorEastAsia" w:cstheme="minorBidi"/>
          <w:kern w:val="2"/>
          <w:sz w:val="24"/>
          <w14:ligatures w14:val="standardContextual"/>
        </w:rPr>
      </w:pPr>
      <w:r>
        <w:t>PART 9 - REDEMPTION OF ORDINARY SHARES UNDER THE REDEMPTION MECHANISM</w:t>
      </w:r>
      <w:r>
        <w:tab/>
      </w:r>
      <w:r>
        <w:fldChar w:fldCharType="begin"/>
      </w:r>
      <w:r>
        <w:instrText xml:space="preserve"> PAGEREF _Toc190288039 \h </w:instrText>
      </w:r>
      <w:r>
        <w:fldChar w:fldCharType="separate"/>
      </w:r>
      <w:r w:rsidR="00AE6553">
        <w:t>106</w:t>
      </w:r>
      <w:r>
        <w:fldChar w:fldCharType="end"/>
      </w:r>
    </w:p>
    <w:p w:rsidRPr="00BB533C" w:rsidR="000215F0" w:rsidP="000215F0" w:rsidRDefault="000215F0" w14:paraId="1AD8AC3F" w14:textId="1D51513A">
      <w:pPr>
        <w:pStyle w:val="TOC1"/>
        <w:tabs>
          <w:tab w:val="clear" w:pos="9356"/>
          <w:tab w:val="left" w:pos="1417"/>
          <w:tab w:val="right" w:leader="dot" w:pos="9071"/>
        </w:tabs>
      </w:pPr>
      <w:r w:rsidRPr="0043344E">
        <w:rPr>
          <w:highlight w:val="yellow"/>
        </w:rPr>
        <w:fldChar w:fldCharType="end"/>
      </w:r>
    </w:p>
    <w:p w:rsidRPr="001B2FAF" w:rsidR="000215F0" w:rsidP="000215F0" w:rsidRDefault="000215F0" w14:paraId="0554B4BF" w14:textId="77777777">
      <w:pPr>
        <w:spacing w:after="0"/>
        <w:jc w:val="left"/>
        <w:rPr>
          <w:rFonts w:cs="Arial"/>
          <w:sz w:val="18"/>
          <w:szCs w:val="18"/>
        </w:rPr>
      </w:pPr>
      <w:r w:rsidRPr="001B2FAF">
        <w:rPr>
          <w:rFonts w:cs="Arial"/>
          <w:sz w:val="18"/>
          <w:szCs w:val="18"/>
        </w:rPr>
        <w:br w:type="page"/>
      </w:r>
    </w:p>
    <w:p w:rsidRPr="00BE0E59" w:rsidR="000215F0" w:rsidP="000215F0" w:rsidRDefault="000215F0" w14:paraId="1DA6BE48" w14:textId="6DA325B5">
      <w:pPr>
        <w:jc w:val="center"/>
        <w:rPr>
          <w:rFonts w:cs="Arial"/>
          <w:b/>
          <w:sz w:val="19"/>
          <w:szCs w:val="19"/>
        </w:rPr>
      </w:pPr>
      <w:r w:rsidRPr="000651ED">
        <w:rPr>
          <w:rFonts w:cs="Arial"/>
          <w:b/>
          <w:bCs/>
          <w:caps/>
        </w:rPr>
        <w:lastRenderedPageBreak/>
        <w:t>SUMMARY</w:t>
      </w:r>
      <w:r>
        <w:rPr>
          <w:rFonts w:cs="Arial"/>
          <w:b/>
          <w:bCs/>
          <w:caps/>
        </w:rPr>
        <w:fldChar w:fldCharType="begin"/>
      </w:r>
      <w:r>
        <w:rPr>
          <w:rFonts w:cs="Arial"/>
          <w:b/>
          <w:bCs/>
          <w:caps/>
        </w:rPr>
        <w:instrText xml:space="preserve"> TC "</w:instrText>
      </w:r>
      <w:r>
        <w:rPr>
          <w:rFonts w:cs="Arial"/>
          <w:b/>
          <w:bCs/>
          <w:caps/>
        </w:rPr>
        <w:tab/>
      </w:r>
      <w:bookmarkStart w:name="_Toc190288023" w:id="8"/>
      <w:r w:rsidRPr="003065A2">
        <w:rPr>
          <w:rFonts w:cs="Arial"/>
          <w:bCs/>
          <w:caps/>
        </w:rPr>
        <w:instrText>SUMMARY</w:instrText>
      </w:r>
      <w:bookmarkEnd w:id="8"/>
      <w:r>
        <w:rPr>
          <w:rFonts w:cs="Arial"/>
          <w:b/>
          <w:bCs/>
          <w:caps/>
        </w:rPr>
        <w:tab/>
        <w:instrText xml:space="preserve">" \l1 </w:instrText>
      </w:r>
      <w:r>
        <w:rPr>
          <w:rFonts w:cs="Arial"/>
          <w:b/>
          <w:bCs/>
          <w:caps/>
        </w:rPr>
        <w:fldChar w:fldCharType="end"/>
      </w:r>
    </w:p>
    <w:p w:rsidRPr="009E77E6" w:rsidR="000215F0" w:rsidP="00565AD4" w:rsidRDefault="000215F0" w14:paraId="20DEA128" w14:textId="26EA844C">
      <w:pPr>
        <w:pStyle w:val="Heading1"/>
        <w:numPr>
          <w:ilvl w:val="0"/>
          <w:numId w:val="50"/>
        </w:numPr>
        <w:tabs>
          <w:tab w:val="clear" w:pos="1134"/>
          <w:tab w:val="num" w:pos="709"/>
        </w:tabs>
        <w:ind w:left="709" w:hanging="709"/>
        <w:rPr>
          <w:sz w:val="18"/>
          <w:szCs w:val="18"/>
        </w:rPr>
      </w:pPr>
      <w:bookmarkStart w:name="_Toc35954166" w:id="9"/>
      <w:bookmarkStart w:name="_Toc35957909" w:id="10"/>
      <w:bookmarkStart w:name="_Toc35961137" w:id="11"/>
      <w:bookmarkStart w:name="_Toc35964361" w:id="12"/>
      <w:bookmarkStart w:name="_Toc35967477" w:id="13"/>
      <w:bookmarkStart w:name="_Toc35970465" w:id="14"/>
      <w:bookmarkStart w:name="_Toc35973411" w:id="15"/>
      <w:bookmarkStart w:name="_Toc35975839" w:id="16"/>
      <w:bookmarkStart w:name="_Toc35978213" w:id="17"/>
      <w:r w:rsidRPr="009E77E6">
        <w:rPr>
          <w:sz w:val="18"/>
          <w:szCs w:val="18"/>
        </w:rPr>
        <w:t>INTRODUCTION, CONTAIN</w:t>
      </w:r>
      <w:bookmarkEnd w:id="9"/>
      <w:bookmarkEnd w:id="10"/>
      <w:bookmarkEnd w:id="11"/>
      <w:bookmarkEnd w:id="12"/>
      <w:bookmarkEnd w:id="13"/>
      <w:bookmarkEnd w:id="14"/>
      <w:r w:rsidRPr="009E77E6">
        <w:rPr>
          <w:sz w:val="18"/>
          <w:szCs w:val="18"/>
        </w:rPr>
        <w:t>I</w:t>
      </w:r>
      <w:bookmarkEnd w:id="15"/>
      <w:bookmarkEnd w:id="16"/>
      <w:r w:rsidRPr="009E77E6">
        <w:rPr>
          <w:sz w:val="18"/>
          <w:szCs w:val="18"/>
        </w:rPr>
        <w:t>NG WARNINGS</w:t>
      </w:r>
      <w:bookmarkEnd w:id="17"/>
      <w:r w:rsidRPr="009E77E6">
        <w:rPr>
          <w:sz w:val="18"/>
          <w:szCs w:val="18"/>
        </w:rPr>
        <w:t xml:space="preserve"> </w:t>
      </w:r>
    </w:p>
    <w:p w:rsidRPr="009E77E6" w:rsidR="000215F0" w:rsidP="000215F0" w:rsidRDefault="000215F0" w14:paraId="17D93C92" w14:textId="2B44D56D">
      <w:pPr>
        <w:ind w:left="709"/>
        <w:rPr>
          <w:rFonts w:cs="Arial"/>
          <w:b/>
          <w:sz w:val="18"/>
          <w:szCs w:val="18"/>
        </w:rPr>
      </w:pPr>
      <w:r w:rsidRPr="009E77E6">
        <w:rPr>
          <w:rFonts w:cs="Arial"/>
          <w:b/>
          <w:sz w:val="18"/>
          <w:szCs w:val="18"/>
        </w:rPr>
        <w:t>This summary should be read as an introduction to this document and any decision to invest in Ordinary Shares should be based on consideration of this document as a whole by the investor.  The investor could lose all or</w:t>
      </w:r>
      <w:r w:rsidR="002432DD">
        <w:rPr>
          <w:rFonts w:cs="Arial"/>
          <w:b/>
          <w:sz w:val="18"/>
          <w:szCs w:val="18"/>
        </w:rPr>
        <w:t xml:space="preserve"> part of its invested capital. </w:t>
      </w:r>
      <w:r w:rsidRPr="009E77E6">
        <w:rPr>
          <w:rFonts w:cs="Arial"/>
          <w:b/>
          <w:sz w:val="18"/>
          <w:szCs w:val="18"/>
        </w:rPr>
        <w:t>Civil liability attaches only to those persons who have tabled the summary including any translation thereof, but only where the summary is misleading, inaccurate or inconsistent when read together with the other parts of this document or it does not provide, when read together with the other parts of this document, key information in order to aid investors when considering whether to invest in Ordinary Shares.</w:t>
      </w:r>
    </w:p>
    <w:p w:rsidRPr="009E77E6" w:rsidR="000215F0" w:rsidP="000215F0" w:rsidRDefault="000215F0" w14:paraId="03F579FF" w14:textId="5C0C9D57">
      <w:pPr>
        <w:ind w:left="709"/>
        <w:rPr>
          <w:rFonts w:cs="Arial"/>
          <w:sz w:val="18"/>
          <w:szCs w:val="18"/>
        </w:rPr>
      </w:pPr>
      <w:r w:rsidRPr="009E77E6">
        <w:rPr>
          <w:rFonts w:cs="Arial"/>
          <w:sz w:val="18"/>
          <w:szCs w:val="18"/>
        </w:rPr>
        <w:t xml:space="preserve">The securities which the Company intends to issue pursuant to the </w:t>
      </w:r>
      <w:r w:rsidR="00B97B41">
        <w:rPr>
          <w:rFonts w:cs="Arial"/>
          <w:sz w:val="18"/>
          <w:szCs w:val="18"/>
        </w:rPr>
        <w:t xml:space="preserve">Initial </w:t>
      </w:r>
      <w:r w:rsidR="0043344E">
        <w:rPr>
          <w:rFonts w:cs="Arial"/>
          <w:sz w:val="18"/>
          <w:szCs w:val="18"/>
        </w:rPr>
        <w:t>Placing</w:t>
      </w:r>
      <w:r w:rsidRPr="009E77E6">
        <w:rPr>
          <w:rFonts w:cs="Arial"/>
          <w:sz w:val="18"/>
          <w:szCs w:val="18"/>
        </w:rPr>
        <w:t xml:space="preserve"> and the Placing Programme are redeemable Ordinary Shares. </w:t>
      </w:r>
      <w:r w:rsidR="00D52C83">
        <w:rPr>
          <w:rFonts w:cs="Arial"/>
          <w:sz w:val="18"/>
          <w:szCs w:val="18"/>
        </w:rPr>
        <w:t>The Company's LEI number is</w:t>
      </w:r>
      <w:r w:rsidR="0043344E">
        <w:rPr>
          <w:rFonts w:cs="Arial"/>
          <w:sz w:val="18"/>
          <w:szCs w:val="18"/>
        </w:rPr>
        <w:t xml:space="preserve"> </w:t>
      </w:r>
      <w:bookmarkStart w:name="_Hlk188519739" w:id="18"/>
      <w:r w:rsidRPr="00BE78C6" w:rsidR="00BE78C6">
        <w:rPr>
          <w:rFonts w:cs="Arial"/>
          <w:sz w:val="18"/>
          <w:szCs w:val="18"/>
        </w:rPr>
        <w:t>213800IVO9DDEIJD7724</w:t>
      </w:r>
      <w:bookmarkEnd w:id="18"/>
      <w:r w:rsidRPr="009E77E6">
        <w:rPr>
          <w:rFonts w:cs="Arial"/>
          <w:sz w:val="18"/>
          <w:szCs w:val="18"/>
        </w:rPr>
        <w:t>.</w:t>
      </w:r>
    </w:p>
    <w:p w:rsidRPr="009E77E6" w:rsidR="000215F0" w:rsidP="000215F0" w:rsidRDefault="000215F0" w14:paraId="7B55CDA7" w14:textId="7E8B08DF">
      <w:pPr>
        <w:ind w:left="709"/>
        <w:rPr>
          <w:rFonts w:cs="Arial"/>
          <w:sz w:val="18"/>
          <w:szCs w:val="18"/>
        </w:rPr>
      </w:pPr>
      <w:r w:rsidRPr="009E77E6">
        <w:rPr>
          <w:rFonts w:cs="Arial"/>
          <w:sz w:val="18"/>
          <w:szCs w:val="18"/>
        </w:rPr>
        <w:t>The ISI</w:t>
      </w:r>
      <w:r w:rsidR="006116B3">
        <w:rPr>
          <w:rFonts w:cs="Arial"/>
          <w:sz w:val="18"/>
          <w:szCs w:val="18"/>
        </w:rPr>
        <w:t xml:space="preserve">N of the Ordinary Shares is </w:t>
      </w:r>
      <w:r w:rsidRPr="00CC32A8" w:rsidR="00CC32A8">
        <w:rPr>
          <w:rFonts w:cs="Arial"/>
          <w:sz w:val="18"/>
          <w:szCs w:val="18"/>
        </w:rPr>
        <w:t>GG00BT3GKD08</w:t>
      </w:r>
      <w:r w:rsidR="006116B3">
        <w:rPr>
          <w:rFonts w:cs="Arial"/>
          <w:sz w:val="18"/>
          <w:szCs w:val="18"/>
        </w:rPr>
        <w:t xml:space="preserve"> and the SEDOL is </w:t>
      </w:r>
      <w:r w:rsidRPr="00CC32A8" w:rsidR="00CC32A8">
        <w:rPr>
          <w:rFonts w:cs="Arial"/>
          <w:sz w:val="18"/>
          <w:szCs w:val="18"/>
        </w:rPr>
        <w:t>BT3GKD0</w:t>
      </w:r>
      <w:r w:rsidRPr="009E77E6">
        <w:rPr>
          <w:rFonts w:cs="Arial"/>
          <w:sz w:val="18"/>
          <w:szCs w:val="18"/>
        </w:rPr>
        <w:t>.</w:t>
      </w:r>
      <w:r w:rsidR="00B97B41">
        <w:rPr>
          <w:rFonts w:cs="Arial"/>
          <w:sz w:val="18"/>
          <w:szCs w:val="18"/>
        </w:rPr>
        <w:t xml:space="preserve"> </w:t>
      </w:r>
    </w:p>
    <w:p w:rsidR="000215F0" w:rsidP="00491953" w:rsidRDefault="000215F0" w14:paraId="25BF6B58" w14:textId="5CE430D5">
      <w:pPr>
        <w:ind w:left="709"/>
        <w:rPr>
          <w:rFonts w:cs="Arial"/>
          <w:sz w:val="18"/>
          <w:szCs w:val="18"/>
        </w:rPr>
      </w:pPr>
      <w:r w:rsidRPr="009E77E6">
        <w:rPr>
          <w:rFonts w:cs="Arial"/>
          <w:sz w:val="18"/>
          <w:szCs w:val="18"/>
        </w:rPr>
        <w:t>A</w:t>
      </w:r>
      <w:r w:rsidR="0043344E">
        <w:rPr>
          <w:rFonts w:cs="Arial"/>
          <w:sz w:val="18"/>
          <w:szCs w:val="18"/>
        </w:rPr>
        <w:t>chilles Investment Company</w:t>
      </w:r>
      <w:r w:rsidRPr="009E77E6">
        <w:rPr>
          <w:rFonts w:cs="Arial"/>
          <w:sz w:val="18"/>
          <w:szCs w:val="18"/>
        </w:rPr>
        <w:t xml:space="preserve"> Limited (the "</w:t>
      </w:r>
      <w:r w:rsidRPr="009E77E6">
        <w:rPr>
          <w:rFonts w:cs="Arial"/>
          <w:b/>
          <w:sz w:val="18"/>
          <w:szCs w:val="18"/>
        </w:rPr>
        <w:t>Company</w:t>
      </w:r>
      <w:r w:rsidRPr="009E77E6">
        <w:rPr>
          <w:rFonts w:cs="Arial"/>
          <w:sz w:val="18"/>
          <w:szCs w:val="18"/>
        </w:rPr>
        <w:t>") can be contacted by writin</w:t>
      </w:r>
      <w:r w:rsidR="002E2C57">
        <w:rPr>
          <w:rFonts w:cs="Arial"/>
          <w:sz w:val="18"/>
          <w:szCs w:val="18"/>
        </w:rPr>
        <w:t xml:space="preserve">g to its registered office, </w:t>
      </w:r>
      <w:bookmarkStart w:name="_Hlk188897687" w:id="19"/>
      <w:r w:rsidRPr="00491953" w:rsidR="00491953">
        <w:rPr>
          <w:rFonts w:cs="Arial"/>
          <w:sz w:val="18"/>
          <w:szCs w:val="18"/>
        </w:rPr>
        <w:t>Les Echelons Court</w:t>
      </w:r>
      <w:r w:rsidR="00491953">
        <w:rPr>
          <w:rFonts w:cs="Arial"/>
          <w:sz w:val="18"/>
          <w:szCs w:val="18"/>
        </w:rPr>
        <w:t xml:space="preserve">, </w:t>
      </w:r>
      <w:r w:rsidRPr="00491953" w:rsidR="00491953">
        <w:rPr>
          <w:rFonts w:cs="Arial"/>
          <w:sz w:val="18"/>
          <w:szCs w:val="18"/>
        </w:rPr>
        <w:t>Les Echelons</w:t>
      </w:r>
      <w:r w:rsidR="00491953">
        <w:rPr>
          <w:rFonts w:cs="Arial"/>
          <w:sz w:val="18"/>
          <w:szCs w:val="18"/>
        </w:rPr>
        <w:t xml:space="preserve">, </w:t>
      </w:r>
      <w:r w:rsidRPr="00491953" w:rsidR="00491953">
        <w:rPr>
          <w:rFonts w:cs="Arial"/>
          <w:sz w:val="18"/>
          <w:szCs w:val="18"/>
        </w:rPr>
        <w:t>St Peter Port</w:t>
      </w:r>
      <w:r w:rsidR="00491953">
        <w:rPr>
          <w:rFonts w:cs="Arial"/>
          <w:sz w:val="18"/>
          <w:szCs w:val="18"/>
        </w:rPr>
        <w:t xml:space="preserve">, </w:t>
      </w:r>
      <w:r w:rsidRPr="00491953" w:rsidR="00491953">
        <w:rPr>
          <w:rFonts w:cs="Arial"/>
          <w:sz w:val="18"/>
          <w:szCs w:val="18"/>
        </w:rPr>
        <w:t>Guernsey</w:t>
      </w:r>
      <w:r w:rsidR="00491953">
        <w:rPr>
          <w:rFonts w:cs="Arial"/>
          <w:sz w:val="18"/>
          <w:szCs w:val="18"/>
        </w:rPr>
        <w:t xml:space="preserve"> </w:t>
      </w:r>
      <w:r w:rsidRPr="00491953" w:rsidR="00491953">
        <w:rPr>
          <w:rFonts w:cs="Arial"/>
          <w:sz w:val="18"/>
          <w:szCs w:val="18"/>
        </w:rPr>
        <w:t>GY1 1AR</w:t>
      </w:r>
      <w:bookmarkEnd w:id="19"/>
      <w:r w:rsidR="0043344E">
        <w:rPr>
          <w:rFonts w:cs="Arial"/>
          <w:sz w:val="18"/>
          <w:szCs w:val="18"/>
        </w:rPr>
        <w:t xml:space="preserve"> </w:t>
      </w:r>
      <w:r w:rsidRPr="009E77E6">
        <w:rPr>
          <w:rFonts w:cs="Arial"/>
          <w:sz w:val="18"/>
          <w:szCs w:val="18"/>
        </w:rPr>
        <w:t>or by calling, with</w:t>
      </w:r>
      <w:r w:rsidR="00F42742">
        <w:rPr>
          <w:rFonts w:cs="Arial"/>
          <w:sz w:val="18"/>
          <w:szCs w:val="18"/>
        </w:rPr>
        <w:t xml:space="preserve">in business hours, </w:t>
      </w:r>
      <w:r w:rsidRPr="00F42742" w:rsidR="00F42742">
        <w:rPr>
          <w:rFonts w:cs="Arial"/>
          <w:sz w:val="18"/>
          <w:szCs w:val="18"/>
        </w:rPr>
        <w:t>+44 (0)1481</w:t>
      </w:r>
      <w:r w:rsidR="001C31D5">
        <w:rPr>
          <w:rFonts w:cs="Arial"/>
          <w:sz w:val="18"/>
          <w:szCs w:val="18"/>
        </w:rPr>
        <w:t xml:space="preserve"> </w:t>
      </w:r>
      <w:r w:rsidRPr="001C31D5" w:rsidR="001C31D5">
        <w:rPr>
          <w:rFonts w:cs="Arial"/>
          <w:sz w:val="18"/>
          <w:szCs w:val="18"/>
        </w:rPr>
        <w:t>743030</w:t>
      </w:r>
      <w:r w:rsidRPr="009E77E6">
        <w:rPr>
          <w:rFonts w:cs="Arial"/>
          <w:sz w:val="18"/>
          <w:szCs w:val="18"/>
        </w:rPr>
        <w:t xml:space="preserve">. </w:t>
      </w:r>
    </w:p>
    <w:p w:rsidRPr="009E77E6" w:rsidR="000215F0" w:rsidP="000215F0" w:rsidRDefault="000215F0" w14:paraId="3B85C332" w14:textId="320B3BB6">
      <w:pPr>
        <w:ind w:left="709"/>
        <w:rPr>
          <w:rFonts w:cs="Arial"/>
          <w:sz w:val="18"/>
          <w:szCs w:val="18"/>
        </w:rPr>
      </w:pPr>
      <w:r w:rsidRPr="009E77E6">
        <w:rPr>
          <w:rFonts w:cs="Arial"/>
          <w:sz w:val="18"/>
          <w:szCs w:val="18"/>
        </w:rPr>
        <w:t xml:space="preserve">This document was approved on </w:t>
      </w:r>
      <w:r w:rsidR="007D3786">
        <w:rPr>
          <w:rFonts w:cs="Arial"/>
          <w:sz w:val="18"/>
          <w:szCs w:val="18"/>
        </w:rPr>
        <w:t>20</w:t>
      </w:r>
      <w:r w:rsidRPr="009E77E6">
        <w:rPr>
          <w:rFonts w:cs="Arial"/>
          <w:sz w:val="18"/>
          <w:szCs w:val="18"/>
        </w:rPr>
        <w:t xml:space="preserve"> </w:t>
      </w:r>
      <w:r w:rsidR="004F0EF4">
        <w:rPr>
          <w:rFonts w:cs="Arial"/>
          <w:sz w:val="18"/>
          <w:szCs w:val="18"/>
        </w:rPr>
        <w:t xml:space="preserve">February </w:t>
      </w:r>
      <w:r w:rsidRPr="009E77E6">
        <w:rPr>
          <w:rFonts w:cs="Arial"/>
          <w:sz w:val="18"/>
          <w:szCs w:val="18"/>
        </w:rPr>
        <w:t>202</w:t>
      </w:r>
      <w:r w:rsidR="0043344E">
        <w:rPr>
          <w:rFonts w:cs="Arial"/>
          <w:sz w:val="18"/>
          <w:szCs w:val="18"/>
        </w:rPr>
        <w:t>5</w:t>
      </w:r>
      <w:r w:rsidRPr="009E77E6">
        <w:rPr>
          <w:rFonts w:cs="Arial"/>
          <w:sz w:val="18"/>
          <w:szCs w:val="18"/>
        </w:rPr>
        <w:t xml:space="preserve"> by the Financial Conduct Authority of 12 Endeavour Square, London E20 1JN. Contact information relating to the FCA can be found at</w:t>
      </w:r>
      <w:r w:rsidR="00EB78A2">
        <w:rPr>
          <w:rFonts w:cs="Arial"/>
          <w:sz w:val="18"/>
          <w:szCs w:val="18"/>
        </w:rPr>
        <w:t xml:space="preserve"> </w:t>
      </w:r>
      <w:hyperlink w:history="1" r:id="rId9">
        <w:r w:rsidRPr="004C0963" w:rsidR="00EB78A2">
          <w:rPr>
            <w:rStyle w:val="Hyperlink"/>
            <w:rFonts w:cs="Arial"/>
            <w:sz w:val="18"/>
            <w:szCs w:val="18"/>
          </w:rPr>
          <w:t>https://www.fca.org.uk/contact</w:t>
        </w:r>
      </w:hyperlink>
      <w:r w:rsidR="00EB78A2">
        <w:rPr>
          <w:rFonts w:cs="Arial"/>
          <w:sz w:val="18"/>
          <w:szCs w:val="18"/>
        </w:rPr>
        <w:t>.</w:t>
      </w:r>
    </w:p>
    <w:p w:rsidRPr="009E77E6" w:rsidR="000215F0" w:rsidP="00565AD4" w:rsidRDefault="000215F0" w14:paraId="159E1FCC" w14:textId="0DE20EAF">
      <w:pPr>
        <w:pStyle w:val="Heading1"/>
        <w:numPr>
          <w:ilvl w:val="0"/>
          <w:numId w:val="50"/>
        </w:numPr>
        <w:tabs>
          <w:tab w:val="clear" w:pos="1134"/>
          <w:tab w:val="num" w:pos="709"/>
        </w:tabs>
        <w:ind w:left="709" w:hanging="709"/>
        <w:rPr>
          <w:sz w:val="18"/>
          <w:szCs w:val="18"/>
        </w:rPr>
      </w:pPr>
      <w:bookmarkStart w:name="_Toc35954167" w:id="20"/>
      <w:bookmarkStart w:name="_Toc35957910" w:id="21"/>
      <w:bookmarkStart w:name="_Toc35961138" w:id="22"/>
      <w:bookmarkStart w:name="_Toc35964362" w:id="23"/>
      <w:bookmarkStart w:name="_Toc35967478" w:id="24"/>
      <w:bookmarkStart w:name="_Toc35970466" w:id="25"/>
      <w:bookmarkStart w:name="_Toc35973412" w:id="26"/>
      <w:bookmarkStart w:name="_Toc35975840" w:id="27"/>
      <w:bookmarkStart w:name="_Toc35978214" w:id="28"/>
      <w:r w:rsidRPr="009E77E6">
        <w:rPr>
          <w:sz w:val="18"/>
          <w:szCs w:val="18"/>
        </w:rPr>
        <w:t>KEY INFORMATION ON THE ISSUER</w:t>
      </w:r>
      <w:bookmarkEnd w:id="20"/>
      <w:bookmarkEnd w:id="21"/>
      <w:bookmarkEnd w:id="22"/>
      <w:bookmarkEnd w:id="23"/>
      <w:bookmarkEnd w:id="24"/>
      <w:bookmarkEnd w:id="25"/>
      <w:bookmarkEnd w:id="26"/>
      <w:bookmarkEnd w:id="27"/>
      <w:bookmarkEnd w:id="28"/>
    </w:p>
    <w:p w:rsidRPr="009E77E6" w:rsidR="000215F0" w:rsidP="00565AD4" w:rsidRDefault="000215F0" w14:paraId="6E368549" w14:textId="77777777">
      <w:pPr>
        <w:pStyle w:val="Heading2"/>
        <w:numPr>
          <w:ilvl w:val="1"/>
          <w:numId w:val="50"/>
        </w:numPr>
        <w:tabs>
          <w:tab w:val="clear" w:pos="1134"/>
          <w:tab w:val="num" w:pos="709"/>
        </w:tabs>
        <w:ind w:left="709" w:hanging="709"/>
        <w:rPr>
          <w:b/>
          <w:sz w:val="18"/>
          <w:szCs w:val="18"/>
        </w:rPr>
      </w:pPr>
      <w:r w:rsidRPr="009E77E6">
        <w:rPr>
          <w:b/>
          <w:sz w:val="18"/>
          <w:szCs w:val="18"/>
        </w:rPr>
        <w:t xml:space="preserve">Who is the issuer of the securities? </w:t>
      </w:r>
    </w:p>
    <w:p w:rsidRPr="009E77E6" w:rsidR="000215F0" w:rsidP="000215F0" w:rsidRDefault="000215F0" w14:paraId="3CA439DB" w14:textId="6C246801">
      <w:pPr>
        <w:ind w:left="709"/>
        <w:rPr>
          <w:rFonts w:cs="Arial"/>
          <w:sz w:val="18"/>
          <w:szCs w:val="18"/>
        </w:rPr>
      </w:pPr>
      <w:r w:rsidRPr="009E77E6">
        <w:rPr>
          <w:rFonts w:cs="Arial"/>
          <w:sz w:val="18"/>
          <w:szCs w:val="18"/>
        </w:rPr>
        <w:t>The Company was incorporated in Guernsey</w:t>
      </w:r>
      <w:r w:rsidR="008B55D4">
        <w:rPr>
          <w:rFonts w:cs="Arial"/>
          <w:sz w:val="18"/>
          <w:szCs w:val="18"/>
        </w:rPr>
        <w:t xml:space="preserve"> under the Companies Law on </w:t>
      </w:r>
      <w:r w:rsidR="00AE31CD">
        <w:rPr>
          <w:rFonts w:cs="Arial"/>
          <w:sz w:val="18"/>
          <w:szCs w:val="18"/>
        </w:rPr>
        <w:t xml:space="preserve">20 January </w:t>
      </w:r>
      <w:r w:rsidRPr="009E77E6">
        <w:rPr>
          <w:rFonts w:cs="Arial"/>
          <w:sz w:val="18"/>
          <w:szCs w:val="18"/>
        </w:rPr>
        <w:t>202</w:t>
      </w:r>
      <w:r w:rsidR="0043344E">
        <w:rPr>
          <w:rFonts w:cs="Arial"/>
          <w:sz w:val="18"/>
          <w:szCs w:val="18"/>
        </w:rPr>
        <w:t>5</w:t>
      </w:r>
      <w:r w:rsidRPr="009E77E6">
        <w:rPr>
          <w:rFonts w:cs="Arial"/>
          <w:sz w:val="18"/>
          <w:szCs w:val="18"/>
        </w:rPr>
        <w:t xml:space="preserve"> as a non-cellular company limited by</w:t>
      </w:r>
      <w:r w:rsidR="000B499E">
        <w:rPr>
          <w:rFonts w:cs="Arial"/>
          <w:sz w:val="18"/>
          <w:szCs w:val="18"/>
        </w:rPr>
        <w:t xml:space="preserve"> shares with an indefinite life</w:t>
      </w:r>
      <w:r w:rsidRPr="009E77E6">
        <w:rPr>
          <w:rFonts w:cs="Arial"/>
          <w:sz w:val="18"/>
          <w:szCs w:val="18"/>
        </w:rPr>
        <w:t>. The Company is registered with the GFSC as a registered closed ended collective investment scheme pursuant to the POI Law and the RCIS Rules.</w:t>
      </w:r>
    </w:p>
    <w:p w:rsidRPr="009E77E6" w:rsidR="009707E0" w:rsidP="009707E0" w:rsidRDefault="00525B5A" w14:paraId="4C2E751D" w14:textId="1ACFB169">
      <w:pPr>
        <w:ind w:left="709"/>
        <w:rPr>
          <w:rFonts w:cs="Arial"/>
          <w:sz w:val="18"/>
          <w:szCs w:val="18"/>
        </w:rPr>
      </w:pPr>
      <w:r w:rsidRPr="00525B5A">
        <w:rPr>
          <w:rFonts w:cs="Arial"/>
          <w:sz w:val="18"/>
          <w:szCs w:val="18"/>
        </w:rPr>
        <w:t xml:space="preserve">The Company's investment strategy is to invest in the shares of closed-ended investment companies, admitted to trading on a market of the London Stock Exchange, with a focus on alternative assets (being assets other than publicly quoted equities) and </w:t>
      </w:r>
      <w:r w:rsidR="00C34330">
        <w:rPr>
          <w:rFonts w:cs="Arial"/>
          <w:sz w:val="18"/>
          <w:szCs w:val="18"/>
        </w:rPr>
        <w:t xml:space="preserve">seek to </w:t>
      </w:r>
      <w:r w:rsidRPr="00525B5A">
        <w:rPr>
          <w:rFonts w:cs="Arial"/>
          <w:sz w:val="18"/>
          <w:szCs w:val="18"/>
        </w:rPr>
        <w:t>maximise value for shareholders through constructive activism.</w:t>
      </w:r>
    </w:p>
    <w:p w:rsidRPr="009E77E6" w:rsidR="000215F0" w:rsidP="000215F0" w:rsidRDefault="000215F0" w14:paraId="227D0D5A" w14:textId="03FF660D">
      <w:pPr>
        <w:ind w:left="709"/>
        <w:rPr>
          <w:rFonts w:cs="Arial"/>
          <w:sz w:val="18"/>
          <w:szCs w:val="18"/>
        </w:rPr>
      </w:pPr>
      <w:r w:rsidRPr="009E77E6">
        <w:rPr>
          <w:rFonts w:cs="Arial"/>
          <w:sz w:val="18"/>
          <w:szCs w:val="18"/>
        </w:rPr>
        <w:t xml:space="preserve">Pending </w:t>
      </w:r>
      <w:r w:rsidR="00FC05AC">
        <w:rPr>
          <w:rFonts w:cs="Arial"/>
          <w:sz w:val="18"/>
          <w:szCs w:val="18"/>
        </w:rPr>
        <w:t>issue</w:t>
      </w:r>
      <w:r w:rsidRPr="009E77E6">
        <w:rPr>
          <w:rFonts w:cs="Arial"/>
          <w:sz w:val="18"/>
          <w:szCs w:val="18"/>
        </w:rPr>
        <w:t xml:space="preserve"> of the Ordinary Shares pursuant to the </w:t>
      </w:r>
      <w:r w:rsidR="00B97B41">
        <w:rPr>
          <w:rFonts w:cs="Arial"/>
          <w:sz w:val="18"/>
          <w:szCs w:val="18"/>
        </w:rPr>
        <w:t xml:space="preserve">Initial </w:t>
      </w:r>
      <w:r w:rsidR="0043344E">
        <w:rPr>
          <w:rFonts w:cs="Arial"/>
          <w:sz w:val="18"/>
          <w:szCs w:val="18"/>
        </w:rPr>
        <w:t>Placing</w:t>
      </w:r>
      <w:r w:rsidRPr="009E77E6">
        <w:rPr>
          <w:rFonts w:cs="Arial"/>
          <w:sz w:val="18"/>
          <w:szCs w:val="18"/>
        </w:rPr>
        <w:t xml:space="preserve">, the Company is controlled by </w:t>
      </w:r>
      <w:r w:rsidR="00862BC2">
        <w:rPr>
          <w:rFonts w:cs="Arial"/>
          <w:sz w:val="18"/>
          <w:szCs w:val="18"/>
        </w:rPr>
        <w:t>the Investment Manager</w:t>
      </w:r>
      <w:r w:rsidRPr="009E77E6">
        <w:rPr>
          <w:rFonts w:cs="Arial"/>
          <w:sz w:val="18"/>
          <w:szCs w:val="18"/>
        </w:rPr>
        <w:t>. The Company and the Directors are not aware of any other person who, directly or indirectly, jointly or severally, exercises or could exercise control over the Company.</w:t>
      </w:r>
    </w:p>
    <w:p w:rsidRPr="009E77E6" w:rsidR="000215F0" w:rsidP="000215F0" w:rsidRDefault="000215F0" w14:paraId="3275FAB5" w14:textId="77777777">
      <w:pPr>
        <w:ind w:left="709"/>
        <w:rPr>
          <w:rFonts w:cs="Arial"/>
          <w:sz w:val="18"/>
          <w:szCs w:val="18"/>
        </w:rPr>
      </w:pPr>
      <w:r w:rsidRPr="009E77E6">
        <w:rPr>
          <w:rFonts w:cs="Arial"/>
          <w:sz w:val="18"/>
          <w:szCs w:val="18"/>
        </w:rPr>
        <w:t xml:space="preserve">The Board is comprised of: </w:t>
      </w:r>
    </w:p>
    <w:p w:rsidRPr="00175E19" w:rsidR="000215F0" w:rsidP="00565AD4" w:rsidRDefault="00A83E00" w14:paraId="25315F23" w14:textId="54A9123D">
      <w:pPr>
        <w:pStyle w:val="ListParagraph"/>
        <w:numPr>
          <w:ilvl w:val="0"/>
          <w:numId w:val="48"/>
        </w:numPr>
        <w:ind w:left="1134" w:hanging="425"/>
        <w:contextualSpacing/>
        <w:rPr>
          <w:b w:val="0"/>
          <w:sz w:val="18"/>
          <w:szCs w:val="18"/>
        </w:rPr>
      </w:pPr>
      <w:r>
        <w:rPr>
          <w:b w:val="0"/>
          <w:sz w:val="18"/>
          <w:szCs w:val="18"/>
        </w:rPr>
        <w:t>Charlotte Denton</w:t>
      </w:r>
      <w:r w:rsidRPr="00175E19">
        <w:rPr>
          <w:b w:val="0"/>
          <w:sz w:val="18"/>
          <w:szCs w:val="18"/>
        </w:rPr>
        <w:t xml:space="preserve"> </w:t>
      </w:r>
      <w:r w:rsidRPr="00175E19" w:rsidR="000215F0">
        <w:rPr>
          <w:b w:val="0"/>
          <w:sz w:val="18"/>
          <w:szCs w:val="18"/>
        </w:rPr>
        <w:t>(Non-Executive Chair);</w:t>
      </w:r>
    </w:p>
    <w:p w:rsidRPr="00175E19" w:rsidR="000215F0" w:rsidP="00565AD4" w:rsidRDefault="000E3272" w14:paraId="227729F5" w14:textId="25206612">
      <w:pPr>
        <w:pStyle w:val="ListParagraph"/>
        <w:numPr>
          <w:ilvl w:val="0"/>
          <w:numId w:val="48"/>
        </w:numPr>
        <w:ind w:left="1134" w:hanging="425"/>
        <w:contextualSpacing/>
        <w:rPr>
          <w:b w:val="0"/>
          <w:sz w:val="18"/>
          <w:szCs w:val="18"/>
        </w:rPr>
      </w:pPr>
      <w:r>
        <w:rPr>
          <w:b w:val="0"/>
          <w:sz w:val="18"/>
          <w:szCs w:val="18"/>
        </w:rPr>
        <w:t>Helen Green</w:t>
      </w:r>
      <w:r w:rsidR="00AB2681">
        <w:rPr>
          <w:b w:val="0"/>
          <w:sz w:val="18"/>
          <w:szCs w:val="18"/>
        </w:rPr>
        <w:t xml:space="preserve"> </w:t>
      </w:r>
      <w:r w:rsidRPr="00175E19" w:rsidR="000215F0">
        <w:rPr>
          <w:b w:val="0"/>
          <w:sz w:val="18"/>
          <w:szCs w:val="18"/>
        </w:rPr>
        <w:t>(Non-Executive Director);</w:t>
      </w:r>
      <w:r w:rsidR="0043344E">
        <w:rPr>
          <w:b w:val="0"/>
          <w:sz w:val="18"/>
          <w:szCs w:val="18"/>
        </w:rPr>
        <w:t xml:space="preserve"> and</w:t>
      </w:r>
    </w:p>
    <w:p w:rsidRPr="0043344E" w:rsidR="000215F0" w:rsidP="00565AD4" w:rsidRDefault="000E3272" w14:paraId="2295E3F6" w14:textId="5AD98A57">
      <w:pPr>
        <w:pStyle w:val="ListParagraph"/>
        <w:numPr>
          <w:ilvl w:val="0"/>
          <w:numId w:val="48"/>
        </w:numPr>
        <w:ind w:left="1134" w:hanging="425"/>
        <w:contextualSpacing/>
        <w:rPr>
          <w:b w:val="0"/>
          <w:sz w:val="18"/>
          <w:szCs w:val="18"/>
        </w:rPr>
      </w:pPr>
      <w:r>
        <w:rPr>
          <w:b w:val="0"/>
          <w:sz w:val="18"/>
          <w:szCs w:val="18"/>
        </w:rPr>
        <w:t>Brett Miller</w:t>
      </w:r>
      <w:r w:rsidRPr="00175E19" w:rsidR="000215F0">
        <w:rPr>
          <w:b w:val="0"/>
          <w:sz w:val="18"/>
          <w:szCs w:val="18"/>
        </w:rPr>
        <w:t xml:space="preserve"> (Non-Executive Director)</w:t>
      </w:r>
      <w:r w:rsidR="0043344E">
        <w:rPr>
          <w:b w:val="0"/>
          <w:sz w:val="18"/>
          <w:szCs w:val="18"/>
        </w:rPr>
        <w:t>.</w:t>
      </w:r>
    </w:p>
    <w:p w:rsidRPr="009E77E6" w:rsidR="000215F0" w:rsidP="000215F0" w:rsidRDefault="00AD45CB" w14:paraId="6B571B79" w14:textId="664721BA">
      <w:pPr>
        <w:ind w:left="709"/>
        <w:rPr>
          <w:rFonts w:cs="Arial"/>
          <w:sz w:val="18"/>
          <w:szCs w:val="18"/>
        </w:rPr>
      </w:pPr>
      <w:r>
        <w:rPr>
          <w:rFonts w:cs="Arial"/>
          <w:sz w:val="18"/>
          <w:szCs w:val="18"/>
        </w:rPr>
        <w:t xml:space="preserve">The Company's Auditor is </w:t>
      </w:r>
      <w:r w:rsidR="00AD1E25">
        <w:rPr>
          <w:rFonts w:cs="Arial"/>
          <w:sz w:val="18"/>
          <w:szCs w:val="18"/>
        </w:rPr>
        <w:t>Baker Tilly Channel Islands Limited</w:t>
      </w:r>
      <w:r w:rsidRPr="009E77E6" w:rsidDel="000438B3" w:rsidR="000215F0">
        <w:rPr>
          <w:rFonts w:cs="Arial"/>
          <w:sz w:val="18"/>
          <w:szCs w:val="18"/>
        </w:rPr>
        <w:t xml:space="preserve"> </w:t>
      </w:r>
      <w:r>
        <w:rPr>
          <w:rFonts w:cs="Arial"/>
          <w:sz w:val="18"/>
          <w:szCs w:val="18"/>
        </w:rPr>
        <w:t xml:space="preserve">of </w:t>
      </w:r>
      <w:r w:rsidRPr="00AD1E25" w:rsidR="00AD1E25">
        <w:rPr>
          <w:rFonts w:cs="Arial"/>
          <w:sz w:val="18"/>
          <w:szCs w:val="18"/>
        </w:rPr>
        <w:t>P</w:t>
      </w:r>
      <w:r w:rsidR="00491953">
        <w:rPr>
          <w:rFonts w:cs="Arial"/>
          <w:sz w:val="18"/>
          <w:szCs w:val="18"/>
        </w:rPr>
        <w:t>O</w:t>
      </w:r>
      <w:r w:rsidRPr="00AD1E25" w:rsidR="00AD1E25">
        <w:rPr>
          <w:rFonts w:cs="Arial"/>
          <w:sz w:val="18"/>
          <w:szCs w:val="18"/>
        </w:rPr>
        <w:t xml:space="preserve"> Box 582, Mont </w:t>
      </w:r>
      <w:proofErr w:type="spellStart"/>
      <w:r w:rsidRPr="00AD1E25" w:rsidR="00AD1E25">
        <w:rPr>
          <w:rFonts w:cs="Arial"/>
          <w:sz w:val="18"/>
          <w:szCs w:val="18"/>
        </w:rPr>
        <w:t>Crevelt</w:t>
      </w:r>
      <w:proofErr w:type="spellEnd"/>
      <w:r w:rsidRPr="00AD1E25" w:rsidR="00AD1E25">
        <w:rPr>
          <w:rFonts w:cs="Arial"/>
          <w:sz w:val="18"/>
          <w:szCs w:val="18"/>
        </w:rPr>
        <w:t xml:space="preserve"> House, Bulwer Avenue, St Sampson, Guernsey, GY1 6LL</w:t>
      </w:r>
      <w:r w:rsidRPr="009E77E6" w:rsidR="000215F0">
        <w:rPr>
          <w:rFonts w:cs="Arial"/>
          <w:sz w:val="18"/>
          <w:szCs w:val="18"/>
        </w:rPr>
        <w:t>.</w:t>
      </w:r>
    </w:p>
    <w:p w:rsidRPr="009E77E6" w:rsidR="000215F0" w:rsidP="00565AD4" w:rsidRDefault="000215F0" w14:paraId="3A6F358E" w14:textId="345A1675">
      <w:pPr>
        <w:pStyle w:val="Heading2"/>
        <w:numPr>
          <w:ilvl w:val="1"/>
          <w:numId w:val="50"/>
        </w:numPr>
        <w:tabs>
          <w:tab w:val="clear" w:pos="1134"/>
          <w:tab w:val="num" w:pos="709"/>
        </w:tabs>
        <w:ind w:left="709" w:hanging="709"/>
        <w:rPr>
          <w:rFonts w:cs="Arial"/>
          <w:b/>
          <w:sz w:val="18"/>
          <w:szCs w:val="18"/>
        </w:rPr>
      </w:pPr>
      <w:r w:rsidRPr="009E77E6">
        <w:rPr>
          <w:rFonts w:cs="Arial"/>
          <w:b/>
          <w:sz w:val="18"/>
          <w:szCs w:val="18"/>
        </w:rPr>
        <w:t xml:space="preserve">What is the key financial information regarding the issuer? </w:t>
      </w:r>
    </w:p>
    <w:p w:rsidRPr="009E77E6" w:rsidR="000215F0" w:rsidP="000215F0" w:rsidRDefault="000215F0" w14:paraId="576654F0" w14:textId="77777777">
      <w:pPr>
        <w:ind w:left="709"/>
        <w:rPr>
          <w:rFonts w:cs="Arial"/>
          <w:sz w:val="18"/>
          <w:szCs w:val="18"/>
        </w:rPr>
      </w:pPr>
      <w:r w:rsidRPr="009E77E6">
        <w:rPr>
          <w:rFonts w:cs="Arial"/>
          <w:sz w:val="18"/>
          <w:szCs w:val="18"/>
        </w:rPr>
        <w:t xml:space="preserve">No key financial information is included in this document as the Company is yet to commence operations. </w:t>
      </w:r>
    </w:p>
    <w:p w:rsidRPr="009E77E6" w:rsidR="000215F0" w:rsidP="00565AD4" w:rsidRDefault="000215F0" w14:paraId="0BD5588D" w14:textId="7F1C59E5">
      <w:pPr>
        <w:pStyle w:val="Heading2"/>
        <w:keepNext/>
        <w:numPr>
          <w:ilvl w:val="1"/>
          <w:numId w:val="50"/>
        </w:numPr>
        <w:tabs>
          <w:tab w:val="clear" w:pos="1134"/>
          <w:tab w:val="num" w:pos="709"/>
        </w:tabs>
        <w:ind w:left="709" w:hanging="709"/>
        <w:rPr>
          <w:rFonts w:cs="Arial"/>
          <w:b/>
          <w:sz w:val="18"/>
          <w:szCs w:val="18"/>
        </w:rPr>
      </w:pPr>
      <w:r w:rsidRPr="009E77E6">
        <w:rPr>
          <w:rFonts w:cs="Arial"/>
          <w:b/>
          <w:sz w:val="18"/>
          <w:szCs w:val="18"/>
        </w:rPr>
        <w:t xml:space="preserve">What are the key risks that are specific to the issuer? </w:t>
      </w:r>
    </w:p>
    <w:p w:rsidRPr="009E77E6" w:rsidR="000215F0" w:rsidP="000215F0" w:rsidRDefault="000215F0" w14:paraId="12B2D924" w14:textId="77777777">
      <w:pPr>
        <w:keepNext/>
        <w:ind w:left="709"/>
        <w:rPr>
          <w:rFonts w:cs="Arial"/>
          <w:sz w:val="18"/>
          <w:szCs w:val="18"/>
        </w:rPr>
      </w:pPr>
      <w:r w:rsidRPr="009E77E6">
        <w:rPr>
          <w:rFonts w:cs="Arial"/>
          <w:sz w:val="18"/>
          <w:szCs w:val="18"/>
        </w:rPr>
        <w:t>The attention of investors is drawn to the risks associated with an investment in the Company which, in particular, include the following:</w:t>
      </w:r>
    </w:p>
    <w:p w:rsidRPr="00D20937" w:rsidR="0004276C" w:rsidP="0004276C" w:rsidRDefault="0004276C" w14:paraId="6903F31E" w14:textId="77777777">
      <w:pPr>
        <w:keepNext/>
        <w:ind w:left="709"/>
        <w:rPr>
          <w:rFonts w:cs="Arial"/>
          <w:b/>
          <w:i/>
          <w:sz w:val="18"/>
          <w:szCs w:val="18"/>
        </w:rPr>
      </w:pPr>
      <w:r w:rsidRPr="00D20937">
        <w:rPr>
          <w:rFonts w:cs="Arial"/>
          <w:b/>
          <w:i/>
          <w:sz w:val="18"/>
          <w:szCs w:val="18"/>
        </w:rPr>
        <w:t>Key risks relating to the Company</w:t>
      </w:r>
    </w:p>
    <w:p w:rsidRPr="00154A54" w:rsidR="0004276C" w:rsidP="00565AD4" w:rsidRDefault="0004276C" w14:paraId="5792C1D4" w14:textId="77777777">
      <w:pPr>
        <w:pStyle w:val="ListParagraph"/>
        <w:numPr>
          <w:ilvl w:val="0"/>
          <w:numId w:val="48"/>
        </w:numPr>
        <w:ind w:left="1134" w:hanging="425"/>
        <w:contextualSpacing/>
        <w:rPr>
          <w:b w:val="0"/>
          <w:sz w:val="18"/>
          <w:szCs w:val="18"/>
        </w:rPr>
      </w:pPr>
      <w:r w:rsidRPr="00D20937">
        <w:rPr>
          <w:rFonts w:hint="eastAsia"/>
          <w:b w:val="0"/>
          <w:bCs/>
          <w:iCs/>
          <w:sz w:val="18"/>
          <w:szCs w:val="18"/>
        </w:rPr>
        <w:t>As the Company lacks an operating history, investors have no basis on which to evaluate the Company</w:t>
      </w:r>
      <w:r w:rsidRPr="00D20937">
        <w:rPr>
          <w:b w:val="0"/>
          <w:bCs/>
          <w:iCs/>
          <w:sz w:val="18"/>
          <w:szCs w:val="18"/>
        </w:rPr>
        <w:t>’s ability to achieve its investment objective and provide a satisfactory investment return</w:t>
      </w:r>
      <w:r w:rsidRPr="00D20937">
        <w:rPr>
          <w:b w:val="0"/>
          <w:sz w:val="18"/>
          <w:szCs w:val="18"/>
        </w:rPr>
        <w:t xml:space="preserve">. </w:t>
      </w:r>
    </w:p>
    <w:p w:rsidRPr="00D20937" w:rsidR="0004276C" w:rsidP="00565AD4" w:rsidRDefault="0004276C" w14:paraId="3422CC7D" w14:textId="77777777">
      <w:pPr>
        <w:pStyle w:val="ListParagraph"/>
        <w:numPr>
          <w:ilvl w:val="0"/>
          <w:numId w:val="48"/>
        </w:numPr>
        <w:ind w:left="1134" w:hanging="425"/>
        <w:contextualSpacing/>
        <w:rPr>
          <w:b w:val="0"/>
          <w:sz w:val="18"/>
          <w:szCs w:val="18"/>
        </w:rPr>
      </w:pPr>
      <w:r w:rsidRPr="00D20937">
        <w:rPr>
          <w:b w:val="0"/>
          <w:sz w:val="18"/>
          <w:szCs w:val="18"/>
        </w:rPr>
        <w:t>The Company, whose Board is non-executive and which has no employees, is reliant upon the performance of third-party service providers for its executive function.</w:t>
      </w:r>
    </w:p>
    <w:p w:rsidRPr="00D20937" w:rsidR="0004276C" w:rsidP="0004276C" w:rsidRDefault="0004276C" w14:paraId="360BB585" w14:textId="77777777">
      <w:pPr>
        <w:pStyle w:val="ListParagraph"/>
        <w:numPr>
          <w:ilvl w:val="0"/>
          <w:numId w:val="0"/>
        </w:numPr>
        <w:spacing w:after="0"/>
        <w:ind w:left="360"/>
        <w:rPr>
          <w:sz w:val="18"/>
          <w:szCs w:val="18"/>
        </w:rPr>
      </w:pPr>
    </w:p>
    <w:p w:rsidRPr="00D20937" w:rsidR="0004276C" w:rsidP="0004276C" w:rsidRDefault="0004276C" w14:paraId="7A3F8E8C" w14:textId="77777777">
      <w:pPr>
        <w:ind w:firstLine="709"/>
        <w:rPr>
          <w:b/>
          <w:i/>
          <w:sz w:val="18"/>
          <w:szCs w:val="18"/>
        </w:rPr>
      </w:pPr>
      <w:r w:rsidRPr="00D20937">
        <w:rPr>
          <w:b/>
          <w:i/>
          <w:sz w:val="18"/>
          <w:szCs w:val="18"/>
        </w:rPr>
        <w:lastRenderedPageBreak/>
        <w:t>Key risks relating to the Investment Strategy</w:t>
      </w:r>
    </w:p>
    <w:p w:rsidRPr="00D20937" w:rsidR="0004276C" w:rsidP="00565AD4" w:rsidRDefault="0004276C" w14:paraId="734C8BE4" w14:textId="6A75FC7A">
      <w:pPr>
        <w:pStyle w:val="ListParagraph"/>
        <w:numPr>
          <w:ilvl w:val="0"/>
          <w:numId w:val="48"/>
        </w:numPr>
        <w:ind w:left="1134" w:hanging="425"/>
        <w:contextualSpacing/>
        <w:rPr>
          <w:b w:val="0"/>
          <w:sz w:val="18"/>
          <w:szCs w:val="18"/>
        </w:rPr>
      </w:pPr>
      <w:r w:rsidRPr="00D20937">
        <w:rPr>
          <w:b w:val="0"/>
          <w:sz w:val="18"/>
          <w:szCs w:val="18"/>
        </w:rPr>
        <w:t xml:space="preserve">The value of the Company's portfolio </w:t>
      </w:r>
      <w:r w:rsidR="00444088">
        <w:rPr>
          <w:b w:val="0"/>
          <w:sz w:val="18"/>
          <w:szCs w:val="18"/>
        </w:rPr>
        <w:t>will</w:t>
      </w:r>
      <w:r w:rsidRPr="00D20937" w:rsidR="00444088">
        <w:rPr>
          <w:b w:val="0"/>
          <w:sz w:val="18"/>
          <w:szCs w:val="18"/>
        </w:rPr>
        <w:t xml:space="preserve"> </w:t>
      </w:r>
      <w:r w:rsidRPr="00D20937">
        <w:rPr>
          <w:b w:val="0"/>
          <w:sz w:val="18"/>
          <w:szCs w:val="18"/>
        </w:rPr>
        <w:t>be dominated by a limited number of assets</w:t>
      </w:r>
      <w:r w:rsidR="00472DD3">
        <w:rPr>
          <w:b w:val="0"/>
          <w:sz w:val="18"/>
          <w:szCs w:val="18"/>
        </w:rPr>
        <w:t xml:space="preserve"> which may be </w:t>
      </w:r>
      <w:r w:rsidR="00286E93">
        <w:rPr>
          <w:b w:val="0"/>
          <w:sz w:val="18"/>
          <w:szCs w:val="18"/>
        </w:rPr>
        <w:t>operating in only one or two sub-sectors of the investment company market</w:t>
      </w:r>
      <w:r w:rsidRPr="00D20937">
        <w:rPr>
          <w:b w:val="0"/>
          <w:sz w:val="18"/>
          <w:szCs w:val="18"/>
        </w:rPr>
        <w:t>.</w:t>
      </w:r>
    </w:p>
    <w:p w:rsidRPr="00D20937" w:rsidR="0004276C" w:rsidP="00565AD4" w:rsidRDefault="0004276C" w14:paraId="360677CC" w14:textId="2BFEA705">
      <w:pPr>
        <w:pStyle w:val="ListParagraph"/>
        <w:numPr>
          <w:ilvl w:val="0"/>
          <w:numId w:val="48"/>
        </w:numPr>
        <w:ind w:left="1134" w:hanging="425"/>
        <w:contextualSpacing/>
        <w:rPr>
          <w:b w:val="0"/>
          <w:i/>
          <w:sz w:val="18"/>
          <w:szCs w:val="18"/>
        </w:rPr>
      </w:pPr>
      <w:r w:rsidRPr="00D20937">
        <w:rPr>
          <w:b w:val="0"/>
          <w:sz w:val="18"/>
          <w:szCs w:val="18"/>
        </w:rPr>
        <w:t>There can be no assurance that the Company's investment strategy will be successful or that it will result in price appreciation of the relevant portfolio companies' shares and, by extension, the Ordinary Shares.</w:t>
      </w:r>
    </w:p>
    <w:p w:rsidRPr="00D20937" w:rsidR="0004276C" w:rsidP="00565AD4" w:rsidRDefault="0004276C" w14:paraId="312EA693" w14:textId="77777777">
      <w:pPr>
        <w:pStyle w:val="ListParagraph"/>
        <w:numPr>
          <w:ilvl w:val="0"/>
          <w:numId w:val="48"/>
        </w:numPr>
        <w:ind w:left="1134" w:hanging="425"/>
        <w:contextualSpacing/>
        <w:rPr>
          <w:b w:val="0"/>
          <w:sz w:val="18"/>
          <w:szCs w:val="18"/>
        </w:rPr>
      </w:pPr>
      <w:r w:rsidRPr="00D20937">
        <w:rPr>
          <w:b w:val="0"/>
          <w:sz w:val="18"/>
          <w:szCs w:val="18"/>
        </w:rPr>
        <w:t>The market price and value of the publicly quoted shares in the closed-ended investment companies in which the Company will invest may be volatile and may fluctuate due to a number of factors beyond the Company’s control.</w:t>
      </w:r>
    </w:p>
    <w:p w:rsidRPr="00D20937" w:rsidR="0004276C" w:rsidP="00565AD4" w:rsidRDefault="0004276C" w14:paraId="65B92A98" w14:textId="4BA727A5">
      <w:pPr>
        <w:pStyle w:val="ListParagraph"/>
        <w:numPr>
          <w:ilvl w:val="0"/>
          <w:numId w:val="48"/>
        </w:numPr>
        <w:ind w:left="1134" w:hanging="425"/>
        <w:contextualSpacing/>
        <w:rPr>
          <w:b w:val="0"/>
          <w:sz w:val="18"/>
          <w:szCs w:val="18"/>
        </w:rPr>
      </w:pPr>
      <w:r w:rsidRPr="00D20937">
        <w:rPr>
          <w:b w:val="0"/>
          <w:sz w:val="18"/>
          <w:szCs w:val="18"/>
        </w:rPr>
        <w:t xml:space="preserve">The history of engagement </w:t>
      </w:r>
      <w:r w:rsidR="006058DC">
        <w:rPr>
          <w:b w:val="0"/>
          <w:sz w:val="18"/>
          <w:szCs w:val="18"/>
        </w:rPr>
        <w:t xml:space="preserve">by the Investment Manager's </w:t>
      </w:r>
      <w:r w:rsidR="008B2F16">
        <w:rPr>
          <w:b w:val="0"/>
          <w:sz w:val="18"/>
          <w:szCs w:val="18"/>
        </w:rPr>
        <w:t>investment professionals</w:t>
      </w:r>
      <w:r w:rsidR="006058DC">
        <w:rPr>
          <w:b w:val="0"/>
          <w:sz w:val="18"/>
          <w:szCs w:val="18"/>
        </w:rPr>
        <w:t xml:space="preserve"> </w:t>
      </w:r>
      <w:r w:rsidRPr="00D20937">
        <w:rPr>
          <w:b w:val="0"/>
          <w:sz w:val="18"/>
          <w:szCs w:val="18"/>
        </w:rPr>
        <w:t xml:space="preserve">with respect to previous investments is not indicative of the Company’s future performance or ability to improve the share performance of </w:t>
      </w:r>
      <w:r w:rsidR="006058DC">
        <w:rPr>
          <w:b w:val="0"/>
          <w:sz w:val="18"/>
          <w:szCs w:val="18"/>
        </w:rPr>
        <w:t>any</w:t>
      </w:r>
      <w:r w:rsidRPr="00D20937">
        <w:rPr>
          <w:b w:val="0"/>
          <w:sz w:val="18"/>
          <w:szCs w:val="18"/>
        </w:rPr>
        <w:t xml:space="preserve"> portfolio companies.</w:t>
      </w:r>
    </w:p>
    <w:p w:rsidRPr="00154A54" w:rsidR="0004276C" w:rsidP="0004276C" w:rsidRDefault="0004276C" w14:paraId="0BA3F738" w14:textId="77777777">
      <w:pPr>
        <w:ind w:left="709"/>
        <w:rPr>
          <w:b/>
          <w:i/>
          <w:sz w:val="18"/>
          <w:szCs w:val="18"/>
        </w:rPr>
      </w:pPr>
      <w:r w:rsidRPr="00154A54">
        <w:rPr>
          <w:b/>
          <w:i/>
          <w:sz w:val="18"/>
          <w:szCs w:val="18"/>
        </w:rPr>
        <w:t>Key risks relating to the Investment Manager</w:t>
      </w:r>
    </w:p>
    <w:p w:rsidRPr="00154A54" w:rsidR="0004276C" w:rsidP="00565AD4" w:rsidRDefault="0004276C" w14:paraId="2C4FC555" w14:textId="77777777">
      <w:pPr>
        <w:pStyle w:val="ListParagraph"/>
        <w:numPr>
          <w:ilvl w:val="0"/>
          <w:numId w:val="48"/>
        </w:numPr>
        <w:ind w:left="1134" w:hanging="425"/>
        <w:contextualSpacing/>
        <w:rPr>
          <w:b w:val="0"/>
          <w:sz w:val="18"/>
          <w:szCs w:val="18"/>
        </w:rPr>
      </w:pPr>
      <w:r w:rsidRPr="00154A54">
        <w:rPr>
          <w:b w:val="0"/>
          <w:sz w:val="18"/>
          <w:szCs w:val="18"/>
        </w:rPr>
        <w:t>The Company will be reliant upon, and its success will to a great extent depend on, the ability and expertise of the Investment Manager and its personnel, services and resources in executing the Company’s investment policy.</w:t>
      </w:r>
    </w:p>
    <w:p w:rsidRPr="00154A54" w:rsidR="0004276C" w:rsidP="00565AD4" w:rsidRDefault="0004276C" w14:paraId="6A51A96F" w14:textId="4C50EE6B">
      <w:pPr>
        <w:pStyle w:val="ListParagraph"/>
        <w:numPr>
          <w:ilvl w:val="0"/>
          <w:numId w:val="48"/>
        </w:numPr>
        <w:ind w:left="1134" w:hanging="425"/>
        <w:contextualSpacing/>
        <w:rPr>
          <w:b w:val="0"/>
          <w:sz w:val="18"/>
          <w:szCs w:val="18"/>
        </w:rPr>
      </w:pPr>
      <w:r w:rsidRPr="00154A54">
        <w:rPr>
          <w:b w:val="0"/>
          <w:color w:val="000000" w:themeColor="text1"/>
          <w:sz w:val="18"/>
          <w:szCs w:val="18"/>
        </w:rPr>
        <w:t xml:space="preserve">The Company depends on the diligence, skill and business contacts of the Investment Manager’s </w:t>
      </w:r>
      <w:r w:rsidR="005B2460">
        <w:rPr>
          <w:b w:val="0"/>
          <w:color w:val="000000" w:themeColor="text1"/>
          <w:sz w:val="18"/>
          <w:szCs w:val="18"/>
        </w:rPr>
        <w:t xml:space="preserve">key </w:t>
      </w:r>
      <w:r w:rsidRPr="00154A54">
        <w:rPr>
          <w:b w:val="0"/>
          <w:color w:val="000000" w:themeColor="text1"/>
          <w:sz w:val="18"/>
          <w:szCs w:val="18"/>
        </w:rPr>
        <w:t>investment professionals. The Company’s future success depends on the continued service of these individuals, who are not obligated to remain employed</w:t>
      </w:r>
      <w:r w:rsidR="00F724D9">
        <w:rPr>
          <w:b w:val="0"/>
          <w:color w:val="000000" w:themeColor="text1"/>
          <w:sz w:val="18"/>
          <w:szCs w:val="18"/>
        </w:rPr>
        <w:t xml:space="preserve"> or involved</w:t>
      </w:r>
      <w:r w:rsidRPr="00154A54">
        <w:rPr>
          <w:b w:val="0"/>
          <w:color w:val="000000" w:themeColor="text1"/>
          <w:sz w:val="18"/>
          <w:szCs w:val="18"/>
        </w:rPr>
        <w:t xml:space="preserve"> with</w:t>
      </w:r>
      <w:r w:rsidR="005B2460">
        <w:rPr>
          <w:b w:val="0"/>
          <w:color w:val="000000" w:themeColor="text1"/>
          <w:sz w:val="18"/>
          <w:szCs w:val="18"/>
        </w:rPr>
        <w:t>, or engaged by,</w:t>
      </w:r>
      <w:r w:rsidRPr="00154A54">
        <w:rPr>
          <w:b w:val="0"/>
          <w:color w:val="000000" w:themeColor="text1"/>
          <w:sz w:val="18"/>
          <w:szCs w:val="18"/>
        </w:rPr>
        <w:t xml:space="preserve"> the Investment Manager.</w:t>
      </w:r>
    </w:p>
    <w:p w:rsidRPr="0079332A" w:rsidR="0004276C" w:rsidP="0079332A" w:rsidRDefault="0004276C" w14:paraId="59DE0534" w14:textId="77777777">
      <w:pPr>
        <w:ind w:left="709"/>
        <w:rPr>
          <w:b/>
          <w:i/>
          <w:sz w:val="18"/>
          <w:szCs w:val="18"/>
        </w:rPr>
      </w:pPr>
      <w:r w:rsidRPr="0079332A">
        <w:rPr>
          <w:b/>
          <w:i/>
          <w:sz w:val="18"/>
          <w:szCs w:val="18"/>
        </w:rPr>
        <w:t>Key risks relating to regulation and taxation</w:t>
      </w:r>
    </w:p>
    <w:p w:rsidRPr="0004276C" w:rsidR="000215F0" w:rsidP="00565AD4" w:rsidRDefault="0069581D" w14:paraId="02525D02" w14:textId="1AA851FC">
      <w:pPr>
        <w:pStyle w:val="ListParagraph"/>
        <w:numPr>
          <w:ilvl w:val="0"/>
          <w:numId w:val="48"/>
        </w:numPr>
        <w:ind w:left="1134" w:hanging="425"/>
        <w:contextualSpacing/>
        <w:rPr>
          <w:b w:val="0"/>
          <w:sz w:val="18"/>
          <w:szCs w:val="18"/>
        </w:rPr>
      </w:pPr>
      <w:r w:rsidRPr="0069581D">
        <w:rPr>
          <w:b w:val="0"/>
          <w:sz w:val="18"/>
          <w:szCs w:val="18"/>
        </w:rPr>
        <w:t>Changes in laws or regulations governing the Company’s or the Investment Manager’s operations may adversely affect the business and performance of the Company</w:t>
      </w:r>
      <w:r w:rsidRPr="00154A54" w:rsidR="0004276C">
        <w:rPr>
          <w:b w:val="0"/>
          <w:sz w:val="18"/>
          <w:szCs w:val="18"/>
        </w:rPr>
        <w:t>.</w:t>
      </w:r>
    </w:p>
    <w:p w:rsidRPr="009E77E6" w:rsidR="000215F0" w:rsidP="00565AD4" w:rsidRDefault="000215F0" w14:paraId="2CC6D2B8" w14:textId="7DB1ACC2">
      <w:pPr>
        <w:pStyle w:val="Heading1"/>
        <w:numPr>
          <w:ilvl w:val="0"/>
          <w:numId w:val="50"/>
        </w:numPr>
        <w:tabs>
          <w:tab w:val="clear" w:pos="1134"/>
          <w:tab w:val="num" w:pos="709"/>
        </w:tabs>
        <w:ind w:left="709" w:hanging="709"/>
        <w:rPr>
          <w:rFonts w:cs="Arial"/>
          <w:sz w:val="18"/>
          <w:szCs w:val="18"/>
        </w:rPr>
      </w:pPr>
      <w:bookmarkStart w:name="_Toc35954168" w:id="29"/>
      <w:bookmarkStart w:name="_Toc35957911" w:id="30"/>
      <w:bookmarkStart w:name="_Toc35961139" w:id="31"/>
      <w:bookmarkStart w:name="_Toc35964363" w:id="32"/>
      <w:bookmarkStart w:name="_Toc35967479" w:id="33"/>
      <w:bookmarkStart w:name="_Toc35970467" w:id="34"/>
      <w:bookmarkStart w:name="_Toc35973413" w:id="35"/>
      <w:bookmarkStart w:name="_Toc35975841" w:id="36"/>
      <w:bookmarkStart w:name="_Toc35978215" w:id="37"/>
      <w:r w:rsidRPr="009E77E6">
        <w:rPr>
          <w:rFonts w:cs="Arial"/>
          <w:sz w:val="18"/>
          <w:szCs w:val="18"/>
        </w:rPr>
        <w:t>KEY INFORMATION ON THE SECURITIES</w:t>
      </w:r>
      <w:bookmarkEnd w:id="29"/>
      <w:bookmarkEnd w:id="30"/>
      <w:bookmarkEnd w:id="31"/>
      <w:bookmarkEnd w:id="32"/>
      <w:bookmarkEnd w:id="33"/>
      <w:bookmarkEnd w:id="34"/>
      <w:bookmarkEnd w:id="35"/>
      <w:bookmarkEnd w:id="36"/>
      <w:bookmarkEnd w:id="37"/>
    </w:p>
    <w:p w:rsidRPr="009E77E6" w:rsidR="000215F0" w:rsidP="00565AD4" w:rsidRDefault="000215F0" w14:paraId="628EB123" w14:textId="77777777">
      <w:pPr>
        <w:pStyle w:val="Heading2"/>
        <w:numPr>
          <w:ilvl w:val="1"/>
          <w:numId w:val="50"/>
        </w:numPr>
        <w:tabs>
          <w:tab w:val="clear" w:pos="1134"/>
          <w:tab w:val="num" w:pos="709"/>
        </w:tabs>
        <w:ind w:left="709" w:hanging="709"/>
        <w:rPr>
          <w:rFonts w:cs="Arial"/>
          <w:b/>
          <w:sz w:val="18"/>
          <w:szCs w:val="18"/>
        </w:rPr>
      </w:pPr>
      <w:r w:rsidRPr="009E77E6">
        <w:rPr>
          <w:rFonts w:cs="Arial"/>
          <w:b/>
          <w:sz w:val="18"/>
          <w:szCs w:val="18"/>
        </w:rPr>
        <w:t xml:space="preserve">What are the main features of the securities? </w:t>
      </w:r>
    </w:p>
    <w:p w:rsidRPr="009E77E6" w:rsidR="000215F0" w:rsidP="00565AD4" w:rsidRDefault="00363268" w14:paraId="172E89D2" w14:textId="0437A503">
      <w:pPr>
        <w:pStyle w:val="Heading3"/>
        <w:numPr>
          <w:ilvl w:val="2"/>
          <w:numId w:val="50"/>
        </w:numPr>
        <w:tabs>
          <w:tab w:val="clear" w:pos="1134"/>
          <w:tab w:val="num" w:pos="709"/>
        </w:tabs>
        <w:ind w:left="709" w:hanging="709"/>
        <w:rPr>
          <w:b/>
          <w:sz w:val="18"/>
          <w:szCs w:val="18"/>
        </w:rPr>
      </w:pPr>
      <w:r>
        <w:rPr>
          <w:b/>
          <w:sz w:val="18"/>
          <w:szCs w:val="18"/>
        </w:rPr>
        <w:t xml:space="preserve">Ordinary </w:t>
      </w:r>
      <w:r w:rsidRPr="009E77E6" w:rsidR="000215F0">
        <w:rPr>
          <w:b/>
          <w:sz w:val="18"/>
          <w:szCs w:val="18"/>
        </w:rPr>
        <w:t xml:space="preserve">Shares </w:t>
      </w:r>
    </w:p>
    <w:p w:rsidRPr="009E77E6" w:rsidR="000215F0" w:rsidP="000215F0" w:rsidRDefault="000215F0" w14:paraId="6F6A0BA9" w14:textId="509920A8">
      <w:pPr>
        <w:ind w:left="709"/>
        <w:rPr>
          <w:rFonts w:cs="Arial"/>
          <w:sz w:val="18"/>
          <w:szCs w:val="18"/>
        </w:rPr>
      </w:pPr>
      <w:r w:rsidRPr="009E77E6">
        <w:rPr>
          <w:rFonts w:cs="Arial"/>
          <w:sz w:val="18"/>
          <w:szCs w:val="18"/>
        </w:rPr>
        <w:t xml:space="preserve">The securities which the Company intends to issue under the </w:t>
      </w:r>
      <w:r w:rsidR="00B97B41">
        <w:rPr>
          <w:rFonts w:cs="Arial"/>
          <w:sz w:val="18"/>
          <w:szCs w:val="18"/>
        </w:rPr>
        <w:t xml:space="preserve">Initial </w:t>
      </w:r>
      <w:r w:rsidR="0043344E">
        <w:rPr>
          <w:rFonts w:cs="Arial"/>
          <w:sz w:val="18"/>
          <w:szCs w:val="18"/>
        </w:rPr>
        <w:t>Placing</w:t>
      </w:r>
      <w:r w:rsidRPr="009E77E6">
        <w:rPr>
          <w:rFonts w:cs="Arial"/>
          <w:sz w:val="18"/>
          <w:szCs w:val="18"/>
        </w:rPr>
        <w:t xml:space="preserve"> are redeemable Ordinary Shares. Immediately following Initial Admission, t</w:t>
      </w:r>
      <w:r w:rsidR="00861CE3">
        <w:rPr>
          <w:rFonts w:cs="Arial"/>
          <w:sz w:val="18"/>
          <w:szCs w:val="18"/>
        </w:rPr>
        <w:t>he Company will have one class</w:t>
      </w:r>
      <w:r w:rsidRPr="009E77E6">
        <w:rPr>
          <w:rFonts w:cs="Arial"/>
          <w:sz w:val="18"/>
          <w:szCs w:val="18"/>
        </w:rPr>
        <w:t xml:space="preserve"> of shares in issue being the redeemable Ordinary Shares.</w:t>
      </w:r>
    </w:p>
    <w:p w:rsidRPr="009E77E6" w:rsidR="000215F0" w:rsidP="000215F0" w:rsidRDefault="000215F0" w14:paraId="524E5272" w14:textId="38D18BC3">
      <w:pPr>
        <w:ind w:left="709"/>
        <w:rPr>
          <w:rFonts w:cs="Arial"/>
          <w:sz w:val="18"/>
          <w:szCs w:val="18"/>
        </w:rPr>
      </w:pPr>
      <w:r w:rsidRPr="009E77E6">
        <w:rPr>
          <w:rFonts w:cs="Arial"/>
          <w:sz w:val="18"/>
          <w:szCs w:val="18"/>
        </w:rPr>
        <w:t xml:space="preserve">Thereafter the Company also intends to issue up to </w:t>
      </w:r>
      <w:r w:rsidR="0043344E">
        <w:rPr>
          <w:rFonts w:cs="Arial"/>
          <w:sz w:val="18"/>
          <w:szCs w:val="18"/>
        </w:rPr>
        <w:t>150</w:t>
      </w:r>
      <w:r w:rsidRPr="009E77E6">
        <w:rPr>
          <w:rFonts w:cs="Arial"/>
          <w:sz w:val="18"/>
          <w:szCs w:val="18"/>
        </w:rPr>
        <w:t xml:space="preserve"> million </w:t>
      </w:r>
      <w:r w:rsidR="008B2F16">
        <w:rPr>
          <w:rFonts w:cs="Arial"/>
          <w:sz w:val="18"/>
          <w:szCs w:val="18"/>
        </w:rPr>
        <w:t xml:space="preserve">redeemable </w:t>
      </w:r>
      <w:r w:rsidRPr="009E77E6">
        <w:rPr>
          <w:rFonts w:cs="Arial"/>
          <w:sz w:val="18"/>
          <w:szCs w:val="18"/>
        </w:rPr>
        <w:t>Ordinary Shares pu</w:t>
      </w:r>
      <w:r w:rsidR="009244EF">
        <w:rPr>
          <w:rFonts w:cs="Arial"/>
          <w:sz w:val="18"/>
          <w:szCs w:val="18"/>
        </w:rPr>
        <w:t>rsuant to the Placing Programme</w:t>
      </w:r>
      <w:r w:rsidR="00647874">
        <w:rPr>
          <w:rFonts w:cs="Arial"/>
          <w:sz w:val="18"/>
          <w:szCs w:val="18"/>
        </w:rPr>
        <w:t>.</w:t>
      </w:r>
      <w:r w:rsidRPr="009E77E6">
        <w:rPr>
          <w:rFonts w:cs="Arial"/>
          <w:sz w:val="18"/>
          <w:szCs w:val="18"/>
        </w:rPr>
        <w:t xml:space="preserve"> </w:t>
      </w:r>
    </w:p>
    <w:p w:rsidRPr="009E77E6" w:rsidR="000215F0" w:rsidP="000215F0" w:rsidRDefault="000215F0" w14:paraId="21BDC997" w14:textId="381A22CA">
      <w:pPr>
        <w:ind w:left="709"/>
        <w:rPr>
          <w:rFonts w:cs="Arial"/>
          <w:sz w:val="18"/>
          <w:szCs w:val="18"/>
        </w:rPr>
      </w:pPr>
      <w:r w:rsidRPr="009E77E6">
        <w:rPr>
          <w:rFonts w:cs="Arial"/>
          <w:sz w:val="18"/>
          <w:szCs w:val="18"/>
        </w:rPr>
        <w:t xml:space="preserve">The </w:t>
      </w:r>
      <w:r w:rsidR="006873BD">
        <w:rPr>
          <w:sz w:val="18"/>
          <w:szCs w:val="18"/>
        </w:rPr>
        <w:t>Ordinary Shares</w:t>
      </w:r>
      <w:r w:rsidRPr="009E77E6">
        <w:rPr>
          <w:rFonts w:cs="Arial"/>
          <w:sz w:val="18"/>
          <w:szCs w:val="18"/>
        </w:rPr>
        <w:t xml:space="preserve"> are denominated in Sterling. The Ordinary Shares are being offered under the </w:t>
      </w:r>
      <w:r w:rsidR="00B97B41">
        <w:rPr>
          <w:rFonts w:cs="Arial"/>
          <w:sz w:val="18"/>
          <w:szCs w:val="18"/>
        </w:rPr>
        <w:t xml:space="preserve">Initial </w:t>
      </w:r>
      <w:r w:rsidR="0043344E">
        <w:rPr>
          <w:rFonts w:cs="Arial"/>
          <w:sz w:val="18"/>
          <w:szCs w:val="18"/>
        </w:rPr>
        <w:t>Placing</w:t>
      </w:r>
      <w:r w:rsidRPr="009E77E6">
        <w:rPr>
          <w:rFonts w:cs="Arial"/>
          <w:sz w:val="18"/>
          <w:szCs w:val="18"/>
        </w:rPr>
        <w:t xml:space="preserve"> at the Issue Price of 100 pence per Ordinary Share. </w:t>
      </w:r>
    </w:p>
    <w:p w:rsidRPr="009E77E6" w:rsidR="000215F0" w:rsidP="000215F0" w:rsidRDefault="000215F0" w14:paraId="4A052A13" w14:textId="12FE93A7">
      <w:pPr>
        <w:ind w:left="709"/>
        <w:rPr>
          <w:rFonts w:cs="Arial"/>
          <w:sz w:val="18"/>
          <w:szCs w:val="18"/>
        </w:rPr>
      </w:pPr>
      <w:r w:rsidRPr="009E77E6">
        <w:rPr>
          <w:rFonts w:cs="Arial"/>
          <w:sz w:val="18"/>
          <w:szCs w:val="18"/>
        </w:rPr>
        <w:t>The minimum price at which Ordinary Shares will be offered under the Placing Programme will be equal to the estimated Net Asset Value per Ordinary Share, plus a premium to at least cover the costs and expenses of the relevant Subsequent Placing</w:t>
      </w:r>
      <w:r w:rsidR="00FC0079">
        <w:rPr>
          <w:rFonts w:cs="Arial"/>
          <w:sz w:val="18"/>
          <w:szCs w:val="18"/>
        </w:rPr>
        <w:t>.</w:t>
      </w:r>
    </w:p>
    <w:p w:rsidR="00861CE3" w:rsidP="00861CE3" w:rsidRDefault="00861CE3" w14:paraId="6494EB4C" w14:textId="70223170">
      <w:pPr>
        <w:ind w:left="709"/>
        <w:rPr>
          <w:rFonts w:cs="Arial"/>
          <w:sz w:val="18"/>
          <w:szCs w:val="18"/>
        </w:rPr>
      </w:pPr>
      <w:r>
        <w:rPr>
          <w:rFonts w:cs="Arial"/>
          <w:sz w:val="18"/>
          <w:szCs w:val="18"/>
        </w:rPr>
        <w:t>A</w:t>
      </w:r>
      <w:r w:rsidRPr="009E77E6" w:rsidR="000215F0">
        <w:rPr>
          <w:rFonts w:cs="Arial"/>
          <w:sz w:val="18"/>
          <w:szCs w:val="18"/>
        </w:rPr>
        <w:t xml:space="preserve">s at the </w:t>
      </w:r>
      <w:r>
        <w:rPr>
          <w:rFonts w:cs="Arial"/>
          <w:sz w:val="18"/>
          <w:szCs w:val="18"/>
        </w:rPr>
        <w:t xml:space="preserve">date of this document, there is one Ordinary Share in issue which is </w:t>
      </w:r>
      <w:r w:rsidRPr="009E77E6" w:rsidR="000215F0">
        <w:rPr>
          <w:rFonts w:cs="Arial"/>
          <w:sz w:val="18"/>
          <w:szCs w:val="18"/>
        </w:rPr>
        <w:t>fully paid up</w:t>
      </w:r>
      <w:r w:rsidR="00175E19">
        <w:rPr>
          <w:rFonts w:cs="Arial"/>
          <w:sz w:val="18"/>
          <w:szCs w:val="18"/>
        </w:rPr>
        <w:t xml:space="preserve"> to 100 pence</w:t>
      </w:r>
      <w:r w:rsidR="0029707D">
        <w:rPr>
          <w:rFonts w:cs="Arial"/>
          <w:sz w:val="18"/>
          <w:szCs w:val="18"/>
        </w:rPr>
        <w:t>, held by the Investment Manager</w:t>
      </w:r>
      <w:r w:rsidR="006B15E9">
        <w:rPr>
          <w:rFonts w:cs="Arial"/>
          <w:sz w:val="18"/>
          <w:szCs w:val="18"/>
        </w:rPr>
        <w:t>.</w:t>
      </w:r>
    </w:p>
    <w:p w:rsidRPr="009E77E6" w:rsidR="000215F0" w:rsidP="00861CE3" w:rsidRDefault="000215F0" w14:paraId="1F58053C" w14:textId="579C9D50">
      <w:pPr>
        <w:ind w:left="709"/>
        <w:rPr>
          <w:rFonts w:cs="Arial"/>
          <w:b/>
          <w:sz w:val="18"/>
          <w:szCs w:val="18"/>
        </w:rPr>
      </w:pPr>
      <w:r w:rsidRPr="009E77E6">
        <w:rPr>
          <w:rFonts w:cs="Arial"/>
          <w:b/>
          <w:sz w:val="18"/>
          <w:szCs w:val="18"/>
        </w:rPr>
        <w:t xml:space="preserve">Rights attaching to the </w:t>
      </w:r>
      <w:r w:rsidR="00363268">
        <w:rPr>
          <w:rFonts w:cs="Arial"/>
          <w:b/>
          <w:sz w:val="18"/>
          <w:szCs w:val="18"/>
        </w:rPr>
        <w:t xml:space="preserve">Ordinary </w:t>
      </w:r>
      <w:r w:rsidRPr="009E77E6">
        <w:rPr>
          <w:rFonts w:cs="Arial"/>
          <w:b/>
          <w:sz w:val="18"/>
          <w:szCs w:val="18"/>
        </w:rPr>
        <w:t xml:space="preserve">Shares </w:t>
      </w:r>
    </w:p>
    <w:p w:rsidRPr="009E77E6" w:rsidR="000215F0" w:rsidP="000215F0" w:rsidRDefault="000215F0" w14:paraId="0ECD8293" w14:textId="5641B6D7">
      <w:pPr>
        <w:ind w:left="709"/>
        <w:rPr>
          <w:rFonts w:cs="Arial"/>
          <w:sz w:val="18"/>
          <w:szCs w:val="18"/>
        </w:rPr>
      </w:pPr>
      <w:r w:rsidRPr="009E77E6">
        <w:rPr>
          <w:rFonts w:cs="Arial"/>
          <w:sz w:val="18"/>
          <w:szCs w:val="18"/>
        </w:rPr>
        <w:t xml:space="preserve">The Ordinary Shares have the following rights: </w:t>
      </w:r>
    </w:p>
    <w:p w:rsidRPr="009E77E6" w:rsidR="000215F0" w:rsidP="000215F0" w:rsidRDefault="000215F0" w14:paraId="7D170895" w14:textId="3F755326">
      <w:pPr>
        <w:ind w:left="3261" w:hanging="2552"/>
        <w:rPr>
          <w:sz w:val="18"/>
          <w:szCs w:val="18"/>
        </w:rPr>
      </w:pPr>
      <w:r w:rsidRPr="009E77E6">
        <w:rPr>
          <w:i/>
          <w:sz w:val="18"/>
          <w:szCs w:val="18"/>
        </w:rPr>
        <w:t>Dividend</w:t>
      </w:r>
      <w:r w:rsidRPr="009E77E6">
        <w:rPr>
          <w:sz w:val="18"/>
          <w:szCs w:val="18"/>
        </w:rPr>
        <w:t xml:space="preserve">: </w:t>
      </w:r>
      <w:r w:rsidRPr="009E77E6">
        <w:rPr>
          <w:sz w:val="18"/>
          <w:szCs w:val="18"/>
        </w:rPr>
        <w:tab/>
        <w:t xml:space="preserve">The holders of the Ordinary Shares shall be entitled to receive, and to participate in, any dividends declared in relation to the Ordinary Shares that they hold. </w:t>
      </w:r>
    </w:p>
    <w:p w:rsidRPr="009E77E6" w:rsidR="000215F0" w:rsidP="002B4311" w:rsidRDefault="000215F0" w14:paraId="77B12B65" w14:textId="3EAB86BD">
      <w:pPr>
        <w:ind w:left="3261" w:hanging="2552"/>
        <w:rPr>
          <w:sz w:val="18"/>
          <w:szCs w:val="18"/>
        </w:rPr>
      </w:pPr>
      <w:r w:rsidRPr="009E77E6">
        <w:rPr>
          <w:i/>
          <w:sz w:val="18"/>
          <w:szCs w:val="18"/>
        </w:rPr>
        <w:t>Rights as respect to capital</w:t>
      </w:r>
      <w:r w:rsidRPr="009E77E6">
        <w:rPr>
          <w:sz w:val="18"/>
          <w:szCs w:val="18"/>
        </w:rPr>
        <w:t xml:space="preserve">: </w:t>
      </w:r>
      <w:r w:rsidRPr="009E77E6">
        <w:rPr>
          <w:sz w:val="18"/>
          <w:szCs w:val="18"/>
        </w:rPr>
        <w:tab/>
      </w:r>
      <w:r w:rsidRPr="002B4311" w:rsidR="002B4311">
        <w:rPr>
          <w:sz w:val="18"/>
          <w:szCs w:val="18"/>
        </w:rPr>
        <w:t>On a winding-up of the Company, the surplus assets of the Company available for distribution to the holders of Ordinary Shares (after payment of all other debts and liabilities of the Company attributable to the Ordinary Shares) shall be divided amongst the holders of Ordinary Shares pro rata according to their respective holdings of Ordi</w:t>
      </w:r>
      <w:r w:rsidR="002B4311">
        <w:rPr>
          <w:sz w:val="18"/>
          <w:szCs w:val="18"/>
        </w:rPr>
        <w:t xml:space="preserve">nary Shares. </w:t>
      </w:r>
    </w:p>
    <w:p w:rsidRPr="009E77E6" w:rsidR="000215F0" w:rsidP="000215F0" w:rsidRDefault="000215F0" w14:paraId="62DAB7DA" w14:textId="73865072">
      <w:pPr>
        <w:ind w:left="3261" w:hanging="2552"/>
        <w:rPr>
          <w:sz w:val="18"/>
          <w:szCs w:val="18"/>
        </w:rPr>
      </w:pPr>
      <w:r w:rsidRPr="009E77E6">
        <w:rPr>
          <w:i/>
          <w:sz w:val="18"/>
          <w:szCs w:val="18"/>
        </w:rPr>
        <w:t>Voting</w:t>
      </w:r>
      <w:r w:rsidRPr="009E77E6">
        <w:rPr>
          <w:sz w:val="18"/>
          <w:szCs w:val="18"/>
        </w:rPr>
        <w:t xml:space="preserve">: </w:t>
      </w:r>
      <w:r w:rsidRPr="009E77E6">
        <w:rPr>
          <w:sz w:val="18"/>
          <w:szCs w:val="18"/>
        </w:rPr>
        <w:tab/>
        <w:t xml:space="preserve">The Ordinary Shares shall carry the right to receive notice of, attend, speak and vote at general meetings of the Company and each holder being present </w:t>
      </w:r>
      <w:r w:rsidRPr="009E77E6">
        <w:rPr>
          <w:sz w:val="18"/>
          <w:szCs w:val="18"/>
        </w:rPr>
        <w:lastRenderedPageBreak/>
        <w:t xml:space="preserve">in person or by proxy shall upon a show of hands have one vote and upon a poll shall have one vote in respect of each Ordinary Share that they hold. The consent of the holders of the Ordinary Shares as a class will be required for the variation of any rights attached to the Ordinary Shares. </w:t>
      </w:r>
    </w:p>
    <w:p w:rsidRPr="009E77E6" w:rsidR="000215F0" w:rsidP="000215F0" w:rsidRDefault="000215F0" w14:paraId="7BCC1144" w14:textId="245C852C">
      <w:pPr>
        <w:ind w:left="3261" w:hanging="2552"/>
        <w:rPr>
          <w:sz w:val="18"/>
          <w:szCs w:val="18"/>
        </w:rPr>
      </w:pPr>
      <w:r w:rsidRPr="009E77E6">
        <w:rPr>
          <w:i/>
          <w:sz w:val="18"/>
          <w:szCs w:val="18"/>
        </w:rPr>
        <w:t>Redemption</w:t>
      </w:r>
      <w:r w:rsidRPr="009E77E6">
        <w:rPr>
          <w:sz w:val="18"/>
          <w:szCs w:val="18"/>
        </w:rPr>
        <w:t>:</w:t>
      </w:r>
      <w:r w:rsidRPr="009E77E6">
        <w:rPr>
          <w:sz w:val="18"/>
          <w:szCs w:val="18"/>
        </w:rPr>
        <w:tab/>
        <w:t xml:space="preserve">The Company may, at the sole option of the Directors, from time to time, </w:t>
      </w:r>
      <w:r w:rsidR="00114E49">
        <w:rPr>
          <w:sz w:val="18"/>
          <w:szCs w:val="18"/>
        </w:rPr>
        <w:t xml:space="preserve">in the manner and subject to the provisions of the Articles </w:t>
      </w:r>
      <w:r w:rsidR="0043344E">
        <w:rPr>
          <w:sz w:val="18"/>
          <w:szCs w:val="18"/>
        </w:rPr>
        <w:t xml:space="preserve">offer to </w:t>
      </w:r>
      <w:r w:rsidRPr="009E77E6">
        <w:rPr>
          <w:sz w:val="18"/>
          <w:szCs w:val="18"/>
        </w:rPr>
        <w:t xml:space="preserve">redeem </w:t>
      </w:r>
      <w:r w:rsidR="00114E49">
        <w:rPr>
          <w:sz w:val="18"/>
          <w:szCs w:val="18"/>
        </w:rPr>
        <w:t xml:space="preserve">any number of Ordinary Shares </w:t>
      </w:r>
      <w:r w:rsidRPr="009E77E6">
        <w:rPr>
          <w:sz w:val="18"/>
          <w:szCs w:val="18"/>
        </w:rPr>
        <w:t xml:space="preserve">at a redemption price equivalent to the </w:t>
      </w:r>
      <w:bookmarkStart w:name="_Hlk188782220" w:id="38"/>
      <w:r w:rsidR="00114E49">
        <w:rPr>
          <w:sz w:val="18"/>
          <w:szCs w:val="18"/>
        </w:rPr>
        <w:t xml:space="preserve">prevailing </w:t>
      </w:r>
      <w:r w:rsidR="003B01E0">
        <w:rPr>
          <w:sz w:val="18"/>
          <w:szCs w:val="18"/>
        </w:rPr>
        <w:t>published</w:t>
      </w:r>
      <w:r w:rsidR="008B2F16">
        <w:rPr>
          <w:sz w:val="18"/>
          <w:szCs w:val="18"/>
        </w:rPr>
        <w:t xml:space="preserve"> </w:t>
      </w:r>
      <w:r w:rsidRPr="009E77E6">
        <w:rPr>
          <w:sz w:val="18"/>
          <w:szCs w:val="18"/>
        </w:rPr>
        <w:t>Net Asset Value per Ordinary Share</w:t>
      </w:r>
      <w:r w:rsidR="003B01E0">
        <w:rPr>
          <w:sz w:val="18"/>
          <w:szCs w:val="18"/>
        </w:rPr>
        <w:t xml:space="preserve"> (audited or unaudited)</w:t>
      </w:r>
      <w:r w:rsidRPr="009E77E6">
        <w:rPr>
          <w:sz w:val="18"/>
          <w:szCs w:val="18"/>
        </w:rPr>
        <w:t xml:space="preserve"> </w:t>
      </w:r>
      <w:bookmarkEnd w:id="38"/>
      <w:r w:rsidR="00114E49">
        <w:rPr>
          <w:sz w:val="18"/>
          <w:szCs w:val="18"/>
        </w:rPr>
        <w:t xml:space="preserve">as at the </w:t>
      </w:r>
      <w:r w:rsidR="00DB6ECE">
        <w:rPr>
          <w:sz w:val="18"/>
          <w:szCs w:val="18"/>
        </w:rPr>
        <w:t>applicable Valuation</w:t>
      </w:r>
      <w:r w:rsidR="008B2F16">
        <w:rPr>
          <w:sz w:val="18"/>
          <w:szCs w:val="18"/>
        </w:rPr>
        <w:t xml:space="preserve"> Point </w:t>
      </w:r>
      <w:r w:rsidRPr="008B2F16" w:rsidR="008B2F16">
        <w:rPr>
          <w:sz w:val="18"/>
          <w:szCs w:val="18"/>
        </w:rPr>
        <w:t>less a 2 per cent. deduction (for costs and provisions)</w:t>
      </w:r>
      <w:r w:rsidR="00861CE3">
        <w:rPr>
          <w:sz w:val="18"/>
          <w:szCs w:val="18"/>
        </w:rPr>
        <w:t xml:space="preserve">. </w:t>
      </w:r>
    </w:p>
    <w:p w:rsidRPr="009E77E6" w:rsidR="000215F0" w:rsidP="00565AD4" w:rsidRDefault="000215F0" w14:paraId="5EBF4D32" w14:textId="7816B7FE">
      <w:pPr>
        <w:pStyle w:val="Heading3"/>
        <w:numPr>
          <w:ilvl w:val="2"/>
          <w:numId w:val="50"/>
        </w:numPr>
        <w:tabs>
          <w:tab w:val="clear" w:pos="1134"/>
          <w:tab w:val="num" w:pos="709"/>
        </w:tabs>
        <w:spacing w:before="240"/>
        <w:ind w:left="709" w:hanging="709"/>
        <w:rPr>
          <w:rFonts w:cs="Arial"/>
          <w:b/>
          <w:sz w:val="18"/>
          <w:szCs w:val="18"/>
        </w:rPr>
      </w:pPr>
      <w:r w:rsidRPr="009E77E6">
        <w:rPr>
          <w:rFonts w:cs="Arial"/>
          <w:b/>
          <w:sz w:val="18"/>
          <w:szCs w:val="18"/>
        </w:rPr>
        <w:t xml:space="preserve">Restrictions on the free transferability of </w:t>
      </w:r>
      <w:r w:rsidR="00363268">
        <w:rPr>
          <w:rFonts w:cs="Arial"/>
          <w:b/>
          <w:sz w:val="18"/>
          <w:szCs w:val="18"/>
        </w:rPr>
        <w:t xml:space="preserve">Ordinary </w:t>
      </w:r>
      <w:r w:rsidRPr="009E77E6">
        <w:rPr>
          <w:rFonts w:cs="Arial"/>
          <w:b/>
          <w:sz w:val="18"/>
          <w:szCs w:val="18"/>
        </w:rPr>
        <w:t xml:space="preserve">Shares </w:t>
      </w:r>
    </w:p>
    <w:p w:rsidRPr="009E77E6" w:rsidR="000215F0" w:rsidP="000215F0" w:rsidRDefault="000215F0" w14:paraId="6C015BCA" w14:textId="77777777">
      <w:pPr>
        <w:ind w:left="709"/>
        <w:rPr>
          <w:rFonts w:cs="Arial"/>
          <w:sz w:val="18"/>
          <w:szCs w:val="18"/>
        </w:rPr>
      </w:pPr>
      <w:r w:rsidRPr="009E77E6">
        <w:rPr>
          <w:rFonts w:cs="Arial"/>
          <w:sz w:val="18"/>
          <w:szCs w:val="18"/>
        </w:rPr>
        <w:t>There are no restrictions on the free transferability of the Ordinary Shares, subject to compliance with applicable securities laws.</w:t>
      </w:r>
    </w:p>
    <w:p w:rsidRPr="009E77E6" w:rsidR="000215F0" w:rsidP="00565AD4" w:rsidRDefault="000215F0" w14:paraId="0B2B526A" w14:textId="7BAA62BC">
      <w:pPr>
        <w:pStyle w:val="Heading3"/>
        <w:numPr>
          <w:ilvl w:val="2"/>
          <w:numId w:val="50"/>
        </w:numPr>
        <w:tabs>
          <w:tab w:val="clear" w:pos="1134"/>
          <w:tab w:val="num" w:pos="709"/>
        </w:tabs>
        <w:ind w:left="709" w:hanging="709"/>
        <w:rPr>
          <w:rFonts w:cs="Arial"/>
          <w:b/>
          <w:sz w:val="18"/>
          <w:szCs w:val="18"/>
        </w:rPr>
      </w:pPr>
      <w:r w:rsidRPr="009E77E6">
        <w:rPr>
          <w:rFonts w:cs="Arial"/>
          <w:b/>
          <w:sz w:val="18"/>
          <w:szCs w:val="18"/>
        </w:rPr>
        <w:t>Di</w:t>
      </w:r>
      <w:r w:rsidR="00647874">
        <w:rPr>
          <w:rFonts w:cs="Arial"/>
          <w:b/>
          <w:sz w:val="18"/>
          <w:szCs w:val="18"/>
        </w:rPr>
        <w:t>vidend</w:t>
      </w:r>
      <w:r w:rsidRPr="009E77E6">
        <w:rPr>
          <w:rFonts w:cs="Arial"/>
          <w:b/>
          <w:sz w:val="18"/>
          <w:szCs w:val="18"/>
        </w:rPr>
        <w:t xml:space="preserve"> policy </w:t>
      </w:r>
      <w:r w:rsidR="00647874">
        <w:rPr>
          <w:rFonts w:cs="Arial"/>
          <w:b/>
          <w:sz w:val="18"/>
          <w:szCs w:val="18"/>
        </w:rPr>
        <w:t>and Redemption Mechanism</w:t>
      </w:r>
    </w:p>
    <w:p w:rsidR="009244EF" w:rsidP="00132D42" w:rsidRDefault="00050FE5" w14:paraId="33718B4E" w14:textId="730563FD">
      <w:pPr>
        <w:ind w:left="709"/>
        <w:rPr>
          <w:rFonts w:cs="Arial"/>
          <w:sz w:val="18"/>
          <w:szCs w:val="18"/>
        </w:rPr>
      </w:pPr>
      <w:r w:rsidRPr="00050FE5">
        <w:rPr>
          <w:rFonts w:cs="Arial"/>
          <w:sz w:val="18"/>
          <w:szCs w:val="18"/>
        </w:rPr>
        <w:t>The Directors intend to manage the Company’s affairs to achieve Shareholder returns through capital growth rather than income. Therefore, it should not be expected that the Company will pay significant dividend</w:t>
      </w:r>
      <w:r w:rsidR="008E2AC1">
        <w:rPr>
          <w:rFonts w:cs="Arial"/>
          <w:sz w:val="18"/>
          <w:szCs w:val="18"/>
        </w:rPr>
        <w:t>s</w:t>
      </w:r>
      <w:r w:rsidRPr="00050FE5">
        <w:rPr>
          <w:rFonts w:cs="Arial"/>
          <w:sz w:val="18"/>
          <w:szCs w:val="18"/>
        </w:rPr>
        <w:t>, if any.</w:t>
      </w:r>
    </w:p>
    <w:p w:rsidRPr="009244EF" w:rsidR="00132D42" w:rsidP="00132D42" w:rsidRDefault="00132D42" w14:paraId="6FF8E815" w14:textId="1C323C45">
      <w:pPr>
        <w:ind w:left="709"/>
        <w:rPr>
          <w:rFonts w:cs="Arial"/>
          <w:sz w:val="18"/>
          <w:szCs w:val="18"/>
        </w:rPr>
      </w:pPr>
      <w:r>
        <w:rPr>
          <w:rFonts w:cs="Arial"/>
          <w:sz w:val="18"/>
          <w:szCs w:val="18"/>
        </w:rPr>
        <w:t xml:space="preserve">As a mechanism for returning capital </w:t>
      </w:r>
      <w:r w:rsidR="006D024E">
        <w:rPr>
          <w:rFonts w:cs="Arial"/>
          <w:sz w:val="18"/>
          <w:szCs w:val="18"/>
        </w:rPr>
        <w:t xml:space="preserve">(including realised </w:t>
      </w:r>
      <w:r>
        <w:rPr>
          <w:rFonts w:cs="Arial"/>
          <w:sz w:val="18"/>
          <w:szCs w:val="18"/>
        </w:rPr>
        <w:t>profits</w:t>
      </w:r>
      <w:r w:rsidR="006D024E">
        <w:rPr>
          <w:rFonts w:cs="Arial"/>
          <w:sz w:val="18"/>
          <w:szCs w:val="18"/>
        </w:rPr>
        <w:t>)</w:t>
      </w:r>
      <w:r>
        <w:rPr>
          <w:rFonts w:cs="Arial"/>
          <w:sz w:val="18"/>
          <w:szCs w:val="18"/>
        </w:rPr>
        <w:t xml:space="preserve"> to Shareholders, the Company may, from time to time, invite Shareholders to tender some or all of their Ordinary Shares for redemption.  </w:t>
      </w:r>
      <w:r w:rsidRPr="00132D42">
        <w:rPr>
          <w:rFonts w:cs="Arial"/>
          <w:sz w:val="18"/>
          <w:szCs w:val="18"/>
        </w:rPr>
        <w:t>The Directors have absolute discretion to operate the</w:t>
      </w:r>
      <w:r>
        <w:rPr>
          <w:rFonts w:cs="Arial"/>
          <w:sz w:val="18"/>
          <w:szCs w:val="18"/>
        </w:rPr>
        <w:t xml:space="preserve"> </w:t>
      </w:r>
      <w:r w:rsidR="008E2AC1">
        <w:rPr>
          <w:rFonts w:cs="Arial"/>
          <w:sz w:val="18"/>
          <w:szCs w:val="18"/>
        </w:rPr>
        <w:t>R</w:t>
      </w:r>
      <w:r w:rsidRPr="00132D42">
        <w:rPr>
          <w:rFonts w:cs="Arial"/>
          <w:sz w:val="18"/>
          <w:szCs w:val="18"/>
        </w:rPr>
        <w:t xml:space="preserve">edemption </w:t>
      </w:r>
      <w:r w:rsidR="008E2AC1">
        <w:rPr>
          <w:rFonts w:cs="Arial"/>
          <w:sz w:val="18"/>
          <w:szCs w:val="18"/>
        </w:rPr>
        <w:t>Mechanism</w:t>
      </w:r>
      <w:r w:rsidRPr="00132D42">
        <w:rPr>
          <w:rFonts w:cs="Arial"/>
          <w:sz w:val="18"/>
          <w:szCs w:val="18"/>
        </w:rPr>
        <w:t xml:space="preserve"> </w:t>
      </w:r>
      <w:r w:rsidR="008E2AC1">
        <w:rPr>
          <w:rFonts w:cs="Arial"/>
          <w:sz w:val="18"/>
          <w:szCs w:val="18"/>
        </w:rPr>
        <w:t>at</w:t>
      </w:r>
      <w:r w:rsidRPr="00132D42">
        <w:rPr>
          <w:rFonts w:cs="Arial"/>
          <w:sz w:val="18"/>
          <w:szCs w:val="18"/>
        </w:rPr>
        <w:t xml:space="preserve"> any given Redemption Point.</w:t>
      </w:r>
      <w:r>
        <w:rPr>
          <w:rFonts w:cs="Arial"/>
          <w:sz w:val="18"/>
          <w:szCs w:val="18"/>
        </w:rPr>
        <w:t xml:space="preserve"> The Redemption Price payable under any operation of the Redemption Mechanism will </w:t>
      </w:r>
      <w:r w:rsidR="008E2AC1">
        <w:rPr>
          <w:rFonts w:cs="Arial"/>
          <w:sz w:val="18"/>
          <w:szCs w:val="18"/>
        </w:rPr>
        <w:t xml:space="preserve">be </w:t>
      </w:r>
      <w:r>
        <w:rPr>
          <w:rFonts w:cs="Arial"/>
          <w:sz w:val="18"/>
          <w:szCs w:val="18"/>
        </w:rPr>
        <w:t xml:space="preserve">equal to the applicable unaudited Net Asset Value per Ordinary Share at the </w:t>
      </w:r>
      <w:r w:rsidR="008E2AC1">
        <w:rPr>
          <w:rFonts w:cs="Arial"/>
          <w:sz w:val="18"/>
          <w:szCs w:val="18"/>
        </w:rPr>
        <w:t xml:space="preserve">relevant </w:t>
      </w:r>
      <w:r>
        <w:rPr>
          <w:rFonts w:cs="Arial"/>
          <w:sz w:val="18"/>
          <w:szCs w:val="18"/>
        </w:rPr>
        <w:t>Redemption Point less a 2 per cent. deduction (for costs and provisions).</w:t>
      </w:r>
    </w:p>
    <w:p w:rsidR="000215F0" w:rsidP="009244EF" w:rsidRDefault="00E84146" w14:paraId="74378652" w14:textId="49445D29">
      <w:pPr>
        <w:ind w:left="709"/>
        <w:rPr>
          <w:rFonts w:cs="Arial"/>
          <w:sz w:val="18"/>
          <w:szCs w:val="18"/>
        </w:rPr>
      </w:pPr>
      <w:r>
        <w:rPr>
          <w:rFonts w:cs="Arial"/>
          <w:sz w:val="18"/>
          <w:szCs w:val="18"/>
        </w:rPr>
        <w:t>The proceeds of any r</w:t>
      </w:r>
      <w:r w:rsidR="00647874">
        <w:rPr>
          <w:rFonts w:cs="Arial"/>
          <w:sz w:val="18"/>
          <w:szCs w:val="18"/>
        </w:rPr>
        <w:t>edemption</w:t>
      </w:r>
      <w:r>
        <w:rPr>
          <w:rFonts w:cs="Arial"/>
          <w:sz w:val="18"/>
          <w:szCs w:val="18"/>
        </w:rPr>
        <w:t>s</w:t>
      </w:r>
      <w:r w:rsidR="00647874">
        <w:rPr>
          <w:rFonts w:cs="Arial"/>
          <w:sz w:val="18"/>
          <w:szCs w:val="18"/>
        </w:rPr>
        <w:t xml:space="preserve"> under the Redemption Mechanism </w:t>
      </w:r>
      <w:r>
        <w:rPr>
          <w:rFonts w:cs="Arial"/>
          <w:sz w:val="18"/>
          <w:szCs w:val="18"/>
        </w:rPr>
        <w:t xml:space="preserve">(and any dividends, if paid) </w:t>
      </w:r>
      <w:r w:rsidRPr="009244EF" w:rsidR="009244EF">
        <w:rPr>
          <w:rFonts w:cs="Arial"/>
          <w:sz w:val="18"/>
          <w:szCs w:val="18"/>
        </w:rPr>
        <w:t xml:space="preserve">will be paid in Sterling. </w:t>
      </w:r>
      <w:r>
        <w:rPr>
          <w:rFonts w:cs="Arial"/>
          <w:sz w:val="18"/>
          <w:szCs w:val="18"/>
        </w:rPr>
        <w:t xml:space="preserve">Any </w:t>
      </w:r>
      <w:r w:rsidR="00647874">
        <w:rPr>
          <w:rFonts w:cs="Arial"/>
          <w:sz w:val="18"/>
          <w:szCs w:val="18"/>
        </w:rPr>
        <w:t>redemptions</w:t>
      </w:r>
      <w:r w:rsidRPr="009244EF" w:rsidR="009244EF">
        <w:rPr>
          <w:rFonts w:cs="Arial"/>
          <w:sz w:val="18"/>
          <w:szCs w:val="18"/>
        </w:rPr>
        <w:t xml:space="preserve"> </w:t>
      </w:r>
      <w:r>
        <w:rPr>
          <w:rFonts w:cs="Arial"/>
          <w:sz w:val="18"/>
          <w:szCs w:val="18"/>
        </w:rPr>
        <w:t xml:space="preserve">under the Redemption Mechanism (and the payment of any other distributions) </w:t>
      </w:r>
      <w:r w:rsidRPr="009244EF" w:rsidR="009244EF">
        <w:rPr>
          <w:rFonts w:cs="Arial"/>
          <w:sz w:val="18"/>
          <w:szCs w:val="18"/>
        </w:rPr>
        <w:t>will be subject to compliance with the solvency test prescribed by Guernsey law.</w:t>
      </w:r>
    </w:p>
    <w:p w:rsidRPr="00921D6A" w:rsidR="00921D6A" w:rsidP="009244EF" w:rsidRDefault="00921D6A" w14:paraId="32802D59" w14:textId="49F0BE6A">
      <w:pPr>
        <w:ind w:left="709"/>
        <w:rPr>
          <w:rFonts w:cs="Arial"/>
          <w:sz w:val="18"/>
          <w:szCs w:val="18"/>
        </w:rPr>
      </w:pPr>
      <w:r>
        <w:rPr>
          <w:rFonts w:cs="Arial"/>
          <w:sz w:val="18"/>
          <w:szCs w:val="18"/>
        </w:rPr>
        <w:t xml:space="preserve">On a solvent </w:t>
      </w:r>
      <w:r w:rsidR="003F6B4A">
        <w:rPr>
          <w:rFonts w:cs="Arial"/>
          <w:sz w:val="18"/>
          <w:szCs w:val="18"/>
        </w:rPr>
        <w:t xml:space="preserve">or insolvent </w:t>
      </w:r>
      <w:r>
        <w:rPr>
          <w:rFonts w:cs="Arial"/>
          <w:sz w:val="18"/>
          <w:szCs w:val="18"/>
        </w:rPr>
        <w:t xml:space="preserve">winding up of the Company, the liquidator of the Company may, with the authority of a special resolution of Shareholders distribute any remaining assets of the Company to Shareholders </w:t>
      </w:r>
      <w:r>
        <w:rPr>
          <w:rFonts w:cs="Arial"/>
          <w:i/>
          <w:sz w:val="18"/>
          <w:szCs w:val="18"/>
        </w:rPr>
        <w:t>in specie</w:t>
      </w:r>
      <w:r>
        <w:rPr>
          <w:rFonts w:cs="Arial"/>
          <w:sz w:val="18"/>
          <w:szCs w:val="18"/>
        </w:rPr>
        <w:t>.</w:t>
      </w:r>
      <w:r w:rsidR="003F6B4A">
        <w:rPr>
          <w:rFonts w:cs="Arial"/>
          <w:sz w:val="18"/>
          <w:szCs w:val="18"/>
        </w:rPr>
        <w:t xml:space="preserve"> The Company has issued no securities which would rank in priority to the Ordinary Shares for distributions in the event of a winding up of the Company (whether solvent or insolvent).</w:t>
      </w:r>
    </w:p>
    <w:p w:rsidRPr="009E77E6" w:rsidR="000215F0" w:rsidP="00565AD4" w:rsidRDefault="000215F0" w14:paraId="1128EC3B" w14:textId="243D975F">
      <w:pPr>
        <w:pStyle w:val="Heading2"/>
        <w:numPr>
          <w:ilvl w:val="1"/>
          <w:numId w:val="50"/>
        </w:numPr>
        <w:tabs>
          <w:tab w:val="clear" w:pos="1134"/>
          <w:tab w:val="num" w:pos="709"/>
        </w:tabs>
        <w:ind w:left="709" w:hanging="709"/>
        <w:rPr>
          <w:rFonts w:cs="Arial"/>
          <w:b/>
          <w:sz w:val="18"/>
          <w:szCs w:val="18"/>
        </w:rPr>
      </w:pPr>
      <w:r w:rsidRPr="009E77E6">
        <w:rPr>
          <w:rFonts w:cs="Arial"/>
          <w:b/>
          <w:sz w:val="18"/>
          <w:szCs w:val="18"/>
        </w:rPr>
        <w:t xml:space="preserve">Where will the securities be traded? </w:t>
      </w:r>
    </w:p>
    <w:p w:rsidRPr="009E77E6" w:rsidR="000215F0" w:rsidP="000215F0" w:rsidRDefault="000215F0" w14:paraId="69FB5166" w14:textId="59EB8B89">
      <w:pPr>
        <w:ind w:left="709"/>
        <w:rPr>
          <w:rFonts w:cs="Arial"/>
          <w:sz w:val="18"/>
          <w:szCs w:val="18"/>
        </w:rPr>
      </w:pPr>
      <w:r w:rsidRPr="009E77E6">
        <w:rPr>
          <w:rFonts w:cs="Arial"/>
          <w:sz w:val="18"/>
          <w:szCs w:val="18"/>
        </w:rPr>
        <w:t xml:space="preserve">Application </w:t>
      </w:r>
      <w:r w:rsidR="004177A2">
        <w:rPr>
          <w:rFonts w:cs="Arial"/>
          <w:sz w:val="18"/>
          <w:szCs w:val="18"/>
        </w:rPr>
        <w:t>has been</w:t>
      </w:r>
      <w:r w:rsidRPr="009E77E6">
        <w:rPr>
          <w:rFonts w:cs="Arial"/>
          <w:sz w:val="18"/>
          <w:szCs w:val="18"/>
        </w:rPr>
        <w:t xml:space="preserve"> made to the London Stock Exchange for all of the Ordinary Shares (issued and to be issued) to be admitted to trading on the Specialist Fund Segment of the Main Market. No application has been made or is currently intended to be made for the Ordinary Shares to be admitted to listing or trading on any other stock exchange.</w:t>
      </w:r>
    </w:p>
    <w:p w:rsidRPr="009E77E6" w:rsidR="000215F0" w:rsidP="00565AD4" w:rsidRDefault="000215F0" w14:paraId="696E9835" w14:textId="69E4EBF4">
      <w:pPr>
        <w:pStyle w:val="Heading2"/>
        <w:numPr>
          <w:ilvl w:val="1"/>
          <w:numId w:val="50"/>
        </w:numPr>
        <w:tabs>
          <w:tab w:val="clear" w:pos="1134"/>
          <w:tab w:val="num" w:pos="709"/>
        </w:tabs>
        <w:ind w:left="709" w:hanging="709"/>
        <w:rPr>
          <w:rFonts w:cs="Arial"/>
          <w:b/>
          <w:sz w:val="18"/>
          <w:szCs w:val="18"/>
        </w:rPr>
      </w:pPr>
      <w:r w:rsidRPr="009E77E6">
        <w:rPr>
          <w:rFonts w:cs="Arial"/>
          <w:b/>
          <w:sz w:val="18"/>
          <w:szCs w:val="18"/>
        </w:rPr>
        <w:t xml:space="preserve">What are the key risks specific to the securities? </w:t>
      </w:r>
    </w:p>
    <w:p w:rsidR="000215F0" w:rsidP="000215F0" w:rsidRDefault="000215F0" w14:paraId="52D22782" w14:textId="48AAD768">
      <w:pPr>
        <w:ind w:left="709"/>
        <w:rPr>
          <w:rFonts w:cs="Arial"/>
          <w:sz w:val="18"/>
          <w:szCs w:val="18"/>
        </w:rPr>
      </w:pPr>
      <w:r w:rsidRPr="009E77E6">
        <w:rPr>
          <w:rFonts w:cs="Arial"/>
          <w:sz w:val="18"/>
          <w:szCs w:val="18"/>
        </w:rPr>
        <w:t>The attention of investors is drawn to the risks associated with an investment in the Ordinary Shares which, in particular, include the following:</w:t>
      </w:r>
    </w:p>
    <w:p w:rsidR="0004276C" w:rsidP="00565AD4" w:rsidRDefault="0004276C" w14:paraId="6CBE0327" w14:textId="77777777">
      <w:pPr>
        <w:pStyle w:val="ListParagraph"/>
        <w:numPr>
          <w:ilvl w:val="0"/>
          <w:numId w:val="48"/>
        </w:numPr>
        <w:ind w:left="1134" w:hanging="425"/>
        <w:contextualSpacing/>
        <w:rPr>
          <w:b w:val="0"/>
          <w:sz w:val="18"/>
          <w:szCs w:val="18"/>
          <w:lang w:eastAsia="zh-CN"/>
        </w:rPr>
      </w:pPr>
      <w:r w:rsidRPr="00154A54">
        <w:rPr>
          <w:b w:val="0"/>
          <w:sz w:val="18"/>
          <w:szCs w:val="18"/>
          <w:lang w:eastAsia="zh-CN"/>
        </w:rPr>
        <w:t>The Ordinary Shares may trade at a discount to the relevant Net Asset Value per Ordinary Share.</w:t>
      </w:r>
    </w:p>
    <w:p w:rsidR="0004276C" w:rsidP="00565AD4" w:rsidRDefault="0004276C" w14:paraId="508BDCCA" w14:textId="77777777">
      <w:pPr>
        <w:pStyle w:val="ListParagraph"/>
        <w:numPr>
          <w:ilvl w:val="0"/>
          <w:numId w:val="48"/>
        </w:numPr>
        <w:ind w:left="1134" w:hanging="425"/>
        <w:contextualSpacing/>
        <w:rPr>
          <w:b w:val="0"/>
          <w:sz w:val="18"/>
          <w:szCs w:val="18"/>
          <w:lang w:eastAsia="zh-CN"/>
        </w:rPr>
      </w:pPr>
      <w:r w:rsidRPr="00154A54">
        <w:rPr>
          <w:b w:val="0"/>
          <w:sz w:val="18"/>
          <w:szCs w:val="18"/>
          <w:lang w:eastAsia="zh-CN"/>
        </w:rPr>
        <w:t>The price that can be realised for Ordinary Shares can be subject to market fluctuations.</w:t>
      </w:r>
    </w:p>
    <w:p w:rsidR="0004276C" w:rsidP="00565AD4" w:rsidRDefault="0004276C" w14:paraId="20A20155" w14:textId="77777777">
      <w:pPr>
        <w:pStyle w:val="ListParagraph"/>
        <w:numPr>
          <w:ilvl w:val="0"/>
          <w:numId w:val="48"/>
        </w:numPr>
        <w:ind w:left="1134" w:hanging="425"/>
        <w:contextualSpacing/>
        <w:rPr>
          <w:b w:val="0"/>
          <w:sz w:val="18"/>
          <w:szCs w:val="18"/>
          <w:lang w:eastAsia="zh-CN"/>
        </w:rPr>
      </w:pPr>
      <w:r w:rsidRPr="00154A54">
        <w:rPr>
          <w:b w:val="0"/>
          <w:sz w:val="18"/>
          <w:szCs w:val="18"/>
          <w:lang w:eastAsia="zh-CN"/>
        </w:rPr>
        <w:t>There may not be a liquid market in the Ordinary Shares</w:t>
      </w:r>
      <w:r>
        <w:rPr>
          <w:b w:val="0"/>
          <w:sz w:val="18"/>
          <w:szCs w:val="18"/>
          <w:lang w:eastAsia="zh-CN"/>
        </w:rPr>
        <w:t>.</w:t>
      </w:r>
    </w:p>
    <w:p w:rsidRPr="0004276C" w:rsidR="0004276C" w:rsidP="00565AD4" w:rsidRDefault="0004276C" w14:paraId="5D169A5B" w14:textId="49EEA8E8">
      <w:pPr>
        <w:pStyle w:val="ListParagraph"/>
        <w:numPr>
          <w:ilvl w:val="0"/>
          <w:numId w:val="48"/>
        </w:numPr>
        <w:ind w:left="1134" w:hanging="425"/>
        <w:contextualSpacing/>
        <w:rPr>
          <w:b w:val="0"/>
          <w:sz w:val="18"/>
          <w:szCs w:val="18"/>
          <w:lang w:eastAsia="zh-CN"/>
        </w:rPr>
      </w:pPr>
      <w:r w:rsidRPr="00154A54">
        <w:rPr>
          <w:b w:val="0"/>
          <w:sz w:val="18"/>
          <w:szCs w:val="18"/>
          <w:lang w:eastAsia="zh-CN"/>
        </w:rPr>
        <w:t>Securities quoted on the Specialist Fund Segment may experience higher volatility and carry greater risks than those listed on the Official List</w:t>
      </w:r>
      <w:r>
        <w:rPr>
          <w:b w:val="0"/>
          <w:sz w:val="18"/>
          <w:szCs w:val="18"/>
          <w:lang w:eastAsia="zh-CN"/>
        </w:rPr>
        <w:t>.</w:t>
      </w:r>
    </w:p>
    <w:p w:rsidRPr="009E77E6" w:rsidR="000215F0" w:rsidP="00565AD4" w:rsidRDefault="000215F0" w14:paraId="49B88087" w14:textId="0E3CE4AF">
      <w:pPr>
        <w:pStyle w:val="Heading1"/>
        <w:numPr>
          <w:ilvl w:val="0"/>
          <w:numId w:val="50"/>
        </w:numPr>
        <w:tabs>
          <w:tab w:val="clear" w:pos="1134"/>
          <w:tab w:val="num" w:pos="709"/>
        </w:tabs>
        <w:ind w:left="709" w:hanging="709"/>
        <w:rPr>
          <w:rFonts w:cs="Arial"/>
          <w:sz w:val="18"/>
          <w:szCs w:val="18"/>
        </w:rPr>
      </w:pPr>
      <w:bookmarkStart w:name="_Toc35954169" w:id="39"/>
      <w:bookmarkStart w:name="_Toc35957912" w:id="40"/>
      <w:bookmarkStart w:name="_Toc35961140" w:id="41"/>
      <w:bookmarkStart w:name="_Toc35964364" w:id="42"/>
      <w:bookmarkStart w:name="_Toc35967480" w:id="43"/>
      <w:bookmarkStart w:name="_Toc35970468" w:id="44"/>
      <w:bookmarkStart w:name="_Toc35973414" w:id="45"/>
      <w:bookmarkStart w:name="_Toc35975842" w:id="46"/>
      <w:bookmarkStart w:name="_Toc35978216" w:id="47"/>
      <w:r w:rsidRPr="009E77E6">
        <w:rPr>
          <w:rFonts w:cs="Arial"/>
          <w:sz w:val="18"/>
          <w:szCs w:val="18"/>
        </w:rPr>
        <w:t>KEY INFORMATION ON THE OFFER OF SECURITIES TO THE PUBLIC AND/OR THE ADMISSION TO TRADING ON A REGULATED MARKET</w:t>
      </w:r>
      <w:bookmarkEnd w:id="39"/>
      <w:bookmarkEnd w:id="40"/>
      <w:bookmarkEnd w:id="41"/>
      <w:bookmarkEnd w:id="42"/>
      <w:bookmarkEnd w:id="43"/>
      <w:bookmarkEnd w:id="44"/>
      <w:bookmarkEnd w:id="45"/>
      <w:bookmarkEnd w:id="46"/>
      <w:bookmarkEnd w:id="47"/>
      <w:r w:rsidRPr="009E77E6">
        <w:rPr>
          <w:rFonts w:cs="Arial"/>
          <w:sz w:val="18"/>
          <w:szCs w:val="18"/>
        </w:rPr>
        <w:t xml:space="preserve"> </w:t>
      </w:r>
    </w:p>
    <w:p w:rsidRPr="009E77E6" w:rsidR="000215F0" w:rsidP="00565AD4" w:rsidRDefault="000215F0" w14:paraId="4627945C" w14:textId="77777777">
      <w:pPr>
        <w:pStyle w:val="Heading2"/>
        <w:numPr>
          <w:ilvl w:val="1"/>
          <w:numId w:val="50"/>
        </w:numPr>
        <w:tabs>
          <w:tab w:val="clear" w:pos="1134"/>
          <w:tab w:val="num" w:pos="709"/>
        </w:tabs>
        <w:ind w:left="709" w:hanging="709"/>
        <w:rPr>
          <w:rFonts w:cs="Arial"/>
          <w:b/>
          <w:i/>
          <w:sz w:val="18"/>
          <w:szCs w:val="18"/>
        </w:rPr>
      </w:pPr>
      <w:r w:rsidRPr="009E77E6">
        <w:rPr>
          <w:rFonts w:cs="Arial"/>
          <w:b/>
          <w:sz w:val="18"/>
          <w:szCs w:val="18"/>
        </w:rPr>
        <w:t xml:space="preserve">Under which conditions and timetable can I invest in this security? </w:t>
      </w:r>
    </w:p>
    <w:p w:rsidR="000215F0" w:rsidP="000215F0" w:rsidRDefault="000215F0" w14:paraId="777354AD" w14:textId="2A009910">
      <w:pPr>
        <w:ind w:left="709"/>
        <w:rPr>
          <w:rFonts w:cs="Arial"/>
          <w:sz w:val="18"/>
          <w:szCs w:val="18"/>
        </w:rPr>
      </w:pPr>
      <w:r w:rsidRPr="009E77E6">
        <w:rPr>
          <w:rFonts w:cs="Arial"/>
          <w:sz w:val="18"/>
          <w:szCs w:val="18"/>
        </w:rPr>
        <w:t xml:space="preserve">The Company </w:t>
      </w:r>
      <w:r w:rsidR="004177A2">
        <w:rPr>
          <w:rFonts w:cs="Arial"/>
          <w:sz w:val="18"/>
          <w:szCs w:val="18"/>
        </w:rPr>
        <w:t xml:space="preserve">will issue </w:t>
      </w:r>
      <w:r w:rsidR="00893EA6">
        <w:rPr>
          <w:rFonts w:cs="Arial"/>
          <w:sz w:val="18"/>
          <w:szCs w:val="18"/>
        </w:rPr>
        <w:t>54</w:t>
      </w:r>
      <w:r w:rsidRPr="009E77E6">
        <w:rPr>
          <w:rFonts w:cs="Arial"/>
          <w:sz w:val="18"/>
          <w:szCs w:val="18"/>
        </w:rPr>
        <w:t xml:space="preserve"> million Ordinary Shares pursuant to the </w:t>
      </w:r>
      <w:r w:rsidR="00B97B41">
        <w:rPr>
          <w:rFonts w:cs="Arial"/>
          <w:sz w:val="18"/>
          <w:szCs w:val="18"/>
        </w:rPr>
        <w:t xml:space="preserve">Initial </w:t>
      </w:r>
      <w:r w:rsidR="00050FE5">
        <w:rPr>
          <w:rFonts w:cs="Arial"/>
          <w:sz w:val="18"/>
          <w:szCs w:val="18"/>
        </w:rPr>
        <w:t>Placing</w:t>
      </w:r>
      <w:r w:rsidR="00296CEA">
        <w:rPr>
          <w:rFonts w:cs="Arial"/>
          <w:sz w:val="18"/>
          <w:szCs w:val="18"/>
        </w:rPr>
        <w:t xml:space="preserve"> (which number includes the single Ordinary Share issued on the Company's incorporation)</w:t>
      </w:r>
      <w:r w:rsidRPr="009E77E6">
        <w:rPr>
          <w:rFonts w:cs="Arial"/>
          <w:sz w:val="18"/>
          <w:szCs w:val="18"/>
        </w:rPr>
        <w:t xml:space="preserve">. Ordinary Shares will be issued pursuant to the </w:t>
      </w:r>
      <w:r w:rsidR="00B97B41">
        <w:rPr>
          <w:rFonts w:cs="Arial"/>
          <w:sz w:val="18"/>
          <w:szCs w:val="18"/>
        </w:rPr>
        <w:t xml:space="preserve">Initial </w:t>
      </w:r>
      <w:r w:rsidR="00050FE5">
        <w:rPr>
          <w:rFonts w:cs="Arial"/>
          <w:sz w:val="18"/>
          <w:szCs w:val="18"/>
        </w:rPr>
        <w:t>Placing</w:t>
      </w:r>
      <w:r w:rsidRPr="009E77E6">
        <w:rPr>
          <w:rFonts w:cs="Arial"/>
          <w:sz w:val="18"/>
          <w:szCs w:val="18"/>
        </w:rPr>
        <w:t xml:space="preserve"> at an Issue Price of 100 pence per Ordinary Share. </w:t>
      </w:r>
    </w:p>
    <w:p w:rsidRPr="009E77E6" w:rsidR="000215F0" w:rsidP="000215F0" w:rsidRDefault="000215F0" w14:paraId="587382BE" w14:textId="584DAD1D">
      <w:pPr>
        <w:ind w:left="709"/>
        <w:rPr>
          <w:rFonts w:cs="Arial"/>
          <w:sz w:val="18"/>
          <w:szCs w:val="18"/>
        </w:rPr>
      </w:pPr>
      <w:r w:rsidRPr="009E77E6">
        <w:rPr>
          <w:rFonts w:cs="Arial"/>
          <w:sz w:val="18"/>
          <w:szCs w:val="18"/>
        </w:rPr>
        <w:lastRenderedPageBreak/>
        <w:t xml:space="preserve">The Directors may issue up to a further </w:t>
      </w:r>
      <w:r w:rsidR="00050FE5">
        <w:rPr>
          <w:rFonts w:cs="Arial"/>
          <w:sz w:val="18"/>
          <w:szCs w:val="18"/>
        </w:rPr>
        <w:t>150</w:t>
      </w:r>
      <w:r w:rsidRPr="009E77E6">
        <w:rPr>
          <w:rFonts w:cs="Arial"/>
          <w:sz w:val="18"/>
          <w:szCs w:val="18"/>
        </w:rPr>
        <w:t xml:space="preserve"> million Ordinary Shares pursuant to the Placing Programme without having to first offer those Ordinary Shares to existing Shareholders. The issue of Ordinary Shares is at the discretion of the Directors. </w:t>
      </w:r>
    </w:p>
    <w:p w:rsidR="000215F0" w:rsidP="000215F0" w:rsidRDefault="000215F0" w14:paraId="626BA55D" w14:textId="72E97747">
      <w:pPr>
        <w:ind w:left="709"/>
        <w:rPr>
          <w:rFonts w:cs="Arial"/>
          <w:sz w:val="18"/>
          <w:szCs w:val="18"/>
        </w:rPr>
      </w:pPr>
      <w:r w:rsidRPr="009E77E6">
        <w:rPr>
          <w:rFonts w:cs="Arial"/>
          <w:sz w:val="18"/>
          <w:szCs w:val="18"/>
        </w:rPr>
        <w:t xml:space="preserve">Following the </w:t>
      </w:r>
      <w:r w:rsidR="00B97B41">
        <w:rPr>
          <w:rFonts w:cs="Arial"/>
          <w:sz w:val="18"/>
          <w:szCs w:val="18"/>
        </w:rPr>
        <w:t xml:space="preserve">Initial </w:t>
      </w:r>
      <w:r w:rsidR="00050FE5">
        <w:rPr>
          <w:rFonts w:cs="Arial"/>
          <w:sz w:val="18"/>
          <w:szCs w:val="18"/>
        </w:rPr>
        <w:t>Placing</w:t>
      </w:r>
      <w:r w:rsidRPr="009E77E6">
        <w:rPr>
          <w:rFonts w:cs="Arial"/>
          <w:sz w:val="18"/>
          <w:szCs w:val="18"/>
        </w:rPr>
        <w:t xml:space="preserve">, the Placing Programme may be implemented by Subsequent Placings pursuant to the Placing Programme. </w:t>
      </w:r>
    </w:p>
    <w:p w:rsidRPr="009E77E6" w:rsidR="000215F0" w:rsidP="000215F0" w:rsidRDefault="000215F0" w14:paraId="56B3C1AB" w14:textId="6D203277">
      <w:pPr>
        <w:ind w:left="709"/>
        <w:rPr>
          <w:rFonts w:cs="Arial"/>
          <w:sz w:val="18"/>
          <w:szCs w:val="18"/>
        </w:rPr>
      </w:pPr>
      <w:r w:rsidRPr="009E77E6">
        <w:rPr>
          <w:rFonts w:cs="Arial"/>
          <w:sz w:val="18"/>
          <w:szCs w:val="18"/>
        </w:rPr>
        <w:t xml:space="preserve">The Placing Programme is flexible and may have a number of closing dates in order to provide the Company with the ability to issue Ordinary Shares over a period of time. The Placing Programme will open on </w:t>
      </w:r>
      <w:r w:rsidR="004177A2">
        <w:rPr>
          <w:rFonts w:cs="Arial"/>
          <w:sz w:val="18"/>
          <w:szCs w:val="18"/>
        </w:rPr>
        <w:t>2</w:t>
      </w:r>
      <w:r w:rsidR="007D3786">
        <w:rPr>
          <w:rFonts w:cs="Arial"/>
          <w:sz w:val="18"/>
          <w:szCs w:val="18"/>
        </w:rPr>
        <w:t>6</w:t>
      </w:r>
      <w:r w:rsidRPr="009E77E6">
        <w:rPr>
          <w:rFonts w:cs="Arial"/>
          <w:sz w:val="18"/>
          <w:szCs w:val="18"/>
        </w:rPr>
        <w:t xml:space="preserve"> </w:t>
      </w:r>
      <w:r w:rsidR="004F0EF4">
        <w:rPr>
          <w:rFonts w:cs="Arial"/>
          <w:sz w:val="18"/>
          <w:szCs w:val="18"/>
        </w:rPr>
        <w:t xml:space="preserve">February </w:t>
      </w:r>
      <w:r w:rsidRPr="009E77E6">
        <w:rPr>
          <w:rFonts w:cs="Arial"/>
          <w:sz w:val="18"/>
          <w:szCs w:val="18"/>
        </w:rPr>
        <w:t>202</w:t>
      </w:r>
      <w:r w:rsidR="00050FE5">
        <w:rPr>
          <w:rFonts w:cs="Arial"/>
          <w:sz w:val="18"/>
          <w:szCs w:val="18"/>
        </w:rPr>
        <w:t>5</w:t>
      </w:r>
      <w:r w:rsidRPr="009E77E6">
        <w:rPr>
          <w:rFonts w:cs="Arial"/>
          <w:sz w:val="18"/>
          <w:szCs w:val="18"/>
        </w:rPr>
        <w:t xml:space="preserve"> and will close on </w:t>
      </w:r>
      <w:r w:rsidR="004177A2">
        <w:rPr>
          <w:rFonts w:cs="Arial"/>
          <w:sz w:val="18"/>
          <w:szCs w:val="18"/>
        </w:rPr>
        <w:t>1</w:t>
      </w:r>
      <w:r w:rsidR="007D3786">
        <w:rPr>
          <w:rFonts w:cs="Arial"/>
          <w:sz w:val="18"/>
          <w:szCs w:val="18"/>
        </w:rPr>
        <w:t>9</w:t>
      </w:r>
      <w:r w:rsidR="004F0EF4">
        <w:rPr>
          <w:rFonts w:cs="Arial"/>
          <w:sz w:val="18"/>
          <w:szCs w:val="18"/>
        </w:rPr>
        <w:t xml:space="preserve"> February</w:t>
      </w:r>
      <w:r w:rsidRPr="009E77E6">
        <w:rPr>
          <w:rFonts w:cs="Arial"/>
          <w:sz w:val="18"/>
          <w:szCs w:val="18"/>
        </w:rPr>
        <w:t xml:space="preserve"> 202</w:t>
      </w:r>
      <w:r w:rsidR="00050FE5">
        <w:rPr>
          <w:rFonts w:cs="Arial"/>
          <w:sz w:val="18"/>
          <w:szCs w:val="18"/>
        </w:rPr>
        <w:t>6</w:t>
      </w:r>
      <w:r w:rsidRPr="009E77E6">
        <w:rPr>
          <w:rFonts w:cs="Arial"/>
          <w:sz w:val="18"/>
          <w:szCs w:val="18"/>
        </w:rPr>
        <w:t xml:space="preserve"> (or an earlier date on which it is fully subscribed, or otherwise at the discretion of the Directors). </w:t>
      </w:r>
    </w:p>
    <w:p w:rsidRPr="009E77E6" w:rsidR="000215F0" w:rsidP="000215F0" w:rsidRDefault="000215F0" w14:paraId="491991A4" w14:textId="4C497570">
      <w:pPr>
        <w:ind w:left="709"/>
        <w:rPr>
          <w:rFonts w:cs="Arial"/>
          <w:sz w:val="18"/>
          <w:szCs w:val="18"/>
        </w:rPr>
      </w:pPr>
      <w:r w:rsidRPr="009E77E6">
        <w:rPr>
          <w:rFonts w:cs="Arial"/>
          <w:sz w:val="18"/>
          <w:szCs w:val="18"/>
        </w:rPr>
        <w:t>Application</w:t>
      </w:r>
      <w:r w:rsidR="00DF5FE0">
        <w:rPr>
          <w:rFonts w:cs="Arial"/>
          <w:sz w:val="18"/>
          <w:szCs w:val="18"/>
        </w:rPr>
        <w:t>s</w:t>
      </w:r>
      <w:r w:rsidRPr="009E77E6">
        <w:rPr>
          <w:rFonts w:cs="Arial"/>
          <w:sz w:val="18"/>
          <w:szCs w:val="18"/>
        </w:rPr>
        <w:t xml:space="preserve"> </w:t>
      </w:r>
      <w:r w:rsidR="00DF5FE0">
        <w:rPr>
          <w:rFonts w:cs="Arial"/>
          <w:sz w:val="18"/>
          <w:szCs w:val="18"/>
        </w:rPr>
        <w:t xml:space="preserve">have been (or, in respect of the Placing Programme, will be) </w:t>
      </w:r>
      <w:r w:rsidRPr="009E77E6">
        <w:rPr>
          <w:rFonts w:cs="Arial"/>
          <w:sz w:val="18"/>
          <w:szCs w:val="18"/>
        </w:rPr>
        <w:t xml:space="preserve">made for the Ordinary Shares to be issued pursuant to the </w:t>
      </w:r>
      <w:r w:rsidR="00B97B41">
        <w:rPr>
          <w:rFonts w:cs="Arial"/>
          <w:sz w:val="18"/>
          <w:szCs w:val="18"/>
        </w:rPr>
        <w:t xml:space="preserve">Initial </w:t>
      </w:r>
      <w:r w:rsidR="00050FE5">
        <w:rPr>
          <w:rFonts w:cs="Arial"/>
          <w:sz w:val="18"/>
          <w:szCs w:val="18"/>
        </w:rPr>
        <w:t>Placing</w:t>
      </w:r>
      <w:r w:rsidRPr="009E77E6">
        <w:rPr>
          <w:rFonts w:cs="Arial"/>
          <w:sz w:val="18"/>
          <w:szCs w:val="18"/>
        </w:rPr>
        <w:t xml:space="preserve"> and the Placing Programme to be admitted to trading on the Specialist Fund Segment of the Main Market. </w:t>
      </w:r>
    </w:p>
    <w:p w:rsidRPr="009E77E6" w:rsidR="000215F0" w:rsidP="000215F0" w:rsidRDefault="000215F0" w14:paraId="74F51638" w14:textId="1BF20233">
      <w:pPr>
        <w:ind w:left="709"/>
        <w:rPr>
          <w:rStyle w:val="Level3asHeadingtext"/>
          <w:rFonts w:cs="Arial"/>
          <w:b w:val="0"/>
          <w:sz w:val="18"/>
          <w:szCs w:val="18"/>
        </w:rPr>
      </w:pPr>
      <w:bookmarkStart w:name="_Hlk188875355" w:id="48"/>
      <w:bookmarkStart w:name="_Hlk188875365" w:id="49"/>
      <w:bookmarkStart w:name="_Hlk155270482" w:id="50"/>
      <w:r w:rsidRPr="009E77E6">
        <w:rPr>
          <w:sz w:val="18"/>
          <w:szCs w:val="18"/>
        </w:rPr>
        <w:t xml:space="preserve">The costs and expenses of, and incidental to, the formation of the Company and the </w:t>
      </w:r>
      <w:r w:rsidR="00B97B41">
        <w:rPr>
          <w:sz w:val="18"/>
          <w:szCs w:val="18"/>
        </w:rPr>
        <w:t xml:space="preserve">Initial </w:t>
      </w:r>
      <w:r w:rsidR="00050FE5">
        <w:rPr>
          <w:sz w:val="18"/>
          <w:szCs w:val="18"/>
        </w:rPr>
        <w:t>Placing</w:t>
      </w:r>
      <w:r w:rsidRPr="009E77E6">
        <w:rPr>
          <w:sz w:val="18"/>
          <w:szCs w:val="18"/>
        </w:rPr>
        <w:t xml:space="preserve"> </w:t>
      </w:r>
      <w:r w:rsidR="00DF5FE0">
        <w:rPr>
          <w:sz w:val="18"/>
          <w:szCs w:val="18"/>
        </w:rPr>
        <w:t>will</w:t>
      </w:r>
      <w:r w:rsidRPr="009E77E6">
        <w:rPr>
          <w:sz w:val="18"/>
          <w:szCs w:val="18"/>
        </w:rPr>
        <w:t xml:space="preserve"> be approximately </w:t>
      </w:r>
      <w:r w:rsidR="000B29B5">
        <w:rPr>
          <w:sz w:val="18"/>
          <w:szCs w:val="18"/>
        </w:rPr>
        <w:t>£</w:t>
      </w:r>
      <w:r w:rsidR="00FE6B98">
        <w:rPr>
          <w:sz w:val="18"/>
          <w:szCs w:val="18"/>
        </w:rPr>
        <w:t>0.</w:t>
      </w:r>
      <w:r w:rsidR="00DF5FE0">
        <w:rPr>
          <w:sz w:val="18"/>
          <w:szCs w:val="18"/>
        </w:rPr>
        <w:t>8</w:t>
      </w:r>
      <w:r w:rsidRPr="009E77E6">
        <w:rPr>
          <w:sz w:val="18"/>
          <w:szCs w:val="18"/>
        </w:rPr>
        <w:t xml:space="preserve"> millio</w:t>
      </w:r>
      <w:r w:rsidR="00FF6A04">
        <w:rPr>
          <w:sz w:val="18"/>
          <w:szCs w:val="18"/>
        </w:rPr>
        <w:t>n</w:t>
      </w:r>
      <w:bookmarkEnd w:id="48"/>
      <w:r w:rsidR="00FF6A04">
        <w:rPr>
          <w:sz w:val="18"/>
          <w:szCs w:val="18"/>
        </w:rPr>
        <w:t xml:space="preserve">, equivalent to approximately </w:t>
      </w:r>
      <w:r w:rsidR="00DF5FE0">
        <w:rPr>
          <w:sz w:val="18"/>
          <w:szCs w:val="18"/>
        </w:rPr>
        <w:t>1.5</w:t>
      </w:r>
      <w:r w:rsidR="000B29B5">
        <w:rPr>
          <w:sz w:val="18"/>
          <w:szCs w:val="18"/>
        </w:rPr>
        <w:t xml:space="preserve"> per cent. of the Initial Gross </w:t>
      </w:r>
      <w:r w:rsidRPr="009E77E6">
        <w:rPr>
          <w:sz w:val="18"/>
          <w:szCs w:val="18"/>
        </w:rPr>
        <w:t>Proceeds</w:t>
      </w:r>
      <w:r w:rsidR="00DF5FE0">
        <w:rPr>
          <w:sz w:val="18"/>
          <w:szCs w:val="18"/>
        </w:rPr>
        <w:t xml:space="preserve"> of </w:t>
      </w:r>
      <w:r w:rsidRPr="009E77E6">
        <w:rPr>
          <w:sz w:val="18"/>
          <w:szCs w:val="18"/>
        </w:rPr>
        <w:t>£</w:t>
      </w:r>
      <w:r w:rsidR="00893EA6">
        <w:rPr>
          <w:rFonts w:cs="Arial"/>
          <w:sz w:val="18"/>
          <w:szCs w:val="18"/>
        </w:rPr>
        <w:t>54</w:t>
      </w:r>
      <w:r w:rsidRPr="009E77E6">
        <w:rPr>
          <w:sz w:val="18"/>
          <w:szCs w:val="18"/>
        </w:rPr>
        <w:t xml:space="preserve"> million</w:t>
      </w:r>
      <w:bookmarkEnd w:id="49"/>
      <w:r w:rsidRPr="009E77E6">
        <w:rPr>
          <w:sz w:val="18"/>
          <w:szCs w:val="18"/>
        </w:rPr>
        <w:t xml:space="preserve">. The Company will not charge investors any separate costs or expenses in connection with the </w:t>
      </w:r>
      <w:r w:rsidR="00B97B41">
        <w:rPr>
          <w:sz w:val="18"/>
          <w:szCs w:val="18"/>
        </w:rPr>
        <w:t xml:space="preserve">Initial </w:t>
      </w:r>
      <w:r w:rsidR="00050FE5">
        <w:rPr>
          <w:sz w:val="18"/>
          <w:szCs w:val="18"/>
        </w:rPr>
        <w:t>Placing</w:t>
      </w:r>
      <w:r w:rsidRPr="009E77E6">
        <w:rPr>
          <w:sz w:val="18"/>
          <w:szCs w:val="18"/>
        </w:rPr>
        <w:t xml:space="preserve">. It is expected that the starting Net Asset Value per Ordinary Share will be </w:t>
      </w:r>
      <w:r w:rsidR="00F42742">
        <w:rPr>
          <w:sz w:val="18"/>
          <w:szCs w:val="18"/>
        </w:rPr>
        <w:t xml:space="preserve">approximately </w:t>
      </w:r>
      <w:r w:rsidRPr="007E14AC" w:rsidR="00F42742">
        <w:rPr>
          <w:sz w:val="18"/>
          <w:szCs w:val="18"/>
        </w:rPr>
        <w:t>9</w:t>
      </w:r>
      <w:r w:rsidRPr="007E14AC" w:rsidR="00050FE5">
        <w:rPr>
          <w:sz w:val="18"/>
          <w:szCs w:val="18"/>
        </w:rPr>
        <w:t>8.5</w:t>
      </w:r>
      <w:r w:rsidRPr="009E77E6">
        <w:rPr>
          <w:rFonts w:cs="Arial"/>
          <w:sz w:val="18"/>
          <w:szCs w:val="18"/>
        </w:rPr>
        <w:t xml:space="preserve"> pence</w:t>
      </w:r>
      <w:r w:rsidRPr="009E77E6">
        <w:rPr>
          <w:sz w:val="18"/>
          <w:szCs w:val="18"/>
        </w:rPr>
        <w:t xml:space="preserve">. </w:t>
      </w:r>
    </w:p>
    <w:bookmarkEnd w:id="50"/>
    <w:p w:rsidRPr="009E77E6" w:rsidR="000215F0" w:rsidP="000215F0" w:rsidRDefault="000215F0" w14:paraId="796253C8" w14:textId="1BC66D0D">
      <w:pPr>
        <w:ind w:left="709"/>
        <w:rPr>
          <w:sz w:val="18"/>
          <w:szCs w:val="18"/>
        </w:rPr>
      </w:pPr>
      <w:r w:rsidRPr="009E77E6">
        <w:rPr>
          <w:sz w:val="18"/>
          <w:szCs w:val="18"/>
        </w:rPr>
        <w:t xml:space="preserve">The costs and expenses of each Subsequent Placing pursuant to the Placing Programme will depend on </w:t>
      </w:r>
      <w:r w:rsidRPr="009E77E6">
        <w:rPr>
          <w:rFonts w:cs="Arial"/>
          <w:sz w:val="18"/>
          <w:szCs w:val="18"/>
        </w:rPr>
        <w:t>subscriptions</w:t>
      </w:r>
      <w:r w:rsidRPr="009E77E6">
        <w:rPr>
          <w:sz w:val="18"/>
          <w:szCs w:val="18"/>
        </w:rPr>
        <w:t xml:space="preserve"> received. The costs of any issue of Ordinary Shares will be covered by issuing such Ordinary Shares at a premium to the prevailing </w:t>
      </w:r>
      <w:r w:rsidR="003B01E0">
        <w:rPr>
          <w:sz w:val="18"/>
          <w:szCs w:val="18"/>
        </w:rPr>
        <w:t>published</w:t>
      </w:r>
      <w:r w:rsidRPr="009E77E6">
        <w:rPr>
          <w:sz w:val="18"/>
          <w:szCs w:val="18"/>
        </w:rPr>
        <w:t xml:space="preserve"> Net Asset Value per Ordinary Share </w:t>
      </w:r>
      <w:r w:rsidR="003B01E0">
        <w:rPr>
          <w:sz w:val="18"/>
          <w:szCs w:val="18"/>
        </w:rPr>
        <w:t xml:space="preserve">(audited or unaudited) </w:t>
      </w:r>
      <w:r w:rsidRPr="009E77E6">
        <w:rPr>
          <w:sz w:val="18"/>
          <w:szCs w:val="18"/>
        </w:rPr>
        <w:t>at the time of the Subsequent Placing</w:t>
      </w:r>
      <w:r w:rsidR="003B01E0">
        <w:rPr>
          <w:sz w:val="18"/>
          <w:szCs w:val="18"/>
        </w:rPr>
        <w:t>.</w:t>
      </w:r>
    </w:p>
    <w:p w:rsidRPr="009E77E6" w:rsidR="000215F0" w:rsidP="000215F0" w:rsidRDefault="000215F0" w14:paraId="4C352028" w14:textId="543D823E">
      <w:pPr>
        <w:ind w:left="709"/>
        <w:rPr>
          <w:rStyle w:val="Level3asHeadingtext"/>
          <w:b w:val="0"/>
          <w:sz w:val="18"/>
          <w:szCs w:val="18"/>
        </w:rPr>
      </w:pPr>
      <w:r w:rsidRPr="009E77E6">
        <w:rPr>
          <w:sz w:val="18"/>
          <w:szCs w:val="18"/>
        </w:rPr>
        <w:t xml:space="preserve">No </w:t>
      </w:r>
      <w:r w:rsidRPr="009E77E6">
        <w:rPr>
          <w:rFonts w:cs="Arial"/>
          <w:sz w:val="18"/>
          <w:szCs w:val="18"/>
        </w:rPr>
        <w:t>dilution</w:t>
      </w:r>
      <w:r w:rsidRPr="009E77E6">
        <w:rPr>
          <w:rStyle w:val="Level3asHeadingtext"/>
          <w:rFonts w:cs="Arial"/>
          <w:b w:val="0"/>
          <w:sz w:val="18"/>
          <w:szCs w:val="18"/>
        </w:rPr>
        <w:t xml:space="preserve"> will result from the </w:t>
      </w:r>
      <w:r w:rsidR="00B97B41">
        <w:rPr>
          <w:rStyle w:val="Level3asHeadingtext"/>
          <w:rFonts w:cs="Arial"/>
          <w:b w:val="0"/>
          <w:sz w:val="18"/>
          <w:szCs w:val="18"/>
        </w:rPr>
        <w:t xml:space="preserve">Initial </w:t>
      </w:r>
      <w:r w:rsidR="00050FE5">
        <w:rPr>
          <w:rStyle w:val="Level3asHeadingtext"/>
          <w:rFonts w:cs="Arial"/>
          <w:b w:val="0"/>
          <w:sz w:val="18"/>
          <w:szCs w:val="18"/>
        </w:rPr>
        <w:t>Placing</w:t>
      </w:r>
      <w:r w:rsidRPr="009E77E6">
        <w:rPr>
          <w:rStyle w:val="Level3asHeadingtext"/>
          <w:rFonts w:cs="Arial"/>
          <w:b w:val="0"/>
          <w:sz w:val="18"/>
          <w:szCs w:val="18"/>
        </w:rPr>
        <w:t xml:space="preserve">. If an existing Shareholder does not subscribe for Ordinary Shares issued in Subsequent Placings under the Placing Programme, such Shareholder's proportionate ownership and voting rights in the Company will be reduced. </w:t>
      </w:r>
    </w:p>
    <w:p w:rsidRPr="009E77E6" w:rsidR="000215F0" w:rsidP="000215F0" w:rsidRDefault="000215F0" w14:paraId="2D1F8C27" w14:textId="2FE72B72">
      <w:pPr>
        <w:ind w:left="709"/>
        <w:rPr>
          <w:rFonts w:cs="Arial"/>
          <w:sz w:val="18"/>
          <w:szCs w:val="18"/>
        </w:rPr>
      </w:pPr>
      <w:r w:rsidRPr="009E77E6">
        <w:rPr>
          <w:rFonts w:cs="Arial"/>
          <w:sz w:val="18"/>
          <w:szCs w:val="18"/>
        </w:rPr>
        <w:t xml:space="preserve">The </w:t>
      </w:r>
      <w:r w:rsidR="00B97B41">
        <w:rPr>
          <w:rFonts w:cs="Arial"/>
          <w:sz w:val="18"/>
          <w:szCs w:val="18"/>
        </w:rPr>
        <w:t xml:space="preserve">Initial </w:t>
      </w:r>
      <w:r w:rsidR="00050FE5">
        <w:rPr>
          <w:rFonts w:cs="Arial"/>
          <w:sz w:val="18"/>
          <w:szCs w:val="18"/>
        </w:rPr>
        <w:t>Placing</w:t>
      </w:r>
      <w:r w:rsidRPr="009E77E6">
        <w:rPr>
          <w:rFonts w:cs="Arial"/>
          <w:sz w:val="18"/>
          <w:szCs w:val="18"/>
        </w:rPr>
        <w:t xml:space="preserve"> is conditional, </w:t>
      </w:r>
      <w:r w:rsidRPr="009E77E6">
        <w:rPr>
          <w:rFonts w:cs="Arial"/>
          <w:i/>
          <w:sz w:val="18"/>
          <w:szCs w:val="18"/>
        </w:rPr>
        <w:t>inter alia</w:t>
      </w:r>
      <w:r w:rsidRPr="009E77E6">
        <w:rPr>
          <w:rFonts w:cs="Arial"/>
          <w:sz w:val="18"/>
          <w:szCs w:val="18"/>
        </w:rPr>
        <w:t>, on: (</w:t>
      </w:r>
      <w:proofErr w:type="spellStart"/>
      <w:r w:rsidRPr="009E77E6">
        <w:rPr>
          <w:rFonts w:cs="Arial"/>
          <w:sz w:val="18"/>
          <w:szCs w:val="18"/>
        </w:rPr>
        <w:t>i</w:t>
      </w:r>
      <w:proofErr w:type="spellEnd"/>
      <w:r w:rsidRPr="009E77E6">
        <w:rPr>
          <w:rFonts w:cs="Arial"/>
          <w:sz w:val="18"/>
          <w:szCs w:val="18"/>
        </w:rPr>
        <w:t xml:space="preserve">) Initial Admission having become effective on or before 8.00 a.m. on </w:t>
      </w:r>
      <w:r w:rsidR="0055680D">
        <w:rPr>
          <w:rFonts w:cs="Arial"/>
          <w:sz w:val="18"/>
          <w:szCs w:val="18"/>
        </w:rPr>
        <w:t>2</w:t>
      </w:r>
      <w:r w:rsidR="007D3786">
        <w:rPr>
          <w:rFonts w:cs="Arial"/>
          <w:sz w:val="18"/>
          <w:szCs w:val="18"/>
        </w:rPr>
        <w:t>5</w:t>
      </w:r>
      <w:r w:rsidRPr="009E77E6">
        <w:rPr>
          <w:rFonts w:cs="Arial"/>
          <w:sz w:val="18"/>
          <w:szCs w:val="18"/>
        </w:rPr>
        <w:t xml:space="preserve"> </w:t>
      </w:r>
      <w:r w:rsidR="004F0EF4">
        <w:rPr>
          <w:rFonts w:cs="Arial"/>
          <w:sz w:val="18"/>
          <w:szCs w:val="18"/>
        </w:rPr>
        <w:t xml:space="preserve">February </w:t>
      </w:r>
      <w:r w:rsidRPr="009E77E6">
        <w:rPr>
          <w:rFonts w:cs="Arial"/>
          <w:sz w:val="18"/>
          <w:szCs w:val="18"/>
        </w:rPr>
        <w:t>202</w:t>
      </w:r>
      <w:r w:rsidR="00050FE5">
        <w:rPr>
          <w:rFonts w:cs="Arial"/>
          <w:sz w:val="18"/>
          <w:szCs w:val="18"/>
        </w:rPr>
        <w:t>5</w:t>
      </w:r>
      <w:r w:rsidRPr="009E77E6">
        <w:rPr>
          <w:rFonts w:cs="Arial"/>
          <w:sz w:val="18"/>
          <w:szCs w:val="18"/>
        </w:rPr>
        <w:t xml:space="preserve"> or such later time and/or date as the Company, the Investment Manager and Singer Capital Markets may agree (being not later than 8.00 a.m. on </w:t>
      </w:r>
      <w:r w:rsidR="00DF5FE0">
        <w:rPr>
          <w:rFonts w:cs="Arial"/>
          <w:sz w:val="18"/>
          <w:szCs w:val="18"/>
        </w:rPr>
        <w:t xml:space="preserve">31 March </w:t>
      </w:r>
      <w:r w:rsidRPr="009E77E6">
        <w:rPr>
          <w:rFonts w:cs="Arial"/>
          <w:sz w:val="18"/>
          <w:szCs w:val="18"/>
        </w:rPr>
        <w:t>202</w:t>
      </w:r>
      <w:r w:rsidR="00050FE5">
        <w:rPr>
          <w:rFonts w:cs="Arial"/>
          <w:sz w:val="18"/>
          <w:szCs w:val="18"/>
        </w:rPr>
        <w:t>5</w:t>
      </w:r>
      <w:r w:rsidRPr="009E77E6">
        <w:rPr>
          <w:rFonts w:cs="Arial"/>
          <w:sz w:val="18"/>
          <w:szCs w:val="18"/>
        </w:rPr>
        <w:t xml:space="preserve">); and (ii) the </w:t>
      </w:r>
      <w:r w:rsidR="00020807">
        <w:rPr>
          <w:rFonts w:cs="Arial"/>
          <w:sz w:val="18"/>
          <w:szCs w:val="18"/>
        </w:rPr>
        <w:t>Placing Agreement</w:t>
      </w:r>
      <w:r w:rsidRPr="009E77E6">
        <w:rPr>
          <w:rFonts w:cs="Arial"/>
          <w:sz w:val="18"/>
          <w:szCs w:val="18"/>
        </w:rPr>
        <w:t xml:space="preserve"> becoming wholly unconditional in respect of the </w:t>
      </w:r>
      <w:r w:rsidR="00B97B41">
        <w:rPr>
          <w:rFonts w:cs="Arial"/>
          <w:sz w:val="18"/>
          <w:szCs w:val="18"/>
        </w:rPr>
        <w:t xml:space="preserve">Initial </w:t>
      </w:r>
      <w:r w:rsidR="00050FE5">
        <w:rPr>
          <w:rFonts w:cs="Arial"/>
          <w:sz w:val="18"/>
          <w:szCs w:val="18"/>
        </w:rPr>
        <w:t>Placing</w:t>
      </w:r>
      <w:r w:rsidRPr="009E77E6">
        <w:rPr>
          <w:rFonts w:cs="Arial"/>
          <w:sz w:val="18"/>
          <w:szCs w:val="18"/>
        </w:rPr>
        <w:t xml:space="preserve"> (save as to Initial Admission) and not having been terminated in accordance with its terms at any time prior to Initial Admission; and (iii) </w:t>
      </w:r>
      <w:bookmarkStart w:name="_Hlk190172159" w:id="51"/>
      <w:r w:rsidRPr="009E77E6">
        <w:rPr>
          <w:rFonts w:cs="Arial"/>
          <w:sz w:val="18"/>
          <w:szCs w:val="18"/>
        </w:rPr>
        <w:t>the Minimum Gross</w:t>
      </w:r>
      <w:r w:rsidR="00492B44">
        <w:rPr>
          <w:rFonts w:cs="Arial"/>
          <w:sz w:val="18"/>
          <w:szCs w:val="18"/>
        </w:rPr>
        <w:t xml:space="preserve"> </w:t>
      </w:r>
      <w:r w:rsidRPr="009E77E6">
        <w:rPr>
          <w:rFonts w:cs="Arial"/>
          <w:sz w:val="18"/>
          <w:szCs w:val="18"/>
        </w:rPr>
        <w:t>Proceeds, being £</w:t>
      </w:r>
      <w:r w:rsidR="00893EA6">
        <w:rPr>
          <w:rFonts w:cs="Arial"/>
          <w:spacing w:val="6"/>
          <w:sz w:val="18"/>
          <w:szCs w:val="18"/>
        </w:rPr>
        <w:t>54</w:t>
      </w:r>
      <w:r w:rsidRPr="009E77E6">
        <w:rPr>
          <w:rFonts w:cs="Arial"/>
          <w:sz w:val="18"/>
          <w:szCs w:val="18"/>
        </w:rPr>
        <w:t xml:space="preserve"> million </w:t>
      </w:r>
      <w:bookmarkEnd w:id="51"/>
      <w:r w:rsidRPr="009E77E6">
        <w:rPr>
          <w:rFonts w:cs="Arial"/>
          <w:sz w:val="18"/>
          <w:szCs w:val="18"/>
        </w:rPr>
        <w:t>(or such lesser amount as the Company, the Investment Manager and Singer Capital Markets may agree) being raised. If the Minimum Gross</w:t>
      </w:r>
      <w:r w:rsidR="00492B44">
        <w:rPr>
          <w:rFonts w:cs="Arial"/>
          <w:sz w:val="18"/>
          <w:szCs w:val="18"/>
        </w:rPr>
        <w:t xml:space="preserve"> </w:t>
      </w:r>
      <w:r w:rsidRPr="009E77E6">
        <w:rPr>
          <w:rFonts w:cs="Arial"/>
          <w:sz w:val="18"/>
          <w:szCs w:val="18"/>
        </w:rPr>
        <w:t xml:space="preserve">Proceeds are not raised, the </w:t>
      </w:r>
      <w:r w:rsidR="00B97B41">
        <w:rPr>
          <w:rFonts w:cs="Arial"/>
          <w:sz w:val="18"/>
          <w:szCs w:val="18"/>
        </w:rPr>
        <w:t xml:space="preserve">Initial </w:t>
      </w:r>
      <w:r w:rsidR="00050FE5">
        <w:rPr>
          <w:rFonts w:cs="Arial"/>
          <w:sz w:val="18"/>
          <w:szCs w:val="18"/>
        </w:rPr>
        <w:t>Placing</w:t>
      </w:r>
      <w:r w:rsidRPr="009E77E6">
        <w:rPr>
          <w:rFonts w:cs="Arial"/>
          <w:sz w:val="18"/>
          <w:szCs w:val="18"/>
        </w:rPr>
        <w:t xml:space="preserve"> may only proceed where a supplementary prospectus (including a working capita</w:t>
      </w:r>
      <w:r w:rsidR="00436D52">
        <w:rPr>
          <w:rFonts w:cs="Arial"/>
          <w:sz w:val="18"/>
          <w:szCs w:val="18"/>
        </w:rPr>
        <w:t xml:space="preserve">l statement based on a revised Minimum </w:t>
      </w:r>
      <w:r w:rsidR="00C4272B">
        <w:rPr>
          <w:rFonts w:cs="Arial"/>
          <w:sz w:val="18"/>
          <w:szCs w:val="18"/>
        </w:rPr>
        <w:t>Net</w:t>
      </w:r>
      <w:r w:rsidR="00436D52">
        <w:rPr>
          <w:rFonts w:cs="Arial"/>
          <w:sz w:val="18"/>
          <w:szCs w:val="18"/>
        </w:rPr>
        <w:t xml:space="preserve"> P</w:t>
      </w:r>
      <w:r w:rsidRPr="009E77E6">
        <w:rPr>
          <w:rFonts w:cs="Arial"/>
          <w:sz w:val="18"/>
          <w:szCs w:val="18"/>
        </w:rPr>
        <w:t>roceeds figure) has been prepared in relation to the Company and approved by the FCA.</w:t>
      </w:r>
    </w:p>
    <w:p w:rsidRPr="009E77E6" w:rsidR="000215F0" w:rsidP="000215F0" w:rsidRDefault="000215F0" w14:paraId="2E50840B" w14:textId="564B84AF">
      <w:pPr>
        <w:ind w:left="709"/>
        <w:rPr>
          <w:rFonts w:cs="Arial"/>
          <w:b/>
          <w:i/>
          <w:sz w:val="18"/>
          <w:szCs w:val="18"/>
        </w:rPr>
      </w:pPr>
      <w:r w:rsidRPr="009E77E6">
        <w:rPr>
          <w:rFonts w:cs="Arial"/>
          <w:color w:val="000000"/>
          <w:sz w:val="18"/>
          <w:szCs w:val="18"/>
          <w:lang w:val="x-none"/>
        </w:rPr>
        <w:t xml:space="preserve">Each </w:t>
      </w:r>
      <w:r w:rsidR="00DF5FE0">
        <w:rPr>
          <w:rFonts w:cs="Arial"/>
          <w:color w:val="000000"/>
          <w:sz w:val="18"/>
          <w:szCs w:val="18"/>
        </w:rPr>
        <w:t>issue</w:t>
      </w:r>
      <w:r w:rsidRPr="009E77E6" w:rsidR="00DF5FE0">
        <w:rPr>
          <w:rFonts w:cs="Arial"/>
          <w:color w:val="000000"/>
          <w:sz w:val="18"/>
          <w:szCs w:val="18"/>
          <w:lang w:val="x-none"/>
        </w:rPr>
        <w:t xml:space="preserve"> </w:t>
      </w:r>
      <w:r w:rsidRPr="009E77E6">
        <w:rPr>
          <w:rFonts w:cs="Arial"/>
          <w:color w:val="000000"/>
          <w:sz w:val="18"/>
          <w:szCs w:val="18"/>
          <w:lang w:val="x-none"/>
        </w:rPr>
        <w:t xml:space="preserve">of </w:t>
      </w:r>
      <w:r w:rsidRPr="009E77E6">
        <w:rPr>
          <w:rFonts w:cs="Arial"/>
          <w:sz w:val="18"/>
          <w:szCs w:val="18"/>
        </w:rPr>
        <w:t xml:space="preserve">Ordinary Shares </w:t>
      </w:r>
      <w:r w:rsidRPr="009E77E6">
        <w:rPr>
          <w:rFonts w:cs="Arial"/>
          <w:color w:val="000000"/>
          <w:sz w:val="18"/>
          <w:szCs w:val="18"/>
        </w:rPr>
        <w:t xml:space="preserve">pursuant to a Subsequent Placing </w:t>
      </w:r>
      <w:r w:rsidRPr="009E77E6">
        <w:rPr>
          <w:rFonts w:cs="Arial"/>
          <w:color w:val="000000"/>
          <w:sz w:val="18"/>
          <w:szCs w:val="18"/>
          <w:lang w:val="x-none"/>
        </w:rPr>
        <w:t xml:space="preserve">under the </w:t>
      </w:r>
      <w:r w:rsidRPr="009E77E6">
        <w:rPr>
          <w:rFonts w:cs="Arial"/>
          <w:color w:val="000000"/>
          <w:sz w:val="18"/>
          <w:szCs w:val="18"/>
        </w:rPr>
        <w:t>Placing</w:t>
      </w:r>
      <w:r w:rsidRPr="009E77E6">
        <w:rPr>
          <w:rFonts w:cs="Arial"/>
          <w:color w:val="000000"/>
          <w:sz w:val="18"/>
          <w:szCs w:val="18"/>
          <w:lang w:val="x-none"/>
        </w:rPr>
        <w:t xml:space="preserve"> Programme, following the </w:t>
      </w:r>
      <w:r w:rsidR="00E64580">
        <w:rPr>
          <w:rFonts w:cs="Arial"/>
          <w:color w:val="000000"/>
          <w:sz w:val="18"/>
          <w:szCs w:val="18"/>
        </w:rPr>
        <w:t>Initial Placing</w:t>
      </w:r>
      <w:r w:rsidRPr="009E77E6">
        <w:rPr>
          <w:rFonts w:cs="Arial"/>
          <w:color w:val="000000"/>
          <w:sz w:val="18"/>
          <w:szCs w:val="18"/>
          <w:lang w:val="x-none"/>
        </w:rPr>
        <w:t>,</w:t>
      </w:r>
      <w:r w:rsidRPr="009E77E6">
        <w:rPr>
          <w:rFonts w:cs="Arial"/>
          <w:color w:val="000000"/>
          <w:sz w:val="18"/>
          <w:szCs w:val="18"/>
        </w:rPr>
        <w:t xml:space="preserve"> will be</w:t>
      </w:r>
      <w:r w:rsidRPr="009E77E6">
        <w:rPr>
          <w:rFonts w:cs="Arial"/>
          <w:color w:val="000000"/>
          <w:sz w:val="18"/>
          <w:szCs w:val="18"/>
          <w:lang w:val="x-none"/>
        </w:rPr>
        <w:t xml:space="preserve"> conditional, </w:t>
      </w:r>
      <w:r w:rsidRPr="009E77E6">
        <w:rPr>
          <w:rFonts w:cs="Arial"/>
          <w:i/>
          <w:color w:val="000000"/>
          <w:sz w:val="18"/>
          <w:szCs w:val="18"/>
          <w:lang w:val="x-none"/>
        </w:rPr>
        <w:t>inter alia</w:t>
      </w:r>
      <w:r w:rsidRPr="009E77E6">
        <w:rPr>
          <w:rFonts w:cs="Arial"/>
          <w:color w:val="000000"/>
          <w:sz w:val="18"/>
          <w:szCs w:val="18"/>
          <w:lang w:val="x-none"/>
        </w:rPr>
        <w:t xml:space="preserve">, on: </w:t>
      </w:r>
      <w:r w:rsidRPr="009E77E6">
        <w:rPr>
          <w:rFonts w:cs="Arial"/>
          <w:color w:val="000000"/>
          <w:sz w:val="18"/>
          <w:szCs w:val="18"/>
        </w:rPr>
        <w:t>(</w:t>
      </w:r>
      <w:proofErr w:type="spellStart"/>
      <w:r w:rsidRPr="009E77E6">
        <w:rPr>
          <w:rFonts w:cs="Arial"/>
          <w:color w:val="000000"/>
          <w:sz w:val="18"/>
          <w:szCs w:val="18"/>
        </w:rPr>
        <w:t>i</w:t>
      </w:r>
      <w:proofErr w:type="spellEnd"/>
      <w:r w:rsidRPr="009E77E6">
        <w:rPr>
          <w:rFonts w:cs="Arial"/>
          <w:color w:val="000000"/>
          <w:sz w:val="18"/>
          <w:szCs w:val="18"/>
        </w:rPr>
        <w:t xml:space="preserve">) Admission of the relevant Ordinary Shares occurring by no later than 8.00 a.m. on such date as the Company, the Investment Manager and Singer Capital Markets may agree from time to time in relation to that Admission, not being later than </w:t>
      </w:r>
      <w:r w:rsidR="007A1FC2">
        <w:rPr>
          <w:rFonts w:cs="Arial"/>
          <w:color w:val="000000"/>
          <w:sz w:val="18"/>
          <w:szCs w:val="18"/>
        </w:rPr>
        <w:t>1</w:t>
      </w:r>
      <w:r w:rsidR="007D3786">
        <w:rPr>
          <w:rFonts w:cs="Arial"/>
          <w:color w:val="000000"/>
          <w:sz w:val="18"/>
          <w:szCs w:val="18"/>
        </w:rPr>
        <w:t>9</w:t>
      </w:r>
      <w:r w:rsidRPr="009E77E6">
        <w:rPr>
          <w:rFonts w:cs="Arial"/>
          <w:color w:val="000000"/>
          <w:sz w:val="18"/>
          <w:szCs w:val="18"/>
        </w:rPr>
        <w:t xml:space="preserve"> </w:t>
      </w:r>
      <w:r w:rsidR="004F0EF4">
        <w:rPr>
          <w:rFonts w:cs="Arial"/>
          <w:color w:val="000000"/>
          <w:sz w:val="18"/>
          <w:szCs w:val="18"/>
        </w:rPr>
        <w:t xml:space="preserve">February </w:t>
      </w:r>
      <w:r w:rsidRPr="009E77E6">
        <w:rPr>
          <w:rFonts w:cs="Arial"/>
          <w:color w:val="000000"/>
          <w:sz w:val="18"/>
          <w:szCs w:val="18"/>
        </w:rPr>
        <w:t>202</w:t>
      </w:r>
      <w:r w:rsidR="00050FE5">
        <w:rPr>
          <w:rFonts w:cs="Arial"/>
          <w:color w:val="000000"/>
          <w:sz w:val="18"/>
          <w:szCs w:val="18"/>
        </w:rPr>
        <w:t>6</w:t>
      </w:r>
      <w:r w:rsidRPr="009E77E6">
        <w:rPr>
          <w:rFonts w:cs="Arial"/>
          <w:color w:val="000000"/>
          <w:sz w:val="18"/>
          <w:szCs w:val="18"/>
        </w:rPr>
        <w:t xml:space="preserve">; (ii) a valid supplementary prospectus being published by the Company, if such is required by the Prospectus Regulation Rules; (iii) the applicable Placing Programme Price being determined by the Directors; and (iv) the </w:t>
      </w:r>
      <w:r w:rsidR="00020807">
        <w:rPr>
          <w:rFonts w:cs="Arial"/>
          <w:color w:val="000000"/>
          <w:sz w:val="18"/>
          <w:szCs w:val="18"/>
        </w:rPr>
        <w:t>Placing Agreement</w:t>
      </w:r>
      <w:r w:rsidRPr="009E77E6">
        <w:rPr>
          <w:rFonts w:cs="Arial"/>
          <w:color w:val="000000"/>
          <w:sz w:val="18"/>
          <w:szCs w:val="18"/>
        </w:rPr>
        <w:t xml:space="preserve"> being wholly unconditional as regards the relevant Subsequent Placing (save as to the relevant Admission) and not having been terminated in accordance with its terms prior to the relevant Admission.</w:t>
      </w:r>
      <w:r w:rsidRPr="009E77E6">
        <w:rPr>
          <w:rFonts w:cs="Arial"/>
          <w:b/>
          <w:i/>
          <w:sz w:val="18"/>
          <w:szCs w:val="18"/>
        </w:rPr>
        <w:t xml:space="preserve"> </w:t>
      </w:r>
    </w:p>
    <w:p w:rsidRPr="009E77E6" w:rsidR="000215F0" w:rsidP="00565AD4" w:rsidRDefault="000215F0" w14:paraId="61E66599" w14:textId="511DB669">
      <w:pPr>
        <w:pStyle w:val="Heading2"/>
        <w:numPr>
          <w:ilvl w:val="1"/>
          <w:numId w:val="50"/>
        </w:numPr>
        <w:tabs>
          <w:tab w:val="clear" w:pos="1134"/>
          <w:tab w:val="num" w:pos="709"/>
        </w:tabs>
        <w:ind w:left="709" w:hanging="709"/>
        <w:rPr>
          <w:rFonts w:cs="Arial"/>
          <w:b/>
          <w:sz w:val="18"/>
          <w:szCs w:val="18"/>
        </w:rPr>
      </w:pPr>
      <w:r w:rsidRPr="009E77E6">
        <w:rPr>
          <w:rFonts w:cs="Arial"/>
          <w:b/>
          <w:sz w:val="18"/>
          <w:szCs w:val="18"/>
        </w:rPr>
        <w:t xml:space="preserve">Why is this prospectus being produced? </w:t>
      </w:r>
    </w:p>
    <w:p w:rsidRPr="009E77E6" w:rsidR="000215F0" w:rsidP="00565AD4" w:rsidRDefault="000215F0" w14:paraId="5ED482FC" w14:textId="77777777">
      <w:pPr>
        <w:pStyle w:val="Heading3"/>
        <w:numPr>
          <w:ilvl w:val="2"/>
          <w:numId w:val="50"/>
        </w:numPr>
        <w:tabs>
          <w:tab w:val="clear" w:pos="1134"/>
          <w:tab w:val="num" w:pos="709"/>
        </w:tabs>
        <w:ind w:left="709" w:hanging="709"/>
        <w:rPr>
          <w:rStyle w:val="Level3asHeadingtext"/>
          <w:rFonts w:cs="Arial"/>
          <w:sz w:val="18"/>
          <w:szCs w:val="18"/>
        </w:rPr>
      </w:pPr>
      <w:r w:rsidRPr="009E77E6">
        <w:rPr>
          <w:rStyle w:val="Level3asHeadingtext"/>
          <w:rFonts w:cs="Arial"/>
          <w:sz w:val="18"/>
          <w:szCs w:val="18"/>
        </w:rPr>
        <w:t>Reasons for the issue</w:t>
      </w:r>
    </w:p>
    <w:p w:rsidR="00985139" w:rsidP="00985139" w:rsidRDefault="00985139" w14:paraId="384930F7" w14:textId="5B039D11">
      <w:pPr>
        <w:ind w:left="709"/>
        <w:rPr>
          <w:rFonts w:cs="Arial"/>
          <w:sz w:val="18"/>
          <w:szCs w:val="18"/>
        </w:rPr>
      </w:pPr>
      <w:r w:rsidRPr="00391D23">
        <w:rPr>
          <w:rFonts w:cs="Arial"/>
          <w:sz w:val="18"/>
          <w:szCs w:val="18"/>
        </w:rPr>
        <w:t xml:space="preserve">The Initial </w:t>
      </w:r>
      <w:r>
        <w:rPr>
          <w:rFonts w:cs="Arial"/>
          <w:sz w:val="18"/>
          <w:szCs w:val="18"/>
        </w:rPr>
        <w:t>Placing</w:t>
      </w:r>
      <w:r w:rsidRPr="00391D23">
        <w:rPr>
          <w:rFonts w:cs="Arial"/>
          <w:sz w:val="18"/>
          <w:szCs w:val="18"/>
        </w:rPr>
        <w:t xml:space="preserve"> is intended to raise money for investment in accordance with the Company's investment objective and investment policy. The Directors intend to use the Net Proceeds, after providing for the Company's operational expenses, to make investments in line with the Company's investment objective and investment policy. Following the Initial </w:t>
      </w:r>
      <w:r>
        <w:rPr>
          <w:rFonts w:cs="Arial"/>
          <w:sz w:val="18"/>
          <w:szCs w:val="18"/>
        </w:rPr>
        <w:t>Placing</w:t>
      </w:r>
      <w:r w:rsidRPr="00391D23">
        <w:rPr>
          <w:rFonts w:cs="Arial"/>
          <w:sz w:val="18"/>
          <w:szCs w:val="18"/>
        </w:rPr>
        <w:t xml:space="preserve">, the Company may wish to issue further </w:t>
      </w:r>
      <w:r>
        <w:rPr>
          <w:rFonts w:cs="Arial"/>
          <w:sz w:val="18"/>
          <w:szCs w:val="18"/>
        </w:rPr>
        <w:t xml:space="preserve">Ordinary </w:t>
      </w:r>
      <w:r w:rsidRPr="00391D23">
        <w:rPr>
          <w:rFonts w:cs="Arial"/>
          <w:sz w:val="18"/>
          <w:szCs w:val="18"/>
        </w:rPr>
        <w:t xml:space="preserve">Shares to raise additional capital. The Directors intend to use the net proceeds of any Subsequent </w:t>
      </w:r>
      <w:r>
        <w:rPr>
          <w:rFonts w:cs="Arial"/>
          <w:sz w:val="18"/>
          <w:szCs w:val="18"/>
        </w:rPr>
        <w:t>Placing</w:t>
      </w:r>
      <w:r w:rsidRPr="00391D23">
        <w:rPr>
          <w:rFonts w:cs="Arial"/>
          <w:sz w:val="18"/>
          <w:szCs w:val="18"/>
        </w:rPr>
        <w:t xml:space="preserve"> under the </w:t>
      </w:r>
      <w:r>
        <w:rPr>
          <w:rFonts w:cs="Arial"/>
          <w:sz w:val="18"/>
          <w:szCs w:val="18"/>
        </w:rPr>
        <w:t>Placing</w:t>
      </w:r>
      <w:r w:rsidRPr="00391D23">
        <w:rPr>
          <w:rFonts w:cs="Arial"/>
          <w:sz w:val="18"/>
          <w:szCs w:val="18"/>
        </w:rPr>
        <w:t xml:space="preserve"> Programme to make investments in accordance with the Company's investment objective and investment policy. </w:t>
      </w:r>
    </w:p>
    <w:p w:rsidRPr="009E77E6" w:rsidR="000215F0" w:rsidP="000215F0" w:rsidRDefault="000215F0" w14:paraId="19B1E6AD" w14:textId="6BDDD535">
      <w:pPr>
        <w:ind w:left="709"/>
        <w:rPr>
          <w:rFonts w:cs="Arial"/>
          <w:sz w:val="18"/>
          <w:szCs w:val="18"/>
        </w:rPr>
      </w:pPr>
      <w:r w:rsidRPr="009E77E6">
        <w:rPr>
          <w:rFonts w:cs="Arial"/>
          <w:sz w:val="18"/>
          <w:szCs w:val="18"/>
        </w:rPr>
        <w:t>There are no material conflicts of intere</w:t>
      </w:r>
      <w:r w:rsidR="00492B44">
        <w:rPr>
          <w:rFonts w:cs="Arial"/>
          <w:sz w:val="18"/>
          <w:szCs w:val="18"/>
        </w:rPr>
        <w:t xml:space="preserve">st relating to the </w:t>
      </w:r>
      <w:r w:rsidR="00B97B41">
        <w:rPr>
          <w:rFonts w:cs="Arial"/>
          <w:sz w:val="18"/>
          <w:szCs w:val="18"/>
        </w:rPr>
        <w:t xml:space="preserve">Initial </w:t>
      </w:r>
      <w:r w:rsidR="00050FE5">
        <w:rPr>
          <w:rFonts w:cs="Arial"/>
          <w:sz w:val="18"/>
          <w:szCs w:val="18"/>
        </w:rPr>
        <w:t>Placing</w:t>
      </w:r>
      <w:r w:rsidRPr="009E77E6">
        <w:rPr>
          <w:rFonts w:cs="Arial"/>
          <w:sz w:val="18"/>
          <w:szCs w:val="18"/>
        </w:rPr>
        <w:t xml:space="preserve"> or the admission of the Ordinary Shares to trading on the Specialist Fund Segment.</w:t>
      </w:r>
    </w:p>
    <w:p w:rsidRPr="009E77E6" w:rsidR="000215F0" w:rsidP="000215F0" w:rsidRDefault="00B97B41" w14:paraId="1254B1E7" w14:textId="508A323E">
      <w:pPr>
        <w:ind w:left="709"/>
        <w:rPr>
          <w:rStyle w:val="Level3asHeadingtext"/>
          <w:rFonts w:cs="Arial"/>
          <w:b w:val="0"/>
          <w:sz w:val="18"/>
          <w:szCs w:val="18"/>
        </w:rPr>
      </w:pPr>
      <w:r w:rsidRPr="00B97B41">
        <w:rPr>
          <w:rStyle w:val="Level3asHeadingtext"/>
          <w:rFonts w:cs="Arial"/>
          <w:b w:val="0"/>
          <w:sz w:val="18"/>
          <w:szCs w:val="18"/>
        </w:rPr>
        <w:t xml:space="preserve">Neither the Initial </w:t>
      </w:r>
      <w:r w:rsidR="00985139">
        <w:rPr>
          <w:rStyle w:val="Level3asHeadingtext"/>
          <w:rFonts w:cs="Arial"/>
          <w:b w:val="0"/>
          <w:sz w:val="18"/>
          <w:szCs w:val="18"/>
        </w:rPr>
        <w:t>Placing</w:t>
      </w:r>
      <w:r w:rsidRPr="00B97B41">
        <w:rPr>
          <w:rStyle w:val="Level3asHeadingtext"/>
          <w:rFonts w:cs="Arial"/>
          <w:b w:val="0"/>
          <w:sz w:val="18"/>
          <w:szCs w:val="18"/>
        </w:rPr>
        <w:t xml:space="preserve"> nor any Subsequent Placing will be underwritten. </w:t>
      </w:r>
      <w:r w:rsidRPr="009E77E6" w:rsidR="000215F0">
        <w:rPr>
          <w:rStyle w:val="Level3asHeadingtext"/>
          <w:rFonts w:cs="Arial"/>
          <w:b w:val="0"/>
          <w:sz w:val="18"/>
          <w:szCs w:val="18"/>
        </w:rPr>
        <w:t xml:space="preserve">   </w:t>
      </w:r>
    </w:p>
    <w:p w:rsidRPr="009E77E6" w:rsidR="000215F0" w:rsidP="00CA37A2" w:rsidRDefault="000215F0" w14:paraId="56399ACC" w14:textId="77777777">
      <w:pPr>
        <w:pStyle w:val="Heading3"/>
        <w:keepNext/>
        <w:numPr>
          <w:ilvl w:val="2"/>
          <w:numId w:val="50"/>
        </w:numPr>
        <w:tabs>
          <w:tab w:val="clear" w:pos="1134"/>
          <w:tab w:val="num" w:pos="709"/>
        </w:tabs>
        <w:ind w:left="709" w:hanging="709"/>
        <w:rPr>
          <w:rStyle w:val="Level3asHeadingtext"/>
          <w:rFonts w:cs="Arial"/>
          <w:sz w:val="18"/>
          <w:szCs w:val="18"/>
        </w:rPr>
      </w:pPr>
      <w:r w:rsidRPr="009E77E6">
        <w:rPr>
          <w:rStyle w:val="Level3asHeadingtext"/>
          <w:rFonts w:cs="Arial"/>
          <w:sz w:val="18"/>
          <w:szCs w:val="18"/>
        </w:rPr>
        <w:lastRenderedPageBreak/>
        <w:t>Estimated net proceeds</w:t>
      </w:r>
    </w:p>
    <w:p w:rsidRPr="009E77E6" w:rsidR="000215F0" w:rsidP="00985139" w:rsidRDefault="00985139" w14:paraId="7AF46091" w14:textId="7E6F5A9A">
      <w:pPr>
        <w:ind w:left="709"/>
        <w:rPr>
          <w:rFonts w:cs="Arial"/>
          <w:sz w:val="18"/>
          <w:szCs w:val="18"/>
        </w:rPr>
      </w:pPr>
      <w:r w:rsidRPr="00391D23">
        <w:rPr>
          <w:rStyle w:val="Level3asHeadingtext"/>
          <w:rFonts w:cs="Arial"/>
          <w:b w:val="0"/>
          <w:sz w:val="18"/>
          <w:szCs w:val="18"/>
        </w:rPr>
        <w:t xml:space="preserve">The Company </w:t>
      </w:r>
      <w:r w:rsidR="004177A2">
        <w:rPr>
          <w:rStyle w:val="Level3asHeadingtext"/>
          <w:rFonts w:cs="Arial"/>
          <w:b w:val="0"/>
          <w:sz w:val="18"/>
          <w:szCs w:val="18"/>
        </w:rPr>
        <w:t xml:space="preserve">will issue </w:t>
      </w:r>
      <w:r w:rsidR="00893EA6">
        <w:rPr>
          <w:rStyle w:val="Level3asHeadingtext"/>
          <w:rFonts w:cs="Arial"/>
          <w:b w:val="0"/>
          <w:sz w:val="18"/>
          <w:szCs w:val="18"/>
        </w:rPr>
        <w:t>54</w:t>
      </w:r>
      <w:r>
        <w:rPr>
          <w:rFonts w:cs="Arial"/>
          <w:sz w:val="18"/>
          <w:szCs w:val="18"/>
        </w:rPr>
        <w:t xml:space="preserve"> </w:t>
      </w:r>
      <w:r w:rsidRPr="00391D23">
        <w:rPr>
          <w:rStyle w:val="Level3asHeadingtext"/>
          <w:rFonts w:cs="Arial"/>
          <w:b w:val="0"/>
          <w:sz w:val="18"/>
          <w:szCs w:val="18"/>
        </w:rPr>
        <w:t xml:space="preserve">million Ordinary Shares pursuant to the Initial </w:t>
      </w:r>
      <w:r>
        <w:rPr>
          <w:rStyle w:val="Level3asHeadingtext"/>
          <w:rFonts w:cs="Arial"/>
          <w:b w:val="0"/>
          <w:sz w:val="18"/>
          <w:szCs w:val="18"/>
        </w:rPr>
        <w:t>Placing</w:t>
      </w:r>
      <w:r w:rsidR="00A46153">
        <w:rPr>
          <w:rStyle w:val="Level3asHeadingtext"/>
          <w:rFonts w:cs="Arial"/>
          <w:b w:val="0"/>
          <w:sz w:val="18"/>
          <w:szCs w:val="18"/>
        </w:rPr>
        <w:t xml:space="preserve"> (which number includes the single Ordinary Share issued on the Company's incorporation)</w:t>
      </w:r>
      <w:r w:rsidRPr="00391D23">
        <w:rPr>
          <w:rStyle w:val="Level3asHeadingtext"/>
          <w:rFonts w:cs="Arial"/>
          <w:b w:val="0"/>
          <w:sz w:val="18"/>
          <w:szCs w:val="18"/>
        </w:rPr>
        <w:t xml:space="preserve">. </w:t>
      </w:r>
      <w:bookmarkStart w:name="_Hlk190172182" w:id="52"/>
      <w:r w:rsidR="00DF5FE0">
        <w:rPr>
          <w:rFonts w:cs="Arial"/>
          <w:sz w:val="18"/>
          <w:szCs w:val="18"/>
        </w:rPr>
        <w:t xml:space="preserve">The </w:t>
      </w:r>
      <w:r w:rsidRPr="00391D23">
        <w:rPr>
          <w:rFonts w:cs="Arial"/>
          <w:sz w:val="18"/>
          <w:szCs w:val="18"/>
        </w:rPr>
        <w:t>Initial Gross Proceeds</w:t>
      </w:r>
      <w:r w:rsidR="00DF5FE0">
        <w:rPr>
          <w:rFonts w:cs="Arial"/>
          <w:sz w:val="18"/>
          <w:szCs w:val="18"/>
        </w:rPr>
        <w:t xml:space="preserve"> will be £</w:t>
      </w:r>
      <w:r w:rsidR="00893EA6">
        <w:rPr>
          <w:rFonts w:cs="Arial"/>
          <w:sz w:val="18"/>
          <w:szCs w:val="18"/>
        </w:rPr>
        <w:t>54</w:t>
      </w:r>
      <w:r w:rsidRPr="00391D23">
        <w:rPr>
          <w:rFonts w:cs="Arial"/>
          <w:sz w:val="18"/>
          <w:szCs w:val="18"/>
        </w:rPr>
        <w:t xml:space="preserve"> </w:t>
      </w:r>
      <w:proofErr w:type="gramStart"/>
      <w:r w:rsidRPr="00391D23">
        <w:rPr>
          <w:rFonts w:cs="Arial"/>
          <w:sz w:val="18"/>
          <w:szCs w:val="18"/>
        </w:rPr>
        <w:t>million</w:t>
      </w:r>
      <w:proofErr w:type="gramEnd"/>
      <w:r w:rsidR="00DF5FE0">
        <w:rPr>
          <w:rFonts w:cs="Arial"/>
          <w:sz w:val="18"/>
          <w:szCs w:val="18"/>
        </w:rPr>
        <w:t xml:space="preserve"> and</w:t>
      </w:r>
      <w:r w:rsidRPr="00391D23">
        <w:rPr>
          <w:rFonts w:cs="Arial"/>
          <w:sz w:val="18"/>
          <w:szCs w:val="18"/>
        </w:rPr>
        <w:t xml:space="preserve"> </w:t>
      </w:r>
      <w:bookmarkStart w:name="_Hlk188875683" w:id="53"/>
      <w:r w:rsidRPr="00391D23">
        <w:rPr>
          <w:rFonts w:cs="Arial"/>
          <w:sz w:val="18"/>
          <w:szCs w:val="18"/>
        </w:rPr>
        <w:t xml:space="preserve">the Net Proceeds will be approximately </w:t>
      </w:r>
      <w:r>
        <w:rPr>
          <w:rFonts w:cs="Arial"/>
          <w:sz w:val="18"/>
          <w:szCs w:val="18"/>
        </w:rPr>
        <w:t>£</w:t>
      </w:r>
      <w:r w:rsidR="00893EA6">
        <w:rPr>
          <w:rFonts w:cs="Arial"/>
          <w:sz w:val="18"/>
          <w:szCs w:val="18"/>
        </w:rPr>
        <w:t>53.2</w:t>
      </w:r>
      <w:r w:rsidR="00FE6B98">
        <w:rPr>
          <w:rFonts w:cs="Arial"/>
          <w:sz w:val="18"/>
          <w:szCs w:val="18"/>
        </w:rPr>
        <w:t xml:space="preserve"> million</w:t>
      </w:r>
      <w:r w:rsidRPr="00391D23">
        <w:rPr>
          <w:rFonts w:cs="Arial"/>
          <w:sz w:val="18"/>
          <w:szCs w:val="18"/>
        </w:rPr>
        <w:t>.</w:t>
      </w:r>
    </w:p>
    <w:bookmarkEnd w:id="53"/>
    <w:bookmarkEnd w:id="52"/>
    <w:p w:rsidR="002E5438" w:rsidRDefault="002E5438" w14:paraId="219BF329" w14:textId="77777777">
      <w:pPr>
        <w:spacing w:after="0"/>
        <w:jc w:val="left"/>
        <w:rPr>
          <w:rFonts w:cs="Arial"/>
          <w:sz w:val="18"/>
          <w:szCs w:val="18"/>
        </w:rPr>
      </w:pPr>
      <w:r>
        <w:rPr>
          <w:rFonts w:cs="Arial"/>
          <w:sz w:val="18"/>
          <w:szCs w:val="18"/>
        </w:rPr>
        <w:br w:type="page"/>
      </w:r>
    </w:p>
    <w:p w:rsidRPr="00DE5D68" w:rsidR="009532AF" w:rsidP="00A037FE" w:rsidRDefault="007346D2" w14:paraId="6ED6C4A9" w14:textId="5C33DCD8">
      <w:pPr>
        <w:jc w:val="center"/>
        <w:rPr>
          <w:rFonts w:cs="Arial"/>
          <w:b/>
          <w:i/>
        </w:rPr>
      </w:pPr>
      <w:r w:rsidRPr="00DE5D68">
        <w:rPr>
          <w:rFonts w:cs="Arial"/>
          <w:b/>
        </w:rPr>
        <w:lastRenderedPageBreak/>
        <w:t>RISK FACTORS</w:t>
      </w:r>
      <w:r w:rsidRPr="00DE5D68" w:rsidR="00B27A88">
        <w:rPr>
          <w:rFonts w:cs="Arial"/>
          <w:b/>
        </w:rPr>
        <w:t xml:space="preserve"> </w:t>
      </w:r>
      <w:r w:rsidRPr="00DE5D68" w:rsidR="00EB2A15">
        <w:rPr>
          <w:rFonts w:cs="Arial"/>
          <w:b/>
          <w:i/>
        </w:rPr>
        <w:fldChar w:fldCharType="begin"/>
      </w:r>
      <w:r w:rsidRPr="00DE5D68" w:rsidR="00EB2A15">
        <w:rPr>
          <w:rFonts w:cs="Arial"/>
        </w:rPr>
        <w:instrText xml:space="preserve"> TC "</w:instrText>
      </w:r>
      <w:bookmarkStart w:name="_Toc329599163" w:id="54"/>
      <w:bookmarkStart w:name="_Toc405805318" w:id="55"/>
      <w:bookmarkStart w:name="_Toc493520573" w:id="56"/>
      <w:bookmarkStart w:name="_Toc78485965" w:id="57"/>
      <w:bookmarkStart w:name="_Toc190288024" w:id="58"/>
      <w:r w:rsidRPr="00DE5D68" w:rsidR="00EB2A15">
        <w:rPr>
          <w:rFonts w:cs="Arial"/>
        </w:rPr>
        <w:instrText>RISK FACTORS</w:instrText>
      </w:r>
      <w:bookmarkEnd w:id="54"/>
      <w:bookmarkEnd w:id="55"/>
      <w:bookmarkEnd w:id="56"/>
      <w:bookmarkEnd w:id="57"/>
      <w:bookmarkEnd w:id="58"/>
      <w:r w:rsidRPr="00DE5D68" w:rsidR="00EB2A15">
        <w:rPr>
          <w:rFonts w:cs="Arial"/>
        </w:rPr>
        <w:instrText>" \f C \l "1"</w:instrText>
      </w:r>
      <w:r w:rsidRPr="00DE5D68" w:rsidR="00EB2A15">
        <w:rPr>
          <w:rFonts w:cs="Arial"/>
          <w:b/>
          <w:i/>
        </w:rPr>
        <w:instrText xml:space="preserve"> </w:instrText>
      </w:r>
      <w:r w:rsidRPr="00DE5D68" w:rsidR="00EB2A15">
        <w:rPr>
          <w:rFonts w:cs="Arial"/>
          <w:b/>
          <w:i/>
        </w:rPr>
        <w:fldChar w:fldCharType="end"/>
      </w:r>
      <w:r w:rsidRPr="00DE5D68" w:rsidR="00EB2A15">
        <w:rPr>
          <w:rFonts w:cs="Arial"/>
          <w:b/>
          <w:i/>
        </w:rPr>
        <w:t xml:space="preserve"> </w:t>
      </w:r>
    </w:p>
    <w:p w:rsidRPr="00DE5D68" w:rsidR="00AA58C1" w:rsidP="00C27D12" w:rsidRDefault="00AA58C1" w14:paraId="6D331199" w14:textId="7BEBB3C1">
      <w:pPr>
        <w:rPr>
          <w:rFonts w:cs="Arial"/>
          <w:b/>
        </w:rPr>
      </w:pPr>
      <w:r w:rsidRPr="00DE5D68">
        <w:rPr>
          <w:rFonts w:cs="Arial"/>
          <w:b/>
        </w:rPr>
        <w:t xml:space="preserve">The risks set out below are those that are considered to be the material risks relating to the Company and to an investment in the </w:t>
      </w:r>
      <w:r w:rsidR="00811F5B">
        <w:rPr>
          <w:rFonts w:cs="Arial"/>
          <w:b/>
        </w:rPr>
        <w:t xml:space="preserve">Ordinary </w:t>
      </w:r>
      <w:r w:rsidRPr="00DE5D68">
        <w:rPr>
          <w:rFonts w:cs="Arial"/>
          <w:b/>
        </w:rPr>
        <w:t xml:space="preserve">Shares but are not the only risks relating to the Company and to such investment in the </w:t>
      </w:r>
      <w:r w:rsidR="00811F5B">
        <w:rPr>
          <w:rFonts w:cs="Arial"/>
          <w:b/>
        </w:rPr>
        <w:t xml:space="preserve">Ordinary </w:t>
      </w:r>
      <w:r w:rsidRPr="00DE5D68">
        <w:rPr>
          <w:rFonts w:cs="Arial"/>
          <w:b/>
        </w:rPr>
        <w:t xml:space="preserve">Shares. No assurance can be given that Shareholders will realise profit on, or recover the value of, their investment in the </w:t>
      </w:r>
      <w:r w:rsidR="00811F5B">
        <w:rPr>
          <w:rFonts w:cs="Arial"/>
          <w:b/>
        </w:rPr>
        <w:t xml:space="preserve">Ordinary </w:t>
      </w:r>
      <w:r w:rsidRPr="00DE5D68">
        <w:rPr>
          <w:rFonts w:cs="Arial"/>
          <w:b/>
        </w:rPr>
        <w:t>Shares. It should be remembered that the price of securities can go down as well as up.</w:t>
      </w:r>
    </w:p>
    <w:p w:rsidRPr="00DE5D68" w:rsidR="00AA58C1" w:rsidP="00C27D12" w:rsidRDefault="00AA58C1" w14:paraId="5B37044E" w14:textId="30673AF3">
      <w:pPr>
        <w:rPr>
          <w:rFonts w:cs="Arial"/>
          <w:b/>
        </w:rPr>
      </w:pPr>
      <w:r w:rsidRPr="00DE5D68">
        <w:rPr>
          <w:rFonts w:cs="Arial"/>
          <w:b/>
        </w:rPr>
        <w:t xml:space="preserve">Prospective investors should note that the risks relating to the Company, its investment strategy and the </w:t>
      </w:r>
      <w:r w:rsidR="00811F5B">
        <w:rPr>
          <w:rFonts w:cs="Arial"/>
          <w:b/>
        </w:rPr>
        <w:t xml:space="preserve">Ordinary </w:t>
      </w:r>
      <w:r w:rsidRPr="00DE5D68">
        <w:rPr>
          <w:rFonts w:cs="Arial"/>
          <w:b/>
        </w:rPr>
        <w:t xml:space="preserve">Shares summarised in the section of </w:t>
      </w:r>
      <w:r w:rsidRPr="00DE5D68" w:rsidR="004F4CF8">
        <w:rPr>
          <w:rFonts w:cs="Arial"/>
          <w:b/>
        </w:rPr>
        <w:t>this document</w:t>
      </w:r>
      <w:r w:rsidR="00311292">
        <w:rPr>
          <w:rFonts w:cs="Arial"/>
          <w:b/>
        </w:rPr>
        <w:t xml:space="preserve"> headed "Summary"</w:t>
      </w:r>
      <w:r w:rsidRPr="00DE5D68">
        <w:rPr>
          <w:rFonts w:cs="Arial"/>
          <w:b/>
        </w:rPr>
        <w:t xml:space="preserve"> are the risks that the Directors believe to be the most essential to an assessment by a prospective investor of whether to consider an investment in the </w:t>
      </w:r>
      <w:r w:rsidR="00811F5B">
        <w:rPr>
          <w:rFonts w:cs="Arial"/>
          <w:b/>
        </w:rPr>
        <w:t xml:space="preserve">Ordinary </w:t>
      </w:r>
      <w:r w:rsidRPr="00DE5D68">
        <w:rPr>
          <w:rFonts w:cs="Arial"/>
          <w:b/>
        </w:rPr>
        <w:t xml:space="preserve">Shares. However, as the risks which the Company faces relate to events and depend on circumstances that may or may not occur in the future, prospective investors should consider not only the information on the key risks summarised in the section of </w:t>
      </w:r>
      <w:r w:rsidRPr="00DE5D68" w:rsidR="004F4CF8">
        <w:rPr>
          <w:rFonts w:cs="Arial"/>
          <w:b/>
        </w:rPr>
        <w:t>this document</w:t>
      </w:r>
      <w:r w:rsidR="00311292">
        <w:rPr>
          <w:rFonts w:cs="Arial"/>
          <w:b/>
        </w:rPr>
        <w:t xml:space="preserve"> headed "Summary"</w:t>
      </w:r>
      <w:r w:rsidRPr="00DE5D68">
        <w:rPr>
          <w:rFonts w:cs="Arial"/>
          <w:b/>
        </w:rPr>
        <w:t xml:space="preserve"> but also, among other things, the risks and u</w:t>
      </w:r>
      <w:r w:rsidR="00311292">
        <w:rPr>
          <w:rFonts w:cs="Arial"/>
          <w:b/>
        </w:rPr>
        <w:t>ncertainties described in this "Risk Factors"</w:t>
      </w:r>
      <w:r w:rsidRPr="00DE5D68">
        <w:rPr>
          <w:rFonts w:cs="Arial"/>
          <w:b/>
        </w:rPr>
        <w:t xml:space="preserve"> section of </w:t>
      </w:r>
      <w:r w:rsidRPr="00DE5D68" w:rsidR="004F4CF8">
        <w:rPr>
          <w:rFonts w:cs="Arial"/>
          <w:b/>
        </w:rPr>
        <w:t>this document</w:t>
      </w:r>
      <w:r w:rsidRPr="00DE5D68">
        <w:rPr>
          <w:rFonts w:cs="Arial"/>
          <w:b/>
        </w:rPr>
        <w:t xml:space="preserve">. Additional risks and uncertainties not currently known to the Company or the Directors or that the Company or the Directors consider to be immaterial as at the date of </w:t>
      </w:r>
      <w:r w:rsidRPr="00DE5D68" w:rsidR="004F4CF8">
        <w:rPr>
          <w:rFonts w:cs="Arial"/>
          <w:b/>
        </w:rPr>
        <w:t>this document</w:t>
      </w:r>
      <w:r w:rsidRPr="00DE5D68">
        <w:rPr>
          <w:rFonts w:cs="Arial"/>
          <w:b/>
        </w:rPr>
        <w:t xml:space="preserve"> may also have a material adverse effect on the Company’s financial condition, business, prospects and results of operations and, consequently, the Company’s Net Asset Value and/or the market price of the </w:t>
      </w:r>
      <w:r w:rsidR="00811F5B">
        <w:rPr>
          <w:rFonts w:cs="Arial"/>
          <w:b/>
        </w:rPr>
        <w:t xml:space="preserve">Ordinary </w:t>
      </w:r>
      <w:r w:rsidRPr="00DE5D68">
        <w:rPr>
          <w:rFonts w:cs="Arial"/>
          <w:b/>
        </w:rPr>
        <w:t>Shares.</w:t>
      </w:r>
    </w:p>
    <w:p w:rsidRPr="00DE5D68" w:rsidR="00AA58C1" w:rsidP="00C27D12" w:rsidRDefault="00AA58C1" w14:paraId="68AD0990" w14:textId="44EFC494">
      <w:pPr>
        <w:rPr>
          <w:rFonts w:cs="Arial"/>
          <w:b/>
        </w:rPr>
      </w:pPr>
      <w:r w:rsidRPr="00DE5D68">
        <w:rPr>
          <w:rFonts w:cs="Arial"/>
          <w:b/>
        </w:rPr>
        <w:t>The Specialist Fund Segment is only suitable for investors: (</w:t>
      </w:r>
      <w:proofErr w:type="spellStart"/>
      <w:r w:rsidRPr="00DE5D68">
        <w:rPr>
          <w:rFonts w:cs="Arial"/>
          <w:b/>
        </w:rPr>
        <w:t>i</w:t>
      </w:r>
      <w:proofErr w:type="spellEnd"/>
      <w:r w:rsidRPr="00DE5D68">
        <w:rPr>
          <w:rFonts w:cs="Arial"/>
          <w:b/>
        </w:rPr>
        <w:t xml:space="preserve">) who understand the potential risk of capital loss and that there may be limited liquidity in the underlying investments of the Company; (ii) for whom an investment in securities traded on the Specialist Fund Segment is part of a diversified investment programme; and (iii) who fully understand and are willing to assume the risks involved in such an investment portfolio. Investors in the Company are expected to be institutional investors, </w:t>
      </w:r>
      <w:r w:rsidR="00472DD3">
        <w:rPr>
          <w:rFonts w:cs="Arial"/>
          <w:b/>
        </w:rPr>
        <w:t>private clients through their wealth managers, experienced investors, high net worth</w:t>
      </w:r>
      <w:r w:rsidRPr="00DE5D68">
        <w:rPr>
          <w:rFonts w:cs="Arial"/>
          <w:b/>
        </w:rPr>
        <w:t xml:space="preserve"> investors</w:t>
      </w:r>
      <w:r w:rsidR="00472DD3">
        <w:rPr>
          <w:rFonts w:cs="Arial"/>
          <w:b/>
        </w:rPr>
        <w:t xml:space="preserve">, professionally advised investors and </w:t>
      </w:r>
      <w:r w:rsidRPr="00DE5D68">
        <w:rPr>
          <w:rFonts w:cs="Arial"/>
          <w:b/>
        </w:rPr>
        <w:t xml:space="preserve">knowledgeable </w:t>
      </w:r>
      <w:r w:rsidR="00472DD3">
        <w:rPr>
          <w:rFonts w:cs="Arial"/>
          <w:b/>
        </w:rPr>
        <w:t xml:space="preserve">unadvised retail </w:t>
      </w:r>
      <w:r w:rsidRPr="00DE5D68">
        <w:rPr>
          <w:rFonts w:cs="Arial"/>
          <w:b/>
        </w:rPr>
        <w:t>investors who</w:t>
      </w:r>
      <w:r w:rsidR="00472DD3">
        <w:rPr>
          <w:rFonts w:cs="Arial"/>
          <w:b/>
        </w:rPr>
        <w:t xml:space="preserve"> have taken appropriate steps to ensure that they understand </w:t>
      </w:r>
      <w:r w:rsidRPr="00DE5D68">
        <w:rPr>
          <w:rFonts w:cs="Arial"/>
          <w:b/>
        </w:rPr>
        <w:t>the risks</w:t>
      </w:r>
      <w:r w:rsidR="00472DD3">
        <w:rPr>
          <w:rFonts w:cs="Arial"/>
          <w:b/>
        </w:rPr>
        <w:t xml:space="preserve"> involved in i</w:t>
      </w:r>
      <w:r w:rsidRPr="00DE5D68">
        <w:rPr>
          <w:rFonts w:cs="Arial"/>
          <w:b/>
        </w:rPr>
        <w:t>nvesting in the Company</w:t>
      </w:r>
      <w:r w:rsidR="00472DD3">
        <w:rPr>
          <w:rFonts w:cs="Arial"/>
          <w:b/>
        </w:rPr>
        <w:t xml:space="preserve"> and who have sufficient resources to be able to bear any losses (which may equal the whole amount invested) that may result from such an investment</w:t>
      </w:r>
      <w:r w:rsidRPr="00DE5D68">
        <w:rPr>
          <w:rFonts w:cs="Arial"/>
          <w:b/>
        </w:rPr>
        <w:t>.</w:t>
      </w:r>
    </w:p>
    <w:p w:rsidRPr="00DE5D68" w:rsidR="00AA58C1" w:rsidP="00C27D12" w:rsidRDefault="00AA58C1" w14:paraId="5154C25C" w14:textId="23FF7A70">
      <w:pPr>
        <w:rPr>
          <w:rFonts w:cs="Arial"/>
          <w:b/>
        </w:rPr>
      </w:pPr>
      <w:r w:rsidRPr="00DE5D68">
        <w:rPr>
          <w:rFonts w:cs="Arial"/>
          <w:b/>
        </w:rPr>
        <w:t xml:space="preserve">Potential investors in the </w:t>
      </w:r>
      <w:r w:rsidR="00811F5B">
        <w:rPr>
          <w:rFonts w:cs="Arial"/>
          <w:b/>
        </w:rPr>
        <w:t xml:space="preserve">Ordinary </w:t>
      </w:r>
      <w:r w:rsidRPr="00DE5D68">
        <w:rPr>
          <w:rFonts w:cs="Arial"/>
          <w:b/>
        </w:rPr>
        <w:t xml:space="preserve">Shares should review </w:t>
      </w:r>
      <w:r w:rsidRPr="00DE5D68" w:rsidR="004F4CF8">
        <w:rPr>
          <w:rFonts w:cs="Arial"/>
          <w:b/>
        </w:rPr>
        <w:t>this document</w:t>
      </w:r>
      <w:r w:rsidRPr="00DE5D68">
        <w:rPr>
          <w:rFonts w:cs="Arial"/>
          <w:b/>
        </w:rPr>
        <w:t xml:space="preserve"> carefully in its entirety and consult with their professional advisers prior to making a</w:t>
      </w:r>
      <w:r w:rsidRPr="00DE5D68" w:rsidR="00DA2DEE">
        <w:rPr>
          <w:rFonts w:cs="Arial"/>
          <w:b/>
        </w:rPr>
        <w:t xml:space="preserve">n application to subscribe for </w:t>
      </w:r>
      <w:r w:rsidR="00811F5B">
        <w:rPr>
          <w:rFonts w:cs="Arial"/>
          <w:b/>
        </w:rPr>
        <w:t xml:space="preserve">Ordinary </w:t>
      </w:r>
      <w:r w:rsidRPr="00DE5D68">
        <w:rPr>
          <w:rFonts w:cs="Arial"/>
          <w:b/>
        </w:rPr>
        <w:t>Shares.</w:t>
      </w:r>
    </w:p>
    <w:p w:rsidRPr="00DE5D68" w:rsidR="00AA58C1" w:rsidP="00C27D12" w:rsidRDefault="00AA58C1" w14:paraId="3BB13696" w14:textId="77777777">
      <w:pPr>
        <w:keepNext/>
        <w:rPr>
          <w:rFonts w:cs="Arial"/>
          <w:b/>
        </w:rPr>
      </w:pPr>
      <w:r w:rsidRPr="00DE5D68">
        <w:rPr>
          <w:rFonts w:cs="Arial"/>
          <w:b/>
        </w:rPr>
        <w:t>RISKS RELATING TO THE COMPANY</w:t>
      </w:r>
    </w:p>
    <w:p w:rsidRPr="00DE5D68" w:rsidR="00AA58C1" w:rsidP="00C27D12" w:rsidRDefault="00AA58C1" w14:paraId="1887F94D" w14:textId="09814F90">
      <w:pPr>
        <w:keepNext/>
        <w:rPr>
          <w:rFonts w:cs="Arial"/>
          <w:b/>
          <w:i/>
        </w:rPr>
      </w:pPr>
      <w:r w:rsidRPr="00DE5D68">
        <w:rPr>
          <w:rFonts w:cs="Arial"/>
          <w:b/>
          <w:i/>
        </w:rPr>
        <w:t>The Company is a newly</w:t>
      </w:r>
      <w:r w:rsidR="00F8472A">
        <w:rPr>
          <w:rFonts w:cs="Arial"/>
          <w:b/>
          <w:i/>
        </w:rPr>
        <w:t xml:space="preserve"> formed company with no</w:t>
      </w:r>
      <w:r w:rsidRPr="00DE5D68">
        <w:rPr>
          <w:rFonts w:cs="Arial"/>
          <w:b/>
          <w:i/>
        </w:rPr>
        <w:t xml:space="preserve"> operating history</w:t>
      </w:r>
    </w:p>
    <w:p w:rsidRPr="00DE5D68" w:rsidR="000A22B2" w:rsidP="00C27D12" w:rsidRDefault="00AA58C1" w14:paraId="253915FD" w14:textId="501B5559">
      <w:pPr>
        <w:rPr>
          <w:rFonts w:cs="Arial"/>
        </w:rPr>
      </w:pPr>
      <w:r w:rsidRPr="00DE5D68">
        <w:rPr>
          <w:rFonts w:cs="Arial"/>
        </w:rPr>
        <w:t xml:space="preserve">The Company was incorporated on </w:t>
      </w:r>
      <w:r w:rsidR="00AE31CD">
        <w:rPr>
          <w:rFonts w:cs="Arial"/>
        </w:rPr>
        <w:t xml:space="preserve">20 January </w:t>
      </w:r>
      <w:r w:rsidR="00811F5B">
        <w:rPr>
          <w:rFonts w:cs="Arial"/>
        </w:rPr>
        <w:t>202</w:t>
      </w:r>
      <w:r w:rsidR="00824CF6">
        <w:rPr>
          <w:rFonts w:cs="Arial"/>
        </w:rPr>
        <w:t>5</w:t>
      </w:r>
      <w:r w:rsidR="00821FCD">
        <w:rPr>
          <w:rFonts w:cs="Arial"/>
        </w:rPr>
        <w:t xml:space="preserve"> </w:t>
      </w:r>
      <w:r w:rsidRPr="00DE5D68">
        <w:rPr>
          <w:rFonts w:cs="Arial"/>
        </w:rPr>
        <w:t xml:space="preserve">and </w:t>
      </w:r>
      <w:r w:rsidR="00F8472A">
        <w:rPr>
          <w:rFonts w:cs="Arial"/>
        </w:rPr>
        <w:t>consequently has no</w:t>
      </w:r>
      <w:r w:rsidRPr="00DE5D68">
        <w:rPr>
          <w:rFonts w:cs="Arial"/>
        </w:rPr>
        <w:t xml:space="preserve"> operating h</w:t>
      </w:r>
      <w:r w:rsidR="00F8472A">
        <w:rPr>
          <w:rFonts w:cs="Arial"/>
        </w:rPr>
        <w:t>istory. As the Company lacks an</w:t>
      </w:r>
      <w:r w:rsidR="00821FCD">
        <w:rPr>
          <w:rFonts w:cs="Arial"/>
        </w:rPr>
        <w:t xml:space="preserve"> </w:t>
      </w:r>
      <w:r w:rsidRPr="00DE5D68">
        <w:rPr>
          <w:rFonts w:cs="Arial"/>
        </w:rPr>
        <w:t xml:space="preserve">operating history, investors have no basis on which to evaluate the Company’s ability to achieve its investment objective and provide a </w:t>
      </w:r>
      <w:r w:rsidR="007F577E">
        <w:rPr>
          <w:rFonts w:cs="Arial"/>
        </w:rPr>
        <w:t xml:space="preserve">satisfactory investment return. </w:t>
      </w:r>
      <w:r w:rsidRPr="00DE5D68">
        <w:rPr>
          <w:rFonts w:cs="Arial"/>
        </w:rPr>
        <w:t>There can be no assurance that the Company’s invest</w:t>
      </w:r>
      <w:r w:rsidR="000A22B2">
        <w:rPr>
          <w:rFonts w:cs="Arial"/>
        </w:rPr>
        <w:t xml:space="preserve">ment policy will be </w:t>
      </w:r>
      <w:r w:rsidR="006E74FD">
        <w:rPr>
          <w:rFonts w:cs="Arial"/>
        </w:rPr>
        <w:t>successful,</w:t>
      </w:r>
      <w:r w:rsidR="000A22B2">
        <w:rPr>
          <w:rFonts w:cs="Arial"/>
        </w:rPr>
        <w:t xml:space="preserve"> and </w:t>
      </w:r>
      <w:r w:rsidRPr="004E298B" w:rsidR="000A22B2">
        <w:rPr>
          <w:rFonts w:cs="Arial"/>
        </w:rPr>
        <w:t xml:space="preserve">this could have a material adverse </w:t>
      </w:r>
      <w:r w:rsidR="000A22B2">
        <w:rPr>
          <w:rFonts w:cs="Arial"/>
        </w:rPr>
        <w:t xml:space="preserve">effect on </w:t>
      </w:r>
      <w:r w:rsidRPr="004E298B" w:rsidR="000A22B2">
        <w:rPr>
          <w:rFonts w:cs="Arial"/>
        </w:rPr>
        <w:t xml:space="preserve">the Company's financial condition, business, prospects, and results of operations and, consequently, the Net Asset Value and/or the market price of the </w:t>
      </w:r>
      <w:r w:rsidR="000A22B2">
        <w:rPr>
          <w:rFonts w:cs="Arial"/>
        </w:rPr>
        <w:t xml:space="preserve">Ordinary </w:t>
      </w:r>
      <w:r w:rsidRPr="004E298B" w:rsidR="000A22B2">
        <w:rPr>
          <w:rFonts w:cs="Arial"/>
        </w:rPr>
        <w:t>Shares</w:t>
      </w:r>
      <w:r w:rsidR="00FC3FA6">
        <w:rPr>
          <w:rFonts w:cs="Arial"/>
        </w:rPr>
        <w:t>.</w:t>
      </w:r>
    </w:p>
    <w:p w:rsidRPr="00DE5D68" w:rsidR="00AA58C1" w:rsidP="00C27D12" w:rsidRDefault="00AA58C1" w14:paraId="70EF821D" w14:textId="77777777">
      <w:pPr>
        <w:keepNext/>
        <w:rPr>
          <w:rFonts w:cs="Arial"/>
          <w:b/>
          <w:i/>
        </w:rPr>
      </w:pPr>
      <w:r w:rsidRPr="00DE5D68">
        <w:rPr>
          <w:rFonts w:cs="Arial"/>
          <w:b/>
          <w:i/>
        </w:rPr>
        <w:t>Reliance on third party service providers</w:t>
      </w:r>
    </w:p>
    <w:p w:rsidRPr="00DE5D68" w:rsidR="00AA58C1" w:rsidP="00C27D12" w:rsidRDefault="00AA58C1" w14:paraId="4CFADAAC" w14:textId="103454B1">
      <w:pPr>
        <w:rPr>
          <w:rFonts w:cs="Arial"/>
        </w:rPr>
      </w:pPr>
      <w:r w:rsidRPr="00DE5D68">
        <w:rPr>
          <w:rFonts w:cs="Arial"/>
        </w:rPr>
        <w:t xml:space="preserve">The Company has no </w:t>
      </w:r>
      <w:r w:rsidRPr="00DE5D68" w:rsidR="006E74FD">
        <w:rPr>
          <w:rFonts w:cs="Arial"/>
        </w:rPr>
        <w:t>employees,</w:t>
      </w:r>
      <w:r w:rsidRPr="00DE5D68">
        <w:rPr>
          <w:rFonts w:cs="Arial"/>
        </w:rPr>
        <w:t xml:space="preserve"> and the Directors have all been appointed on a non-executive basis. The Company will be reliant upon the performance of </w:t>
      </w:r>
      <w:r w:rsidRPr="00DE5D68" w:rsidR="004C1C37">
        <w:rPr>
          <w:rFonts w:cs="Arial"/>
        </w:rPr>
        <w:t>third-party</w:t>
      </w:r>
      <w:r w:rsidRPr="00DE5D68">
        <w:rPr>
          <w:rFonts w:cs="Arial"/>
        </w:rPr>
        <w:t xml:space="preserve"> service providers for its executive function. In particular, the Investment Manager, the Administrator and the Registrar will be performing services which are integral to the operation of the Company.</w:t>
      </w:r>
      <w:r w:rsidR="006678AE">
        <w:rPr>
          <w:rFonts w:cs="Arial"/>
        </w:rPr>
        <w:t xml:space="preserve"> </w:t>
      </w:r>
      <w:r w:rsidRPr="00DE5D68" w:rsidR="00423D4E">
        <w:rPr>
          <w:rFonts w:cs="Arial"/>
        </w:rPr>
        <w:t xml:space="preserve">Failure by any </w:t>
      </w:r>
      <w:r w:rsidRPr="00DE5D68" w:rsidR="004C1C37">
        <w:rPr>
          <w:rFonts w:cs="Arial"/>
        </w:rPr>
        <w:t>third-party</w:t>
      </w:r>
      <w:r w:rsidRPr="00DE5D68" w:rsidR="00D11543">
        <w:rPr>
          <w:rFonts w:cs="Arial"/>
        </w:rPr>
        <w:t xml:space="preserve"> service provider to carry out its obligations in accordance with the terms of appointment, to exercise due care and skill, or to perform its obligations to the Company at all as a result of insolvency, bankruptcy or other causes could have a material adverse effect</w:t>
      </w:r>
      <w:r w:rsidR="006678AE">
        <w:rPr>
          <w:rFonts w:cs="Arial"/>
        </w:rPr>
        <w:t xml:space="preserve"> on the Company's performance. </w:t>
      </w:r>
      <w:r w:rsidRPr="00DE5D68" w:rsidR="00D11543">
        <w:rPr>
          <w:rFonts w:cs="Arial"/>
        </w:rPr>
        <w:t xml:space="preserve">To the extent that these </w:t>
      </w:r>
      <w:r w:rsidRPr="00DE5D68" w:rsidR="004C1C37">
        <w:rPr>
          <w:rFonts w:cs="Arial"/>
        </w:rPr>
        <w:t>third-party</w:t>
      </w:r>
      <w:r w:rsidRPr="00DE5D68" w:rsidR="00D11543">
        <w:rPr>
          <w:rFonts w:cs="Arial"/>
        </w:rPr>
        <w:t xml:space="preserve"> service providers are unable or unwilling to perform their contractual commitments, there is a risk of reputational damage to the Company or the Company will have to seek alternative contractors (or to perform such services itself) which coul</w:t>
      </w:r>
      <w:r w:rsidR="006678AE">
        <w:rPr>
          <w:rFonts w:cs="Arial"/>
        </w:rPr>
        <w:t xml:space="preserve">d be difficult or more costly. </w:t>
      </w:r>
      <w:r w:rsidRPr="00DE5D68" w:rsidR="00D11543">
        <w:rPr>
          <w:rFonts w:cs="Arial"/>
        </w:rPr>
        <w:t>The termination of the Company's relationships with any third</w:t>
      </w:r>
      <w:r w:rsidR="00053764">
        <w:rPr>
          <w:rFonts w:cs="Arial"/>
        </w:rPr>
        <w:t>-</w:t>
      </w:r>
      <w:r w:rsidRPr="00DE5D68" w:rsidR="00D11543">
        <w:rPr>
          <w:rFonts w:cs="Arial"/>
        </w:rPr>
        <w:t>party service provider or any delay in appointing a replacement for such service provider, could disrupt the business of the Company materially and could have a material adverse effect on the Company's</w:t>
      </w:r>
      <w:r w:rsidRPr="00311292" w:rsidR="00311292">
        <w:rPr>
          <w:rFonts w:cs="Arial"/>
        </w:rPr>
        <w:t xml:space="preserve"> </w:t>
      </w:r>
      <w:r w:rsidRPr="00DE5D68" w:rsidR="00311292">
        <w:rPr>
          <w:rFonts w:cs="Arial"/>
        </w:rPr>
        <w:t xml:space="preserve">financial condition, business, prospects, and results of operations and, consequently, the Net Asset Value and/or the market </w:t>
      </w:r>
      <w:r w:rsidRPr="00DE5D68" w:rsidR="00311292">
        <w:rPr>
          <w:rFonts w:cs="Arial"/>
        </w:rPr>
        <w:lastRenderedPageBreak/>
        <w:t xml:space="preserve">price of the </w:t>
      </w:r>
      <w:r w:rsidR="00811F5B">
        <w:rPr>
          <w:rFonts w:cs="Arial"/>
        </w:rPr>
        <w:t xml:space="preserve">Ordinary </w:t>
      </w:r>
      <w:r w:rsidRPr="00DE5D68" w:rsidR="00311292">
        <w:rPr>
          <w:rFonts w:cs="Arial"/>
        </w:rPr>
        <w:t>Shares</w:t>
      </w:r>
      <w:r w:rsidRPr="00DE5D68" w:rsidR="009A3B74">
        <w:rPr>
          <w:rFonts w:cs="Arial"/>
        </w:rPr>
        <w:t xml:space="preserve">. </w:t>
      </w:r>
      <w:r w:rsidRPr="00DE5D68" w:rsidR="00D11543">
        <w:rPr>
          <w:rFonts w:cs="Arial"/>
        </w:rPr>
        <w:t xml:space="preserve">Further, misconduct or misrepresentations by employees of the </w:t>
      </w:r>
      <w:r w:rsidRPr="00DE5D68" w:rsidR="004C1C37">
        <w:rPr>
          <w:rFonts w:cs="Arial"/>
        </w:rPr>
        <w:t>third-party</w:t>
      </w:r>
      <w:r w:rsidRPr="00DE5D68" w:rsidR="00D11543">
        <w:rPr>
          <w:rFonts w:cs="Arial"/>
        </w:rPr>
        <w:t xml:space="preserve"> service providers could cause significant losses to the Company.</w:t>
      </w:r>
      <w:r w:rsidRPr="00DE5D68" w:rsidR="00423D4E">
        <w:rPr>
          <w:rFonts w:cs="Arial"/>
        </w:rPr>
        <w:t xml:space="preserve"> </w:t>
      </w:r>
    </w:p>
    <w:p w:rsidRPr="00DE5D68" w:rsidR="00AA58C1" w:rsidP="00C27D12" w:rsidRDefault="00AA58C1" w14:paraId="26E67662" w14:textId="17BBC589">
      <w:pPr>
        <w:keepNext/>
        <w:rPr>
          <w:rFonts w:cs="Arial"/>
          <w:b/>
        </w:rPr>
      </w:pPr>
      <w:r w:rsidRPr="00DE5D68">
        <w:rPr>
          <w:rFonts w:cs="Arial"/>
          <w:b/>
        </w:rPr>
        <w:t xml:space="preserve">RISKS RELATING TO AN INVESTMENT IN THE </w:t>
      </w:r>
      <w:r w:rsidR="00811F5B">
        <w:rPr>
          <w:rFonts w:cs="Arial"/>
          <w:b/>
        </w:rPr>
        <w:t xml:space="preserve">ORDINARY </w:t>
      </w:r>
      <w:r w:rsidRPr="00DE5D68">
        <w:rPr>
          <w:rFonts w:cs="Arial"/>
          <w:b/>
        </w:rPr>
        <w:t>SHARES</w:t>
      </w:r>
    </w:p>
    <w:p w:rsidRPr="00DE5D68" w:rsidR="00AA58C1" w:rsidP="00C27D12" w:rsidRDefault="00AA58C1" w14:paraId="72584379" w14:textId="7E54B99C">
      <w:pPr>
        <w:keepNext/>
        <w:rPr>
          <w:rFonts w:cs="Arial"/>
          <w:b/>
          <w:i/>
        </w:rPr>
      </w:pPr>
      <w:r w:rsidRPr="00DE5D68">
        <w:rPr>
          <w:rFonts w:cs="Arial"/>
          <w:b/>
          <w:i/>
        </w:rPr>
        <w:t xml:space="preserve">The </w:t>
      </w:r>
      <w:r w:rsidR="00811F5B">
        <w:rPr>
          <w:rFonts w:cs="Arial"/>
          <w:b/>
          <w:i/>
        </w:rPr>
        <w:t xml:space="preserve">Ordinary </w:t>
      </w:r>
      <w:r w:rsidRPr="00DE5D68">
        <w:rPr>
          <w:rFonts w:cs="Arial"/>
          <w:b/>
          <w:i/>
        </w:rPr>
        <w:t xml:space="preserve">Shares may trade at a discount to </w:t>
      </w:r>
      <w:r w:rsidR="00D96531">
        <w:rPr>
          <w:rFonts w:cs="Arial"/>
          <w:b/>
          <w:i/>
        </w:rPr>
        <w:t xml:space="preserve">the relevant </w:t>
      </w:r>
      <w:r w:rsidRPr="00DE5D68">
        <w:rPr>
          <w:rFonts w:cs="Arial"/>
          <w:b/>
          <w:i/>
        </w:rPr>
        <w:t>Net Asset Value</w:t>
      </w:r>
      <w:r w:rsidR="00D96531">
        <w:rPr>
          <w:rFonts w:cs="Arial"/>
          <w:b/>
          <w:i/>
        </w:rPr>
        <w:t xml:space="preserve"> per </w:t>
      </w:r>
      <w:r w:rsidR="00811F5B">
        <w:rPr>
          <w:rFonts w:cs="Arial"/>
          <w:b/>
          <w:i/>
        </w:rPr>
        <w:t xml:space="preserve">Ordinary </w:t>
      </w:r>
      <w:r w:rsidR="00D96531">
        <w:rPr>
          <w:rFonts w:cs="Arial"/>
          <w:b/>
          <w:i/>
        </w:rPr>
        <w:t>Share</w:t>
      </w:r>
    </w:p>
    <w:p w:rsidRPr="00DE5D68" w:rsidR="00AA58C1" w:rsidP="00C27D12" w:rsidRDefault="00AA58C1" w14:paraId="3F2169CD" w14:textId="1BED1571">
      <w:pPr>
        <w:rPr>
          <w:rFonts w:cs="Arial"/>
        </w:rPr>
      </w:pPr>
      <w:r w:rsidRPr="00DE5D68">
        <w:rPr>
          <w:rFonts w:cs="Arial"/>
        </w:rPr>
        <w:t xml:space="preserve">The price at which the </w:t>
      </w:r>
      <w:r w:rsidR="00BC04CE">
        <w:rPr>
          <w:rFonts w:cs="Arial"/>
        </w:rPr>
        <w:t xml:space="preserve">Ordinary </w:t>
      </w:r>
      <w:r w:rsidRPr="00DE5D68">
        <w:rPr>
          <w:rFonts w:cs="Arial"/>
        </w:rPr>
        <w:t>Shares trade will likely not be the same as their Net Asset Value</w:t>
      </w:r>
      <w:r w:rsidR="00D96531">
        <w:rPr>
          <w:rFonts w:cs="Arial"/>
        </w:rPr>
        <w:t xml:space="preserve"> per </w:t>
      </w:r>
      <w:r w:rsidR="00BC04CE">
        <w:rPr>
          <w:rFonts w:cs="Arial"/>
        </w:rPr>
        <w:t xml:space="preserve">Ordinary </w:t>
      </w:r>
      <w:r w:rsidR="00D96531">
        <w:rPr>
          <w:rFonts w:cs="Arial"/>
        </w:rPr>
        <w:t>Share</w:t>
      </w:r>
      <w:r w:rsidRPr="00DE5D68">
        <w:rPr>
          <w:rFonts w:cs="Arial"/>
        </w:rPr>
        <w:t xml:space="preserve"> (although they are related). The shares of investment companies </w:t>
      </w:r>
      <w:proofErr w:type="gramStart"/>
      <w:r w:rsidRPr="00DE5D68">
        <w:rPr>
          <w:rFonts w:cs="Arial"/>
        </w:rPr>
        <w:t>have a tendency to</w:t>
      </w:r>
      <w:proofErr w:type="gramEnd"/>
      <w:r w:rsidRPr="00DE5D68">
        <w:rPr>
          <w:rFonts w:cs="Arial"/>
        </w:rPr>
        <w:t xml:space="preserve"> trade at a discount to their </w:t>
      </w:r>
      <w:r w:rsidR="00D96531">
        <w:rPr>
          <w:rFonts w:cs="Arial"/>
        </w:rPr>
        <w:t>net asset v</w:t>
      </w:r>
      <w:r w:rsidRPr="00DE5D68" w:rsidR="000C0D70">
        <w:rPr>
          <w:rFonts w:cs="Arial"/>
        </w:rPr>
        <w:t>alue</w:t>
      </w:r>
      <w:r w:rsidR="005C0CAB">
        <w:rPr>
          <w:rFonts w:cs="Arial"/>
        </w:rPr>
        <w:t xml:space="preserve"> and the </w:t>
      </w:r>
      <w:r w:rsidR="00BC04CE">
        <w:rPr>
          <w:rFonts w:cs="Arial"/>
        </w:rPr>
        <w:t xml:space="preserve">Ordinary </w:t>
      </w:r>
      <w:r w:rsidRPr="00DE5D68">
        <w:rPr>
          <w:rFonts w:cs="Arial"/>
        </w:rPr>
        <w:t xml:space="preserve">Shares could in future trade at a discount to their Net Asset Value </w:t>
      </w:r>
      <w:r w:rsidR="00D96531">
        <w:rPr>
          <w:rFonts w:cs="Arial"/>
        </w:rPr>
        <w:t xml:space="preserve">per </w:t>
      </w:r>
      <w:r w:rsidR="00BC04CE">
        <w:rPr>
          <w:rFonts w:cs="Arial"/>
        </w:rPr>
        <w:t xml:space="preserve">Ordinary </w:t>
      </w:r>
      <w:r w:rsidR="00D96531">
        <w:rPr>
          <w:rFonts w:cs="Arial"/>
        </w:rPr>
        <w:t xml:space="preserve">Share </w:t>
      </w:r>
      <w:r w:rsidRPr="00DE5D68">
        <w:rPr>
          <w:rFonts w:cs="Arial"/>
        </w:rPr>
        <w:t xml:space="preserve">for a variety of reasons, including due to market conditions or an imbalance between supply and demand for the </w:t>
      </w:r>
      <w:r w:rsidR="00BC04CE">
        <w:rPr>
          <w:rFonts w:cs="Arial"/>
        </w:rPr>
        <w:t xml:space="preserve">Ordinary </w:t>
      </w:r>
      <w:r w:rsidRPr="00DE5D68">
        <w:rPr>
          <w:rFonts w:cs="Arial"/>
        </w:rPr>
        <w:t>Shares. While the Directors may seek to mitigate any discount to N</w:t>
      </w:r>
      <w:r w:rsidRPr="00DE5D68" w:rsidR="00C06FA7">
        <w:rPr>
          <w:rFonts w:cs="Arial"/>
        </w:rPr>
        <w:t xml:space="preserve">et </w:t>
      </w:r>
      <w:r w:rsidRPr="00DE5D68">
        <w:rPr>
          <w:rFonts w:cs="Arial"/>
        </w:rPr>
        <w:t>A</w:t>
      </w:r>
      <w:r w:rsidRPr="00DE5D68" w:rsidR="00C06FA7">
        <w:rPr>
          <w:rFonts w:cs="Arial"/>
        </w:rPr>
        <w:t xml:space="preserve">sset Value per </w:t>
      </w:r>
      <w:r w:rsidR="00BC04CE">
        <w:rPr>
          <w:rFonts w:cs="Arial"/>
        </w:rPr>
        <w:t xml:space="preserve">Ordinary </w:t>
      </w:r>
      <w:r w:rsidRPr="00DE5D68">
        <w:rPr>
          <w:rFonts w:cs="Arial"/>
        </w:rPr>
        <w:t xml:space="preserve">Share through such discount management mechanisms as they consider appropriate, there can be no guarantee that they will do so or that such mechanisms will be successful. As a result of this, investors that dispose of their interests in the secondary market may realise returns that are lower than they would have realised if an amount equivalent to the Net Asset Value </w:t>
      </w:r>
      <w:r w:rsidR="00D96531">
        <w:rPr>
          <w:rFonts w:cs="Arial"/>
        </w:rPr>
        <w:t xml:space="preserve">per </w:t>
      </w:r>
      <w:r w:rsidR="00BC04CE">
        <w:rPr>
          <w:rFonts w:cs="Arial"/>
        </w:rPr>
        <w:t xml:space="preserve">Ordinary </w:t>
      </w:r>
      <w:r w:rsidR="00D96531">
        <w:rPr>
          <w:rFonts w:cs="Arial"/>
        </w:rPr>
        <w:t xml:space="preserve">Share </w:t>
      </w:r>
      <w:r w:rsidRPr="00DE5D68">
        <w:rPr>
          <w:rFonts w:cs="Arial"/>
        </w:rPr>
        <w:t>was distributed.</w:t>
      </w:r>
    </w:p>
    <w:p w:rsidRPr="00DE5D68" w:rsidR="00AA58C1" w:rsidP="00C27D12" w:rsidRDefault="00AA58C1" w14:paraId="7FE4A639" w14:textId="6E383227">
      <w:pPr>
        <w:keepNext/>
        <w:rPr>
          <w:rFonts w:cs="Arial"/>
          <w:b/>
          <w:i/>
        </w:rPr>
      </w:pPr>
      <w:r w:rsidRPr="00DE5D68">
        <w:rPr>
          <w:rFonts w:cs="Arial"/>
          <w:b/>
          <w:i/>
        </w:rPr>
        <w:t xml:space="preserve">The price that can be realised for </w:t>
      </w:r>
      <w:r w:rsidR="00BC04CE">
        <w:rPr>
          <w:rFonts w:cs="Arial"/>
          <w:b/>
          <w:i/>
        </w:rPr>
        <w:t xml:space="preserve">Ordinary </w:t>
      </w:r>
      <w:r w:rsidRPr="00DE5D68">
        <w:rPr>
          <w:rFonts w:cs="Arial"/>
          <w:b/>
          <w:i/>
        </w:rPr>
        <w:t>Shares can be subject to market fluctuations</w:t>
      </w:r>
    </w:p>
    <w:p w:rsidRPr="00DE5D68" w:rsidR="00AA58C1" w:rsidP="00C27D12" w:rsidRDefault="00AA58C1" w14:paraId="01C9E73A" w14:textId="38ECC42E">
      <w:pPr>
        <w:rPr>
          <w:rFonts w:cs="Arial"/>
        </w:rPr>
      </w:pPr>
      <w:r w:rsidRPr="00DE5D68">
        <w:rPr>
          <w:rFonts w:cs="Arial"/>
        </w:rPr>
        <w:t xml:space="preserve">Shareholders may not recover the full amount initially invested, or any amount at all. The market price of the </w:t>
      </w:r>
      <w:r w:rsidR="00BC04CE">
        <w:rPr>
          <w:rFonts w:cs="Arial"/>
        </w:rPr>
        <w:t>Ordinary</w:t>
      </w:r>
      <w:r w:rsidRPr="00DE5D68" w:rsidR="00BC04CE">
        <w:rPr>
          <w:rFonts w:cs="Arial"/>
        </w:rPr>
        <w:t xml:space="preserve"> </w:t>
      </w:r>
      <w:r w:rsidRPr="00DE5D68">
        <w:rPr>
          <w:rFonts w:cs="Arial"/>
        </w:rPr>
        <w:t xml:space="preserve">Shares may fluctuate significantly and Shareholders may not be able to sell their </w:t>
      </w:r>
      <w:r w:rsidR="00BC04CE">
        <w:rPr>
          <w:rFonts w:cs="Arial"/>
        </w:rPr>
        <w:t>Ordinary</w:t>
      </w:r>
      <w:r w:rsidRPr="00DE5D68" w:rsidR="00BC04CE">
        <w:rPr>
          <w:rFonts w:cs="Arial"/>
        </w:rPr>
        <w:t xml:space="preserve"> </w:t>
      </w:r>
      <w:r w:rsidRPr="00DE5D68">
        <w:rPr>
          <w:rFonts w:cs="Arial"/>
        </w:rPr>
        <w:t>Shares at or above the price at which they purchased them. Factors t</w:t>
      </w:r>
      <w:r w:rsidR="005C0CAB">
        <w:rPr>
          <w:rFonts w:cs="Arial"/>
        </w:rPr>
        <w:t xml:space="preserve">hat may cause the price of the </w:t>
      </w:r>
      <w:r w:rsidR="00BC04CE">
        <w:rPr>
          <w:rFonts w:cs="Arial"/>
        </w:rPr>
        <w:t>Ordinary</w:t>
      </w:r>
      <w:r w:rsidRPr="00DE5D68" w:rsidR="00BC04CE">
        <w:rPr>
          <w:rFonts w:cs="Arial"/>
        </w:rPr>
        <w:t xml:space="preserve"> </w:t>
      </w:r>
      <w:r w:rsidRPr="00DE5D68">
        <w:rPr>
          <w:rFonts w:cs="Arial"/>
        </w:rPr>
        <w:t xml:space="preserve">Shares to vary include those detailed in the risk disclosures made in </w:t>
      </w:r>
      <w:r w:rsidRPr="00DE5D68" w:rsidR="004F4CF8">
        <w:rPr>
          <w:rFonts w:cs="Arial"/>
        </w:rPr>
        <w:t>this document</w:t>
      </w:r>
      <w:r w:rsidR="005C0CAB">
        <w:rPr>
          <w:rFonts w:cs="Arial"/>
        </w:rPr>
        <w:t>, such as:</w:t>
      </w:r>
      <w:r w:rsidRPr="00DE5D68">
        <w:rPr>
          <w:rFonts w:cs="Arial"/>
        </w:rPr>
        <w:t xml:space="preserve"> changes in the Company’s financial performance and prospects, or in the financial performance and market prospects of the </w:t>
      </w:r>
      <w:r w:rsidRPr="00DE5D68" w:rsidR="009532AF">
        <w:rPr>
          <w:rFonts w:cs="Arial"/>
        </w:rPr>
        <w:t>assets</w:t>
      </w:r>
      <w:r w:rsidRPr="00DE5D68">
        <w:rPr>
          <w:rFonts w:cs="Arial"/>
        </w:rPr>
        <w:t xml:space="preserve"> </w:t>
      </w:r>
      <w:r w:rsidRPr="00DE5D68" w:rsidR="00113153">
        <w:rPr>
          <w:rFonts w:cs="Arial"/>
        </w:rPr>
        <w:t>in which the Company invests</w:t>
      </w:r>
      <w:r w:rsidRPr="00DE5D68">
        <w:rPr>
          <w:rFonts w:cs="Arial"/>
        </w:rPr>
        <w:t xml:space="preserve">; the termination of the Investment Management Agreement or the departure of some or all of the Investment Manager’s key investment professionals; changes in or new interpretations or applications of laws and regulations that are applicable to the Company’s business or to the companies in which the Company makes investments; sales of </w:t>
      </w:r>
      <w:r w:rsidR="00BC04CE">
        <w:rPr>
          <w:rFonts w:cs="Arial"/>
        </w:rPr>
        <w:t>Ordinary</w:t>
      </w:r>
      <w:r w:rsidRPr="00DE5D68" w:rsidR="00BC04CE">
        <w:rPr>
          <w:rFonts w:cs="Arial"/>
        </w:rPr>
        <w:t xml:space="preserve"> </w:t>
      </w:r>
      <w:r w:rsidRPr="00DE5D68">
        <w:rPr>
          <w:rFonts w:cs="Arial"/>
        </w:rPr>
        <w:t>Shares by Shareholders; general economic trends and other external factors; poor performance in any of the Investment Manager’s activities or any event that affects the Company’s, the Invest</w:t>
      </w:r>
      <w:r w:rsidR="00BC04CE">
        <w:rPr>
          <w:rFonts w:cs="Arial"/>
        </w:rPr>
        <w:t>ment Manager’s or any portfolio c</w:t>
      </w:r>
      <w:r w:rsidRPr="00DE5D68">
        <w:rPr>
          <w:rFonts w:cs="Arial"/>
        </w:rPr>
        <w:t xml:space="preserve">ompany’s reputation; and speculation in the press or investment community regarding the Company’s or the Investment Manager’s business or the </w:t>
      </w:r>
      <w:r w:rsidRPr="00DE5D68" w:rsidR="009532AF">
        <w:rPr>
          <w:rFonts w:cs="Arial"/>
        </w:rPr>
        <w:t>assets</w:t>
      </w:r>
      <w:r w:rsidRPr="00DE5D68">
        <w:rPr>
          <w:rFonts w:cs="Arial"/>
        </w:rPr>
        <w:t xml:space="preserve"> or factors or events that may directly or indirectly affect the Company’s or Investment Manager’s business or any of the </w:t>
      </w:r>
      <w:r w:rsidRPr="00DE5D68" w:rsidR="009532AF">
        <w:rPr>
          <w:rFonts w:cs="Arial"/>
        </w:rPr>
        <w:t>assets</w:t>
      </w:r>
      <w:r w:rsidRPr="00DE5D68">
        <w:rPr>
          <w:rFonts w:cs="Arial"/>
        </w:rPr>
        <w:t>.</w:t>
      </w:r>
    </w:p>
    <w:p w:rsidRPr="00DE5D68" w:rsidR="00AA58C1" w:rsidP="00C27D12" w:rsidRDefault="00AA58C1" w14:paraId="39B83BC4" w14:textId="093F80AE">
      <w:pPr>
        <w:rPr>
          <w:rFonts w:cs="Arial"/>
        </w:rPr>
      </w:pPr>
      <w:r w:rsidRPr="00DE5D68">
        <w:rPr>
          <w:rFonts w:cs="Arial"/>
        </w:rPr>
        <w:t xml:space="preserve">Securities markets in general have experienced extreme volatility that has often been unrelated to the operating performance or fundamentals of particular companies. Market fluctuations may adversely affect the trading price of the </w:t>
      </w:r>
      <w:r w:rsidR="00BC04CE">
        <w:rPr>
          <w:rFonts w:cs="Arial"/>
        </w:rPr>
        <w:t>Ordinary</w:t>
      </w:r>
      <w:r w:rsidRPr="00DE5D68" w:rsidR="00BC04CE">
        <w:rPr>
          <w:rFonts w:cs="Arial"/>
        </w:rPr>
        <w:t xml:space="preserve"> </w:t>
      </w:r>
      <w:r w:rsidRPr="00DE5D68">
        <w:rPr>
          <w:rFonts w:cs="Arial"/>
        </w:rPr>
        <w:t xml:space="preserve">Shares. Furthermore, potential investors should be aware that a liquid secondary market in the </w:t>
      </w:r>
      <w:r w:rsidR="00BC04CE">
        <w:rPr>
          <w:rFonts w:cs="Arial"/>
        </w:rPr>
        <w:t>Ordinary</w:t>
      </w:r>
      <w:r w:rsidRPr="00DE5D68" w:rsidR="00BC04CE">
        <w:rPr>
          <w:rFonts w:cs="Arial"/>
        </w:rPr>
        <w:t xml:space="preserve"> </w:t>
      </w:r>
      <w:r w:rsidRPr="00DE5D68">
        <w:rPr>
          <w:rFonts w:cs="Arial"/>
        </w:rPr>
        <w:t>Shares cannot be assured.</w:t>
      </w:r>
    </w:p>
    <w:p w:rsidRPr="00DE5D68" w:rsidR="00AA58C1" w:rsidP="00C27D12" w:rsidRDefault="00AA58C1" w14:paraId="6BD9A1AC" w14:textId="6C12026F">
      <w:pPr>
        <w:rPr>
          <w:rFonts w:cs="Arial"/>
        </w:rPr>
      </w:pPr>
      <w:r w:rsidRPr="00DE5D68">
        <w:rPr>
          <w:rFonts w:cs="Arial"/>
        </w:rPr>
        <w:t xml:space="preserve">As with any investment, the share price of the </w:t>
      </w:r>
      <w:r w:rsidR="00BC04CE">
        <w:rPr>
          <w:rFonts w:cs="Arial"/>
        </w:rPr>
        <w:t>Ordinary</w:t>
      </w:r>
      <w:r w:rsidRPr="00DE5D68" w:rsidR="00BC04CE">
        <w:rPr>
          <w:rFonts w:cs="Arial"/>
        </w:rPr>
        <w:t xml:space="preserve"> </w:t>
      </w:r>
      <w:r w:rsidRPr="00DE5D68">
        <w:rPr>
          <w:rFonts w:cs="Arial"/>
        </w:rPr>
        <w:t>Shares may fall in value with the maximum loss on such investments being equal to the value of the initial investment and, where relevant, any gains or subsequent investments made.</w:t>
      </w:r>
    </w:p>
    <w:p w:rsidRPr="00DE5D68" w:rsidR="00AA58C1" w:rsidP="00C27D12" w:rsidRDefault="00AA58C1" w14:paraId="171C41AB" w14:textId="51BF9C42">
      <w:pPr>
        <w:keepNext/>
        <w:rPr>
          <w:rFonts w:cs="Arial"/>
          <w:b/>
          <w:i/>
        </w:rPr>
      </w:pPr>
      <w:r w:rsidRPr="00DE5D68">
        <w:rPr>
          <w:rFonts w:cs="Arial"/>
          <w:b/>
          <w:i/>
        </w:rPr>
        <w:t xml:space="preserve">There may not be a liquid market in the </w:t>
      </w:r>
      <w:r w:rsidR="005C0CAB">
        <w:rPr>
          <w:rFonts w:cs="Arial"/>
          <w:b/>
          <w:i/>
        </w:rPr>
        <w:t xml:space="preserve">Ordinary </w:t>
      </w:r>
      <w:r w:rsidRPr="00DE5D68">
        <w:rPr>
          <w:rFonts w:cs="Arial"/>
          <w:b/>
          <w:i/>
        </w:rPr>
        <w:t xml:space="preserve">Shares </w:t>
      </w:r>
    </w:p>
    <w:p w:rsidRPr="000F6F85" w:rsidR="000F6F85" w:rsidP="000F6F85" w:rsidRDefault="006678AE" w14:paraId="332778F3" w14:textId="4DC064C1">
      <w:pPr>
        <w:rPr>
          <w:rFonts w:cs="Arial"/>
        </w:rPr>
      </w:pPr>
      <w:r>
        <w:rPr>
          <w:rFonts w:cs="Arial"/>
        </w:rPr>
        <w:t xml:space="preserve">Initial </w:t>
      </w:r>
      <w:r w:rsidRPr="00DE5D68" w:rsidR="00AA58C1">
        <w:rPr>
          <w:rFonts w:cs="Arial"/>
        </w:rPr>
        <w:t xml:space="preserve">Admission should not be taken as implying that there will be an active and liquid market for the </w:t>
      </w:r>
      <w:r w:rsidR="005C0CAB">
        <w:rPr>
          <w:rFonts w:cs="Arial"/>
        </w:rPr>
        <w:t xml:space="preserve">Ordinary </w:t>
      </w:r>
      <w:r w:rsidRPr="00DE5D68" w:rsidR="00AA58C1">
        <w:rPr>
          <w:rFonts w:cs="Arial"/>
        </w:rPr>
        <w:t xml:space="preserve">Shares. </w:t>
      </w:r>
      <w:r w:rsidR="00DF5FE0">
        <w:rPr>
          <w:rFonts w:cs="Arial"/>
        </w:rPr>
        <w:t>T</w:t>
      </w:r>
      <w:r w:rsidRPr="00DE5D68" w:rsidR="00AA58C1">
        <w:rPr>
          <w:rFonts w:cs="Arial"/>
        </w:rPr>
        <w:t xml:space="preserve">here may, on </w:t>
      </w:r>
      <w:r w:rsidR="005C0CAB">
        <w:rPr>
          <w:rFonts w:cs="Arial"/>
        </w:rPr>
        <w:t xml:space="preserve">Initial </w:t>
      </w:r>
      <w:r w:rsidRPr="00DE5D68" w:rsidR="00AA58C1">
        <w:rPr>
          <w:rFonts w:cs="Arial"/>
        </w:rPr>
        <w:t xml:space="preserve">Admission, be a limited number of holders of such </w:t>
      </w:r>
      <w:r w:rsidR="005C0CAB">
        <w:rPr>
          <w:rFonts w:cs="Arial"/>
        </w:rPr>
        <w:t xml:space="preserve">Ordinary </w:t>
      </w:r>
      <w:r w:rsidRPr="00DE5D68" w:rsidR="00AA58C1">
        <w:rPr>
          <w:rFonts w:cs="Arial"/>
        </w:rPr>
        <w:t xml:space="preserve">Shares. Limited numbers and/or holders of such </w:t>
      </w:r>
      <w:r w:rsidR="005C0CAB">
        <w:rPr>
          <w:rFonts w:cs="Arial"/>
        </w:rPr>
        <w:t xml:space="preserve">Ordinary </w:t>
      </w:r>
      <w:r w:rsidRPr="00DE5D68" w:rsidR="00AA58C1">
        <w:rPr>
          <w:rFonts w:cs="Arial"/>
        </w:rPr>
        <w:t xml:space="preserve">Shares may mean that there is limited liquidity in such </w:t>
      </w:r>
      <w:r w:rsidR="005C0CAB">
        <w:rPr>
          <w:rFonts w:cs="Arial"/>
        </w:rPr>
        <w:t xml:space="preserve">Ordinary </w:t>
      </w:r>
      <w:r w:rsidRPr="00DE5D68" w:rsidR="00AA58C1">
        <w:rPr>
          <w:rFonts w:cs="Arial"/>
        </w:rPr>
        <w:t>Shares, which may affect: (</w:t>
      </w:r>
      <w:proofErr w:type="spellStart"/>
      <w:r w:rsidRPr="00DE5D68" w:rsidR="00AA58C1">
        <w:rPr>
          <w:rFonts w:cs="Arial"/>
        </w:rPr>
        <w:t>i</w:t>
      </w:r>
      <w:proofErr w:type="spellEnd"/>
      <w:r w:rsidRPr="00DE5D68" w:rsidR="00AA58C1">
        <w:rPr>
          <w:rFonts w:cs="Arial"/>
        </w:rPr>
        <w:t xml:space="preserve">) an investor’s ability to realise some or all of their investment; and/or (ii) the price at which such investor can effect such realisation; and/or (iii) the price at which such </w:t>
      </w:r>
      <w:r w:rsidR="005C0CAB">
        <w:rPr>
          <w:rFonts w:cs="Arial"/>
        </w:rPr>
        <w:t xml:space="preserve">Ordinary </w:t>
      </w:r>
      <w:r w:rsidRPr="00DE5D68" w:rsidR="00AA58C1">
        <w:rPr>
          <w:rFonts w:cs="Arial"/>
        </w:rPr>
        <w:t>Shares trade in the secondary market.</w:t>
      </w:r>
      <w:r w:rsidR="00384DBF">
        <w:rPr>
          <w:rFonts w:cs="Arial"/>
        </w:rPr>
        <w:t xml:space="preserve"> </w:t>
      </w:r>
      <w:r w:rsidRPr="000F6F85" w:rsidR="000F6F85">
        <w:rPr>
          <w:rFonts w:cs="Arial"/>
        </w:rPr>
        <w:t xml:space="preserve">Shareholders should </w:t>
      </w:r>
      <w:r w:rsidR="000F6F85">
        <w:rPr>
          <w:rFonts w:cs="Arial"/>
        </w:rPr>
        <w:t xml:space="preserve">also </w:t>
      </w:r>
      <w:r w:rsidRPr="000F6F85" w:rsidR="000F6F85">
        <w:rPr>
          <w:rFonts w:cs="Arial"/>
        </w:rPr>
        <w:t>be aware that the operation of the Redempti</w:t>
      </w:r>
      <w:r w:rsidR="000F6F85">
        <w:rPr>
          <w:rFonts w:cs="Arial"/>
        </w:rPr>
        <w:t xml:space="preserve">on Mechanism may </w:t>
      </w:r>
      <w:r w:rsidRPr="000F6F85" w:rsidR="000F6F85">
        <w:rPr>
          <w:rFonts w:cs="Arial"/>
        </w:rPr>
        <w:t xml:space="preserve">adversely affect the secondary market liquidity of the </w:t>
      </w:r>
      <w:r w:rsidR="000F6F85">
        <w:rPr>
          <w:rFonts w:cs="Arial"/>
        </w:rPr>
        <w:t>Ordinary Shares as such redemptions will have the effect of reducing the Company's issued share capital</w:t>
      </w:r>
      <w:r w:rsidRPr="000F6F85" w:rsidR="000F6F85">
        <w:rPr>
          <w:rFonts w:cs="Arial"/>
        </w:rPr>
        <w:t>.</w:t>
      </w:r>
    </w:p>
    <w:p w:rsidRPr="00DE5D68" w:rsidR="00AA58C1" w:rsidP="000F6F85" w:rsidRDefault="00AA58C1" w14:paraId="0F9F9891" w14:textId="33C5BAB5">
      <w:pPr>
        <w:rPr>
          <w:rFonts w:cs="Arial"/>
          <w:b/>
          <w:i/>
        </w:rPr>
      </w:pPr>
      <w:r w:rsidRPr="00DE5D68">
        <w:rPr>
          <w:rFonts w:cs="Arial"/>
          <w:b/>
          <w:i/>
        </w:rPr>
        <w:t>Securities quoted on the Specialist Fund Segment may experience higher volatility and carry greater risks than those list</w:t>
      </w:r>
      <w:r w:rsidR="00ED4D7A">
        <w:rPr>
          <w:rFonts w:cs="Arial"/>
          <w:b/>
          <w:i/>
        </w:rPr>
        <w:t>ed on the Official List</w:t>
      </w:r>
    </w:p>
    <w:p w:rsidRPr="00DE5D68" w:rsidR="00AA58C1" w:rsidP="00C27D12" w:rsidRDefault="00AA58C1" w14:paraId="78ACAA6B" w14:textId="43986F32">
      <w:pPr>
        <w:rPr>
          <w:rFonts w:cs="Arial"/>
        </w:rPr>
      </w:pPr>
      <w:r w:rsidRPr="00DE5D68">
        <w:rPr>
          <w:rFonts w:cs="Arial"/>
        </w:rPr>
        <w:t xml:space="preserve">Investment in shares traded on the Specialist Fund Segment may have limited liquidity and may experience greater price volatility than shares listed on the </w:t>
      </w:r>
      <w:r w:rsidRPr="00DE5D68" w:rsidR="00A7202F">
        <w:rPr>
          <w:rFonts w:cs="Arial"/>
        </w:rPr>
        <w:t>Official List</w:t>
      </w:r>
      <w:r w:rsidRPr="00DE5D68">
        <w:rPr>
          <w:rFonts w:cs="Arial"/>
        </w:rPr>
        <w:t xml:space="preserve">. Limited liquidity and high price volatility may result in Shareholders being unable to sell their </w:t>
      </w:r>
      <w:r w:rsidR="00BC04CE">
        <w:rPr>
          <w:rFonts w:cs="Arial"/>
        </w:rPr>
        <w:t>Ordinary</w:t>
      </w:r>
      <w:r w:rsidRPr="00DE5D68" w:rsidR="00BC04CE">
        <w:rPr>
          <w:rFonts w:cs="Arial"/>
        </w:rPr>
        <w:t xml:space="preserve"> </w:t>
      </w:r>
      <w:r w:rsidRPr="00DE5D68">
        <w:rPr>
          <w:rFonts w:cs="Arial"/>
        </w:rPr>
        <w:t>Shares at a price that would result in them recovering their original investment.</w:t>
      </w:r>
    </w:p>
    <w:p w:rsidRPr="00DE5D68" w:rsidR="00C77B8E" w:rsidP="00C27D12" w:rsidRDefault="00C77B8E" w14:paraId="14DCBB0C" w14:textId="3198C953">
      <w:pPr>
        <w:rPr>
          <w:rFonts w:cs="Arial"/>
          <w:b/>
          <w:i/>
        </w:rPr>
      </w:pPr>
      <w:r w:rsidRPr="00DE5D68">
        <w:rPr>
          <w:rFonts w:cs="Arial"/>
          <w:b/>
          <w:i/>
        </w:rPr>
        <w:lastRenderedPageBreak/>
        <w:t>The Company may in the future issue new equity, which may dilute Shareholders’ equity</w:t>
      </w:r>
    </w:p>
    <w:p w:rsidRPr="00DE5D68" w:rsidR="00502E39" w:rsidP="00C27D12" w:rsidRDefault="00C77B8E" w14:paraId="7E46D8D2" w14:textId="1C117BAF">
      <w:pPr>
        <w:rPr>
          <w:rFonts w:cs="Arial"/>
        </w:rPr>
      </w:pPr>
      <w:r w:rsidRPr="00DE5D68">
        <w:rPr>
          <w:rFonts w:cs="Arial"/>
        </w:rPr>
        <w:t xml:space="preserve">The Company may seek to issue new equity </w:t>
      </w:r>
      <w:r w:rsidR="00B74584">
        <w:rPr>
          <w:rFonts w:cs="Arial"/>
        </w:rPr>
        <w:t xml:space="preserve">shares for cash </w:t>
      </w:r>
      <w:r w:rsidRPr="00DE5D68">
        <w:rPr>
          <w:rFonts w:cs="Arial"/>
        </w:rPr>
        <w:t xml:space="preserve">in </w:t>
      </w:r>
      <w:r w:rsidRPr="00DE5D68" w:rsidR="0092563F">
        <w:rPr>
          <w:rFonts w:cs="Arial"/>
        </w:rPr>
        <w:t>the future</w:t>
      </w:r>
      <w:r w:rsidR="00B74584">
        <w:rPr>
          <w:rFonts w:cs="Arial"/>
        </w:rPr>
        <w:t xml:space="preserve"> via the Placing Programme or otherwise</w:t>
      </w:r>
      <w:r w:rsidRPr="00DE5D68" w:rsidR="0092563F">
        <w:rPr>
          <w:rFonts w:cs="Arial"/>
        </w:rPr>
        <w:t>. While the Articles contain</w:t>
      </w:r>
      <w:r w:rsidRPr="00DE5D68">
        <w:rPr>
          <w:rFonts w:cs="Arial"/>
        </w:rPr>
        <w:t xml:space="preserve"> pre-emption rights for Shareholders in relation to issues of shares in consideration for cash, such rights can</w:t>
      </w:r>
      <w:r w:rsidRPr="00DE5D68" w:rsidR="0092563F">
        <w:rPr>
          <w:rFonts w:cs="Arial"/>
        </w:rPr>
        <w:t xml:space="preserve"> be disapplied</w:t>
      </w:r>
      <w:r w:rsidR="00B74584">
        <w:rPr>
          <w:rFonts w:cs="Arial"/>
        </w:rPr>
        <w:t>, and, in particular, have been disapplied in relation to the Placing Programme</w:t>
      </w:r>
      <w:r w:rsidRPr="00DE5D68" w:rsidR="0092563F">
        <w:rPr>
          <w:rFonts w:cs="Arial"/>
        </w:rPr>
        <w:t xml:space="preserve">. </w:t>
      </w:r>
      <w:bookmarkStart w:name="_Hlk188875703" w:id="59"/>
      <w:r w:rsidRPr="00DE5D68" w:rsidR="00502E39">
        <w:rPr>
          <w:rFonts w:cs="Arial"/>
          <w:szCs w:val="20"/>
        </w:rPr>
        <w:t xml:space="preserve">If </w:t>
      </w:r>
      <w:r w:rsidR="00997B0B">
        <w:rPr>
          <w:rFonts w:cs="Arial"/>
          <w:szCs w:val="20"/>
        </w:rPr>
        <w:t>150</w:t>
      </w:r>
      <w:r w:rsidRPr="00DE5D68" w:rsidR="00502E39">
        <w:rPr>
          <w:rFonts w:cs="Arial"/>
          <w:szCs w:val="20"/>
        </w:rPr>
        <w:t xml:space="preserve"> million </w:t>
      </w:r>
      <w:r w:rsidR="00502E39">
        <w:rPr>
          <w:rFonts w:cs="Arial"/>
          <w:szCs w:val="20"/>
        </w:rPr>
        <w:t xml:space="preserve">Ordinary </w:t>
      </w:r>
      <w:r w:rsidRPr="00DE5D68" w:rsidR="00502E39">
        <w:rPr>
          <w:rFonts w:cs="Arial"/>
          <w:szCs w:val="20"/>
        </w:rPr>
        <w:t xml:space="preserve">Shares were to be issued pursuant to Subsequent Placings, and </w:t>
      </w:r>
      <w:r w:rsidR="00893EA6">
        <w:rPr>
          <w:rFonts w:cs="Arial"/>
          <w:szCs w:val="20"/>
        </w:rPr>
        <w:t>54</w:t>
      </w:r>
      <w:r w:rsidRPr="00DE5D68" w:rsidR="00502E39">
        <w:rPr>
          <w:rFonts w:cs="Arial"/>
          <w:szCs w:val="20"/>
        </w:rPr>
        <w:t xml:space="preserve"> million </w:t>
      </w:r>
      <w:r w:rsidR="00502E39">
        <w:rPr>
          <w:rFonts w:cs="Arial"/>
          <w:szCs w:val="20"/>
        </w:rPr>
        <w:t xml:space="preserve">Ordinary </w:t>
      </w:r>
      <w:r w:rsidRPr="00DE5D68" w:rsidR="00502E39">
        <w:rPr>
          <w:rFonts w:cs="Arial"/>
          <w:szCs w:val="20"/>
        </w:rPr>
        <w:t>Shares</w:t>
      </w:r>
      <w:r w:rsidR="00301A97">
        <w:rPr>
          <w:rFonts w:cs="Arial"/>
          <w:szCs w:val="20"/>
        </w:rPr>
        <w:t xml:space="preserve"> are issued pursuant to the Initial Placing</w:t>
      </w:r>
      <w:r w:rsidRPr="00DE5D68" w:rsidR="00502E39">
        <w:rPr>
          <w:rFonts w:cs="Arial"/>
          <w:szCs w:val="20"/>
        </w:rPr>
        <w:t xml:space="preserve">, there would be a dilution of </w:t>
      </w:r>
      <w:r w:rsidR="00301A97">
        <w:rPr>
          <w:rFonts w:cs="Arial"/>
          <w:szCs w:val="20"/>
        </w:rPr>
        <w:t>75</w:t>
      </w:r>
      <w:r w:rsidRPr="00DE5D68" w:rsidR="00502E39">
        <w:rPr>
          <w:rFonts w:cs="Arial"/>
          <w:szCs w:val="20"/>
        </w:rPr>
        <w:t xml:space="preserve"> per cent. in Shareholders’ voting control of the Company imm</w:t>
      </w:r>
      <w:r w:rsidR="00502E39">
        <w:rPr>
          <w:rFonts w:cs="Arial"/>
          <w:szCs w:val="20"/>
        </w:rPr>
        <w:t>ediately after the Initial Placing</w:t>
      </w:r>
      <w:r w:rsidRPr="00DE5D68" w:rsidR="00502E39">
        <w:rPr>
          <w:rFonts w:cs="Arial"/>
          <w:szCs w:val="20"/>
        </w:rPr>
        <w:t>.</w:t>
      </w:r>
      <w:r w:rsidR="00502E39">
        <w:rPr>
          <w:rFonts w:cs="Arial"/>
          <w:szCs w:val="20"/>
        </w:rPr>
        <w:t xml:space="preserve"> </w:t>
      </w:r>
      <w:bookmarkEnd w:id="59"/>
      <w:r w:rsidR="00502E39">
        <w:rPr>
          <w:rFonts w:cs="Arial"/>
        </w:rPr>
        <w:t>A</w:t>
      </w:r>
      <w:r w:rsidRPr="00DE5D68" w:rsidR="00502E39">
        <w:rPr>
          <w:rFonts w:cs="Arial"/>
        </w:rPr>
        <w:t>ny additional equity financing will be dilutive to the voting interests of those Shareholders who cannot, or choose not to, participate in such financing.</w:t>
      </w:r>
    </w:p>
    <w:p w:rsidRPr="00BC04CE" w:rsidR="00C77B8E" w:rsidP="00C27D12" w:rsidRDefault="00C77B8E" w14:paraId="17A4106A" w14:textId="011F183A">
      <w:pPr>
        <w:rPr>
          <w:rFonts w:cs="Arial"/>
          <w:b/>
          <w:i/>
        </w:rPr>
      </w:pPr>
      <w:r w:rsidRPr="00BC04CE">
        <w:rPr>
          <w:rFonts w:cs="Arial"/>
          <w:b/>
          <w:i/>
        </w:rPr>
        <w:t xml:space="preserve">Future sales of </w:t>
      </w:r>
      <w:r w:rsidRPr="00BC04CE" w:rsidR="00BC04CE">
        <w:rPr>
          <w:rFonts w:cs="Arial"/>
          <w:b/>
          <w:i/>
        </w:rPr>
        <w:t xml:space="preserve">Ordinary </w:t>
      </w:r>
      <w:r w:rsidRPr="00BC04CE">
        <w:rPr>
          <w:rFonts w:cs="Arial"/>
          <w:b/>
          <w:i/>
        </w:rPr>
        <w:t xml:space="preserve">Shares could cause the market price of the </w:t>
      </w:r>
      <w:r w:rsidRPr="00BC04CE" w:rsidR="00BC04CE">
        <w:rPr>
          <w:rFonts w:cs="Arial"/>
          <w:b/>
          <w:i/>
        </w:rPr>
        <w:t xml:space="preserve">Ordinary </w:t>
      </w:r>
      <w:r w:rsidRPr="00BC04CE">
        <w:rPr>
          <w:rFonts w:cs="Arial"/>
          <w:b/>
          <w:i/>
        </w:rPr>
        <w:t>Shares to fall</w:t>
      </w:r>
    </w:p>
    <w:p w:rsidR="00C77B8E" w:rsidP="00C27D12" w:rsidRDefault="00C77B8E" w14:paraId="1D3AE831" w14:textId="11717AC3">
      <w:pPr>
        <w:rPr>
          <w:rFonts w:cs="Arial"/>
        </w:rPr>
      </w:pPr>
      <w:r w:rsidRPr="00DE5D68">
        <w:rPr>
          <w:rFonts w:cs="Arial"/>
        </w:rPr>
        <w:t xml:space="preserve">Sales of </w:t>
      </w:r>
      <w:r w:rsidR="00BC04CE">
        <w:rPr>
          <w:rFonts w:cs="Arial"/>
        </w:rPr>
        <w:t>Ordinary</w:t>
      </w:r>
      <w:r w:rsidRPr="00DE5D68" w:rsidR="00BC04CE">
        <w:rPr>
          <w:rFonts w:cs="Arial"/>
        </w:rPr>
        <w:t xml:space="preserve"> </w:t>
      </w:r>
      <w:r w:rsidRPr="00DE5D68">
        <w:rPr>
          <w:rFonts w:cs="Arial"/>
        </w:rPr>
        <w:t>Shares or interests in the</w:t>
      </w:r>
      <w:r w:rsidRPr="00DE5D68" w:rsidR="000D7B83">
        <w:rPr>
          <w:rFonts w:cs="Arial"/>
        </w:rPr>
        <w:t xml:space="preserve"> </w:t>
      </w:r>
      <w:r w:rsidR="00BC04CE">
        <w:rPr>
          <w:rFonts w:cs="Arial"/>
        </w:rPr>
        <w:t>Ordinary</w:t>
      </w:r>
      <w:r w:rsidRPr="00DE5D68" w:rsidR="00BC04CE">
        <w:rPr>
          <w:rFonts w:cs="Arial"/>
        </w:rPr>
        <w:t xml:space="preserve"> </w:t>
      </w:r>
      <w:r w:rsidRPr="00DE5D68">
        <w:rPr>
          <w:rFonts w:cs="Arial"/>
        </w:rPr>
        <w:t xml:space="preserve">Shares by significant investors could depress the market price of the </w:t>
      </w:r>
      <w:r w:rsidR="00BC04CE">
        <w:rPr>
          <w:rFonts w:cs="Arial"/>
        </w:rPr>
        <w:t>Ordinary</w:t>
      </w:r>
      <w:r w:rsidRPr="00DE5D68" w:rsidR="00BC04CE">
        <w:rPr>
          <w:rFonts w:cs="Arial"/>
        </w:rPr>
        <w:t xml:space="preserve"> </w:t>
      </w:r>
      <w:r w:rsidRPr="00DE5D68">
        <w:rPr>
          <w:rFonts w:cs="Arial"/>
        </w:rPr>
        <w:t xml:space="preserve">Shares. A substantial </w:t>
      </w:r>
      <w:r w:rsidRPr="00DE5D68" w:rsidR="004F30BA">
        <w:rPr>
          <w:rFonts w:cs="Arial"/>
        </w:rPr>
        <w:t>number</w:t>
      </w:r>
      <w:r w:rsidRPr="00DE5D68">
        <w:rPr>
          <w:rFonts w:cs="Arial"/>
        </w:rPr>
        <w:t xml:space="preserve"> of </w:t>
      </w:r>
      <w:r w:rsidR="00BC04CE">
        <w:rPr>
          <w:rFonts w:cs="Arial"/>
        </w:rPr>
        <w:t>Ordinary</w:t>
      </w:r>
      <w:r w:rsidRPr="00DE5D68" w:rsidR="00BC04CE">
        <w:rPr>
          <w:rFonts w:cs="Arial"/>
        </w:rPr>
        <w:t xml:space="preserve"> </w:t>
      </w:r>
      <w:r w:rsidRPr="00DE5D68">
        <w:rPr>
          <w:rFonts w:cs="Arial"/>
        </w:rPr>
        <w:t xml:space="preserve">Shares being sold, or the perception that sales of this type could occur, could also depress the market price of the </w:t>
      </w:r>
      <w:r w:rsidR="00BC04CE">
        <w:rPr>
          <w:rFonts w:cs="Arial"/>
        </w:rPr>
        <w:t>Ordinary</w:t>
      </w:r>
      <w:r w:rsidRPr="00DE5D68" w:rsidR="00BC04CE">
        <w:rPr>
          <w:rFonts w:cs="Arial"/>
        </w:rPr>
        <w:t xml:space="preserve"> </w:t>
      </w:r>
      <w:r w:rsidRPr="00DE5D68">
        <w:rPr>
          <w:rFonts w:cs="Arial"/>
        </w:rPr>
        <w:t xml:space="preserve">Shares. Both scenarios, occurring either individually or collectively, may make it more difficult for Shareholders to sell the </w:t>
      </w:r>
      <w:r w:rsidR="00BC04CE">
        <w:rPr>
          <w:rFonts w:cs="Arial"/>
        </w:rPr>
        <w:t>Ordinary</w:t>
      </w:r>
      <w:r w:rsidRPr="00DE5D68" w:rsidR="00BC04CE">
        <w:rPr>
          <w:rFonts w:cs="Arial"/>
        </w:rPr>
        <w:t xml:space="preserve"> </w:t>
      </w:r>
      <w:r w:rsidRPr="00DE5D68">
        <w:rPr>
          <w:rFonts w:cs="Arial"/>
        </w:rPr>
        <w:t>Shares at a time and price that they deem appropriate.</w:t>
      </w:r>
    </w:p>
    <w:p w:rsidR="001D54D4" w:rsidP="00C27D12" w:rsidRDefault="00997B0B" w14:paraId="0F353A48" w14:textId="1175312C">
      <w:pPr>
        <w:rPr>
          <w:rFonts w:cs="Arial"/>
          <w:b/>
          <w:i/>
        </w:rPr>
      </w:pPr>
      <w:r>
        <w:rPr>
          <w:rFonts w:cs="Arial"/>
          <w:b/>
          <w:i/>
        </w:rPr>
        <w:t xml:space="preserve">The </w:t>
      </w:r>
      <w:r w:rsidR="001D54D4">
        <w:rPr>
          <w:rFonts w:cs="Arial"/>
          <w:b/>
          <w:i/>
        </w:rPr>
        <w:t>Redemption Mechanism</w:t>
      </w:r>
    </w:p>
    <w:p w:rsidRPr="001D54D4" w:rsidR="001D54D4" w:rsidP="001D54D4" w:rsidRDefault="001D54D4" w14:paraId="585526FC" w14:textId="4564C938">
      <w:pPr>
        <w:rPr>
          <w:rFonts w:cs="Arial"/>
        </w:rPr>
      </w:pPr>
      <w:r w:rsidRPr="001D54D4">
        <w:rPr>
          <w:rFonts w:cs="Arial"/>
        </w:rPr>
        <w:t>Shareholders should be aware that the operation of the Redempti</w:t>
      </w:r>
      <w:r>
        <w:rPr>
          <w:rFonts w:cs="Arial"/>
        </w:rPr>
        <w:t>on Mechanism may lead to a more concentrated and less liquid p</w:t>
      </w:r>
      <w:r w:rsidRPr="001D54D4">
        <w:rPr>
          <w:rFonts w:cs="Arial"/>
        </w:rPr>
        <w:t>ortfolio, which may adversely affect the C</w:t>
      </w:r>
      <w:r>
        <w:rPr>
          <w:rFonts w:cs="Arial"/>
        </w:rPr>
        <w:t xml:space="preserve">ompany’s performance and value. </w:t>
      </w:r>
      <w:r w:rsidRPr="001D54D4">
        <w:rPr>
          <w:rFonts w:cs="Arial"/>
        </w:rPr>
        <w:t xml:space="preserve">Further, redemptions may also adversely affect the secondary market liquidity of the </w:t>
      </w:r>
      <w:r>
        <w:rPr>
          <w:rFonts w:cs="Arial"/>
        </w:rPr>
        <w:t xml:space="preserve">Ordinary </w:t>
      </w:r>
      <w:r w:rsidRPr="001D54D4">
        <w:rPr>
          <w:rFonts w:cs="Arial"/>
        </w:rPr>
        <w:t>Shares.</w:t>
      </w:r>
    </w:p>
    <w:p w:rsidR="001D54D4" w:rsidP="001D54D4" w:rsidRDefault="001D54D4" w14:paraId="64C4AF69" w14:textId="2141C98D">
      <w:pPr>
        <w:rPr>
          <w:rFonts w:cs="Arial"/>
        </w:rPr>
      </w:pPr>
      <w:r w:rsidRPr="00132D42">
        <w:rPr>
          <w:rFonts w:cs="Arial"/>
        </w:rPr>
        <w:t xml:space="preserve">The price at which any Ordinary Shares are redeemed under the Redemption Mechanism will be calculated by reference to </w:t>
      </w:r>
      <w:r w:rsidR="00997B0B">
        <w:rPr>
          <w:rFonts w:cs="Arial"/>
        </w:rPr>
        <w:t xml:space="preserve">the </w:t>
      </w:r>
      <w:r w:rsidRPr="00FE1B3B" w:rsidR="00FE1B3B">
        <w:rPr>
          <w:rFonts w:cs="Arial"/>
        </w:rPr>
        <w:t xml:space="preserve">prevailing published Net Asset Value per Ordinary Share (audited or unaudited) </w:t>
      </w:r>
      <w:r w:rsidR="00DB6ECE">
        <w:rPr>
          <w:rFonts w:cs="Arial"/>
        </w:rPr>
        <w:t xml:space="preserve">at the applicable Valuation Point </w:t>
      </w:r>
      <w:r w:rsidRPr="00132D42" w:rsidR="00132D42">
        <w:rPr>
          <w:rFonts w:cs="Arial"/>
        </w:rPr>
        <w:t>less a 2 per cent. deduction (for costs and provisions)</w:t>
      </w:r>
      <w:r w:rsidRPr="00132D42">
        <w:rPr>
          <w:rFonts w:cs="Arial"/>
        </w:rPr>
        <w:t xml:space="preserve">. To the extent that any redemption takes place at a time where the Ordinary Shares are trading at a significant premium to the prevailing </w:t>
      </w:r>
      <w:r w:rsidR="003B01E0">
        <w:rPr>
          <w:rFonts w:cs="Arial"/>
        </w:rPr>
        <w:t>published</w:t>
      </w:r>
      <w:r w:rsidRPr="00132D42">
        <w:rPr>
          <w:rFonts w:cs="Arial"/>
        </w:rPr>
        <w:t xml:space="preserve"> Net Asset Value per Ordinary Share</w:t>
      </w:r>
      <w:r w:rsidR="003B01E0">
        <w:rPr>
          <w:rFonts w:cs="Arial"/>
        </w:rPr>
        <w:t xml:space="preserve"> (audited or unaudited)</w:t>
      </w:r>
      <w:r w:rsidRPr="00132D42">
        <w:rPr>
          <w:rFonts w:cs="Arial"/>
        </w:rPr>
        <w:t xml:space="preserve">, Shareholders may receive an amount in respect of their redeemed </w:t>
      </w:r>
      <w:r w:rsidR="00997B0B">
        <w:rPr>
          <w:rFonts w:cs="Arial"/>
        </w:rPr>
        <w:t xml:space="preserve">Ordinary </w:t>
      </w:r>
      <w:r w:rsidRPr="00132D42">
        <w:rPr>
          <w:rFonts w:cs="Arial"/>
        </w:rPr>
        <w:t>Shares that is materially below the market value of those shares prior to redemption.</w:t>
      </w:r>
    </w:p>
    <w:p w:rsidRPr="001D54D4" w:rsidR="001D54D4" w:rsidP="001D54D4" w:rsidRDefault="001D54D4" w14:paraId="4BEACF49" w14:textId="1A254BA0">
      <w:pPr>
        <w:rPr>
          <w:rFonts w:cs="Arial"/>
        </w:rPr>
      </w:pPr>
      <w:r w:rsidRPr="001D54D4">
        <w:rPr>
          <w:rFonts w:cs="Arial"/>
        </w:rPr>
        <w:t xml:space="preserve">Investors should note that the Redemption Mechanism </w:t>
      </w:r>
      <w:r w:rsidR="00502E39">
        <w:rPr>
          <w:rFonts w:cs="Arial"/>
        </w:rPr>
        <w:t>is intended to be used as a</w:t>
      </w:r>
      <w:r w:rsidR="008D203B">
        <w:rPr>
          <w:rFonts w:cs="Arial"/>
        </w:rPr>
        <w:t>n elective</w:t>
      </w:r>
      <w:r w:rsidR="00502E39">
        <w:rPr>
          <w:rFonts w:cs="Arial"/>
        </w:rPr>
        <w:t xml:space="preserve"> </w:t>
      </w:r>
      <w:r w:rsidR="008D203B">
        <w:rPr>
          <w:rFonts w:cs="Arial"/>
        </w:rPr>
        <w:t xml:space="preserve">mechanism for returning capital </w:t>
      </w:r>
      <w:r w:rsidR="00997B0B">
        <w:rPr>
          <w:rFonts w:cs="Arial"/>
        </w:rPr>
        <w:t xml:space="preserve">(including realised </w:t>
      </w:r>
      <w:r w:rsidR="008D203B">
        <w:rPr>
          <w:rFonts w:cs="Arial"/>
        </w:rPr>
        <w:t>profits</w:t>
      </w:r>
      <w:r w:rsidR="00997B0B">
        <w:rPr>
          <w:rFonts w:cs="Arial"/>
        </w:rPr>
        <w:t>)</w:t>
      </w:r>
      <w:r w:rsidR="008D203B">
        <w:rPr>
          <w:rFonts w:cs="Arial"/>
        </w:rPr>
        <w:t xml:space="preserve"> to Shareholder and will therefore be dependent upon the </w:t>
      </w:r>
      <w:r w:rsidR="00523C21">
        <w:rPr>
          <w:rFonts w:cs="Arial"/>
        </w:rPr>
        <w:t xml:space="preserve">Company generating </w:t>
      </w:r>
      <w:r w:rsidR="00997B0B">
        <w:rPr>
          <w:rFonts w:cs="Arial"/>
        </w:rPr>
        <w:t>returns</w:t>
      </w:r>
      <w:r w:rsidR="00523C21">
        <w:rPr>
          <w:rFonts w:cs="Arial"/>
        </w:rPr>
        <w:t xml:space="preserve"> from its investments. As such</w:t>
      </w:r>
      <w:r>
        <w:rPr>
          <w:rFonts w:cs="Arial"/>
        </w:rPr>
        <w:t xml:space="preserve"> no expectation </w:t>
      </w:r>
      <w:r w:rsidRPr="001D54D4">
        <w:rPr>
          <w:rFonts w:cs="Arial"/>
        </w:rPr>
        <w:t>or reliance should be placed on the Redemption Mechanism being operat</w:t>
      </w:r>
      <w:r>
        <w:rPr>
          <w:rFonts w:cs="Arial"/>
        </w:rPr>
        <w:t xml:space="preserve">ed on any one or more occasions </w:t>
      </w:r>
      <w:r w:rsidRPr="001D54D4">
        <w:rPr>
          <w:rFonts w:cs="Arial"/>
        </w:rPr>
        <w:t xml:space="preserve">or as to the proportion of </w:t>
      </w:r>
      <w:r>
        <w:rPr>
          <w:rFonts w:cs="Arial"/>
        </w:rPr>
        <w:t xml:space="preserve">Ordinary </w:t>
      </w:r>
      <w:r w:rsidRPr="001D54D4">
        <w:rPr>
          <w:rFonts w:cs="Arial"/>
        </w:rPr>
        <w:t>Shares that may be redeemed or as to the price at which they will be redeemed.</w:t>
      </w:r>
    </w:p>
    <w:p w:rsidRPr="00DE5D68" w:rsidR="00AA58C1" w:rsidP="00C27D12" w:rsidRDefault="00AA58C1" w14:paraId="56C9A0FB" w14:textId="77777777">
      <w:pPr>
        <w:keepNext/>
        <w:rPr>
          <w:rFonts w:cs="Arial"/>
          <w:b/>
        </w:rPr>
      </w:pPr>
      <w:r w:rsidRPr="00DE5D68">
        <w:rPr>
          <w:rFonts w:cs="Arial"/>
          <w:b/>
        </w:rPr>
        <w:t>RISKS RELATING TO THE INVESTMENT STRATEGY</w:t>
      </w:r>
    </w:p>
    <w:p w:rsidRPr="004E298B" w:rsidR="00AB41FA" w:rsidP="00AB41FA" w:rsidRDefault="00AB41FA" w14:paraId="34953962" w14:textId="00419A78">
      <w:pPr>
        <w:keepNext/>
        <w:rPr>
          <w:rFonts w:cs="Arial"/>
          <w:b/>
          <w:i/>
        </w:rPr>
      </w:pPr>
      <w:r w:rsidRPr="004E298B">
        <w:rPr>
          <w:rFonts w:cs="Arial"/>
          <w:b/>
          <w:i/>
        </w:rPr>
        <w:t xml:space="preserve">The value of the </w:t>
      </w:r>
      <w:r>
        <w:rPr>
          <w:rFonts w:cs="Arial"/>
          <w:b/>
          <w:i/>
        </w:rPr>
        <w:t>Company's p</w:t>
      </w:r>
      <w:r w:rsidRPr="004E298B">
        <w:rPr>
          <w:rFonts w:cs="Arial"/>
          <w:b/>
          <w:i/>
        </w:rPr>
        <w:t xml:space="preserve">ortfolio </w:t>
      </w:r>
      <w:r w:rsidR="00985139">
        <w:rPr>
          <w:rFonts w:cs="Arial"/>
          <w:b/>
          <w:i/>
        </w:rPr>
        <w:t xml:space="preserve">will be dominated by a </w:t>
      </w:r>
      <w:r w:rsidRPr="004E298B">
        <w:rPr>
          <w:rFonts w:cs="Arial"/>
          <w:b/>
          <w:i/>
        </w:rPr>
        <w:t>limited number of assets</w:t>
      </w:r>
      <w:r w:rsidR="00472DD3">
        <w:rPr>
          <w:rFonts w:cs="Arial"/>
          <w:b/>
          <w:i/>
        </w:rPr>
        <w:t xml:space="preserve"> which may be </w:t>
      </w:r>
      <w:r w:rsidR="00286E93">
        <w:rPr>
          <w:rFonts w:cs="Arial"/>
          <w:b/>
          <w:i/>
        </w:rPr>
        <w:t>operating in only one or two</w:t>
      </w:r>
      <w:r w:rsidR="00472DD3">
        <w:rPr>
          <w:rFonts w:cs="Arial"/>
          <w:b/>
          <w:i/>
        </w:rPr>
        <w:t xml:space="preserve"> sub-sector</w:t>
      </w:r>
      <w:r w:rsidR="00286E93">
        <w:rPr>
          <w:rFonts w:cs="Arial"/>
          <w:b/>
          <w:i/>
        </w:rPr>
        <w:t>s of the investment company market</w:t>
      </w:r>
    </w:p>
    <w:p w:rsidRPr="004E298B" w:rsidR="00AB41FA" w:rsidP="00AB41FA" w:rsidRDefault="000C6CE9" w14:paraId="5BC72676" w14:textId="07BFCA4B">
      <w:pPr>
        <w:rPr>
          <w:rFonts w:cs="Arial"/>
        </w:rPr>
      </w:pPr>
      <w:r w:rsidRPr="000C6CE9">
        <w:rPr>
          <w:rFonts w:cs="Arial"/>
        </w:rPr>
        <w:t xml:space="preserve">The Company </w:t>
      </w:r>
      <w:r>
        <w:rPr>
          <w:rFonts w:cs="Arial"/>
        </w:rPr>
        <w:t xml:space="preserve">will </w:t>
      </w:r>
      <w:r w:rsidRPr="000C6CE9">
        <w:rPr>
          <w:rFonts w:cs="Arial"/>
        </w:rPr>
        <w:t xml:space="preserve">focus on </w:t>
      </w:r>
      <w:r>
        <w:rPr>
          <w:rFonts w:cs="Arial"/>
        </w:rPr>
        <w:t xml:space="preserve">positional investment in </w:t>
      </w:r>
      <w:r w:rsidRPr="000C6CE9">
        <w:rPr>
          <w:rFonts w:cs="Arial"/>
        </w:rPr>
        <w:t xml:space="preserve">a </w:t>
      </w:r>
      <w:r>
        <w:rPr>
          <w:rFonts w:cs="Arial"/>
        </w:rPr>
        <w:t xml:space="preserve">very </w:t>
      </w:r>
      <w:r w:rsidRPr="000C6CE9">
        <w:rPr>
          <w:rFonts w:cs="Arial"/>
        </w:rPr>
        <w:t xml:space="preserve">concentrated portfolio </w:t>
      </w:r>
      <w:r>
        <w:rPr>
          <w:rFonts w:cs="Arial"/>
        </w:rPr>
        <w:t>of investments, which</w:t>
      </w:r>
      <w:r w:rsidRPr="000C6CE9">
        <w:rPr>
          <w:rFonts w:cs="Arial"/>
        </w:rPr>
        <w:t xml:space="preserve"> may be as limited as one or two</w:t>
      </w:r>
      <w:r w:rsidR="00422B42">
        <w:rPr>
          <w:rFonts w:cs="Arial"/>
        </w:rPr>
        <w:t xml:space="preserve"> closed-ended</w:t>
      </w:r>
      <w:r w:rsidRPr="000C6CE9">
        <w:rPr>
          <w:rFonts w:cs="Arial"/>
        </w:rPr>
        <w:t xml:space="preserve"> alternative asset investment companies</w:t>
      </w:r>
      <w:r w:rsidR="00F42742">
        <w:rPr>
          <w:rFonts w:cs="Arial"/>
        </w:rPr>
        <w:t xml:space="preserve">. </w:t>
      </w:r>
      <w:r w:rsidR="00AB41FA">
        <w:rPr>
          <w:rFonts w:cs="Arial"/>
        </w:rPr>
        <w:t>As such</w:t>
      </w:r>
      <w:r w:rsidR="00F6186E">
        <w:rPr>
          <w:rFonts w:cs="Arial"/>
        </w:rPr>
        <w:t>,</w:t>
      </w:r>
      <w:r w:rsidR="00AB41FA">
        <w:rPr>
          <w:rFonts w:cs="Arial"/>
        </w:rPr>
        <w:t xml:space="preserve"> a </w:t>
      </w:r>
      <w:r w:rsidRPr="004E298B" w:rsidR="00AB41FA">
        <w:rPr>
          <w:rFonts w:cs="Arial"/>
        </w:rPr>
        <w:t>large proportion of the overall value of the</w:t>
      </w:r>
      <w:r w:rsidR="00AB41FA">
        <w:rPr>
          <w:rFonts w:cs="Arial"/>
        </w:rPr>
        <w:t xml:space="preserve"> Company's p</w:t>
      </w:r>
      <w:r w:rsidRPr="004E298B" w:rsidR="00AB41FA">
        <w:rPr>
          <w:rFonts w:cs="Arial"/>
        </w:rPr>
        <w:t xml:space="preserve">ortfolio may at any time be accounted for by a </w:t>
      </w:r>
      <w:r>
        <w:rPr>
          <w:rFonts w:cs="Arial"/>
        </w:rPr>
        <w:t>very</w:t>
      </w:r>
      <w:r w:rsidRPr="004E298B" w:rsidR="00AB41FA">
        <w:rPr>
          <w:rFonts w:cs="Arial"/>
        </w:rPr>
        <w:t xml:space="preserve"> limited number of assets</w:t>
      </w:r>
      <w:r w:rsidR="00286E93">
        <w:rPr>
          <w:rFonts w:cs="Arial"/>
        </w:rPr>
        <w:t xml:space="preserve"> which may be operating in only one or two sub-sectors of the investment company market</w:t>
      </w:r>
      <w:r w:rsidRPr="004E298B" w:rsidR="00AB41FA">
        <w:rPr>
          <w:rFonts w:cs="Arial"/>
        </w:rPr>
        <w:t xml:space="preserve">.  </w:t>
      </w:r>
    </w:p>
    <w:p w:rsidR="00AB41FA" w:rsidP="00AB41FA" w:rsidRDefault="00AB41FA" w14:paraId="7743BEF4" w14:textId="6F3AC0D4">
      <w:pPr>
        <w:rPr>
          <w:rFonts w:cs="Arial"/>
        </w:rPr>
      </w:pPr>
      <w:r w:rsidRPr="004E298B">
        <w:rPr>
          <w:rFonts w:cs="Arial"/>
        </w:rPr>
        <w:t xml:space="preserve">Accordingly, there is a risk </w:t>
      </w:r>
      <w:r>
        <w:rPr>
          <w:rFonts w:cs="Arial"/>
        </w:rPr>
        <w:t xml:space="preserve">that if one or more </w:t>
      </w:r>
      <w:r w:rsidR="000D3336">
        <w:rPr>
          <w:rFonts w:cs="Arial"/>
        </w:rPr>
        <w:t xml:space="preserve">of </w:t>
      </w:r>
      <w:r>
        <w:rPr>
          <w:rFonts w:cs="Arial"/>
        </w:rPr>
        <w:t>such assets</w:t>
      </w:r>
      <w:r w:rsidR="00286E93">
        <w:rPr>
          <w:rFonts w:cs="Arial"/>
        </w:rPr>
        <w:t>: (</w:t>
      </w:r>
      <w:proofErr w:type="spellStart"/>
      <w:r w:rsidR="00286E93">
        <w:rPr>
          <w:rFonts w:cs="Arial"/>
        </w:rPr>
        <w:t>i</w:t>
      </w:r>
      <w:proofErr w:type="spellEnd"/>
      <w:r w:rsidR="00286E93">
        <w:rPr>
          <w:rFonts w:cs="Arial"/>
        </w:rPr>
        <w:t>)</w:t>
      </w:r>
      <w:r w:rsidRPr="004E298B">
        <w:rPr>
          <w:rFonts w:cs="Arial"/>
        </w:rPr>
        <w:t xml:space="preserve"> experiences financial, regulatory or operational difficulties, requires material additional investment, fails to achieve anticipated results or suffers from poor stock market conditions</w:t>
      </w:r>
      <w:r w:rsidR="00286E93">
        <w:rPr>
          <w:rFonts w:cs="Arial"/>
        </w:rPr>
        <w:t xml:space="preserve">; or (ii) operates in a sub-sector which is affected by adverse </w:t>
      </w:r>
      <w:r w:rsidR="00286E93">
        <w:t>general economic, social or political developments, changes in industry or sector conditions, changes in government regulation</w:t>
      </w:r>
      <w:r w:rsidRPr="004E298B" w:rsidR="00286E93">
        <w:rPr>
          <w:rFonts w:cs="Arial"/>
        </w:rPr>
        <w:t xml:space="preserve"> </w:t>
      </w:r>
      <w:r w:rsidR="00286E93">
        <w:rPr>
          <w:rFonts w:cs="Arial"/>
        </w:rPr>
        <w:t>or other matters,</w:t>
      </w:r>
      <w:r w:rsidRPr="004E298B">
        <w:rPr>
          <w:rFonts w:cs="Arial"/>
        </w:rPr>
        <w:t xml:space="preserve"> and, as a result, its value were to be adversely affected, this could have a material adverse impa</w:t>
      </w:r>
      <w:r>
        <w:rPr>
          <w:rFonts w:cs="Arial"/>
        </w:rPr>
        <w:t>ct on the overall value of the p</w:t>
      </w:r>
      <w:r w:rsidRPr="004E298B">
        <w:rPr>
          <w:rFonts w:cs="Arial"/>
        </w:rPr>
        <w:t xml:space="preserve">ortfolio and the Company's financial condition, business, prospects, and results of operations and, consequently, the Net Asset Value and/or the market price of the </w:t>
      </w:r>
      <w:r>
        <w:rPr>
          <w:rFonts w:cs="Arial"/>
        </w:rPr>
        <w:t xml:space="preserve">Ordinary </w:t>
      </w:r>
      <w:r w:rsidRPr="004E298B">
        <w:rPr>
          <w:rFonts w:cs="Arial"/>
        </w:rPr>
        <w:t>Shares.</w:t>
      </w:r>
      <w:r w:rsidR="001D54D4">
        <w:rPr>
          <w:rFonts w:cs="Arial"/>
        </w:rPr>
        <w:t xml:space="preserve"> </w:t>
      </w:r>
    </w:p>
    <w:p w:rsidR="001D54D4" w:rsidP="00AB41FA" w:rsidRDefault="001D54D4" w14:paraId="05D7DA8A" w14:textId="5034CEFC">
      <w:pPr>
        <w:rPr>
          <w:rFonts w:cs="Arial"/>
        </w:rPr>
      </w:pPr>
      <w:r>
        <w:rPr>
          <w:rFonts w:cs="Arial"/>
        </w:rPr>
        <w:t xml:space="preserve">In addition, there may not be a liquid market for any of the Company's portfolio companies and/or the Company may experience difficulties finding purchasers for any of its positions due to the size of its holdings in such portfolio companies which </w:t>
      </w:r>
      <w:r w:rsidRPr="004E298B">
        <w:rPr>
          <w:rFonts w:cs="Arial"/>
        </w:rPr>
        <w:t>could have a material adverse impa</w:t>
      </w:r>
      <w:r>
        <w:rPr>
          <w:rFonts w:cs="Arial"/>
        </w:rPr>
        <w:t>ct on the overall value of the p</w:t>
      </w:r>
      <w:r w:rsidRPr="004E298B">
        <w:rPr>
          <w:rFonts w:cs="Arial"/>
        </w:rPr>
        <w:t xml:space="preserve">ortfolio </w:t>
      </w:r>
      <w:r w:rsidRPr="004E298B">
        <w:rPr>
          <w:rFonts w:cs="Arial"/>
        </w:rPr>
        <w:lastRenderedPageBreak/>
        <w:t xml:space="preserve">and the Company's financial condition, business, prospects, and results of operations and, consequently, the Net Asset Value and/or the market price of the </w:t>
      </w:r>
      <w:r>
        <w:rPr>
          <w:rFonts w:cs="Arial"/>
        </w:rPr>
        <w:t xml:space="preserve">Ordinary </w:t>
      </w:r>
      <w:r w:rsidRPr="004E298B">
        <w:rPr>
          <w:rFonts w:cs="Arial"/>
        </w:rPr>
        <w:t>Shares</w:t>
      </w:r>
      <w:r>
        <w:rPr>
          <w:rFonts w:cs="Arial"/>
        </w:rPr>
        <w:t>.</w:t>
      </w:r>
    </w:p>
    <w:p w:rsidRPr="000C6CE9" w:rsidR="00BC04CE" w:rsidP="00BC04CE" w:rsidRDefault="00BC04CE" w14:paraId="1FE8A9AD" w14:textId="404A483B">
      <w:pPr>
        <w:pStyle w:val="BodyText"/>
      </w:pPr>
      <w:r w:rsidRPr="000C6CE9">
        <w:rPr>
          <w:b/>
          <w:i/>
        </w:rPr>
        <w:t>Effectiveness of constructive activism</w:t>
      </w:r>
      <w:r w:rsidRPr="000C6CE9">
        <w:t xml:space="preserve"> </w:t>
      </w:r>
    </w:p>
    <w:p w:rsidR="00BC04CE" w:rsidP="00BC04CE" w:rsidRDefault="00BC04CE" w14:paraId="3BC208EC" w14:textId="7193DBDE">
      <w:pPr>
        <w:pStyle w:val="BodyText"/>
      </w:pPr>
      <w:r w:rsidRPr="000C6CE9">
        <w:t xml:space="preserve">The Company’s investment strategy is based on the premise that financial returns from the Company's portfolio of closed-ended investment companies can be improved by constructive activism on the part of the Investment Manager. Factors such as, inter alia, economic and market conditions, an inability to obtain support from other shareholders in the relevant portfolio companies, an inability to effect changes in the management or corporate structure of the relevant portfolio companies, regulatory constraints and third party rights could make such constructive activism difficult to implement successfully and there can be no assurance that, even if constructive activism is implemented, it will be successful or that it will result in price appreciation of the relevant portfolio companies' shares and, by extension, the Ordinary Shares. Any failure to successfully implement these strategies and/or the failure of these strategies to deliver the anticipated benefits for the relevant portfolio companies and the Company’s interest therein could have </w:t>
      </w:r>
      <w:r w:rsidRPr="000C6CE9">
        <w:rPr>
          <w:rFonts w:cs="Arial"/>
        </w:rPr>
        <w:t>a material adverse impact on the overall value of the portfolio and the Company's financial condition, business, prospects, and results of operations and, consequently, the Net Asset Value and/or the market price of the Ordinary Shares</w:t>
      </w:r>
      <w:r w:rsidRPr="000C6CE9">
        <w:t>.</w:t>
      </w:r>
    </w:p>
    <w:p w:rsidRPr="00BC04CE" w:rsidR="00BC04CE" w:rsidP="00BC04CE" w:rsidRDefault="00BC04CE" w14:paraId="4D5E3781" w14:textId="77777777">
      <w:pPr>
        <w:pStyle w:val="BodyText"/>
        <w:rPr>
          <w:b/>
          <w:i/>
        </w:rPr>
      </w:pPr>
      <w:r w:rsidRPr="00BC04CE">
        <w:rPr>
          <w:b/>
          <w:i/>
        </w:rPr>
        <w:t xml:space="preserve">Market price on disposal </w:t>
      </w:r>
    </w:p>
    <w:p w:rsidR="00BC04CE" w:rsidP="00BC04CE" w:rsidRDefault="00BC04CE" w14:paraId="32842C67" w14:textId="6E22A4F8">
      <w:pPr>
        <w:pStyle w:val="BodyText"/>
      </w:pPr>
      <w:r>
        <w:t xml:space="preserve">The market price and value of the publicly quoted shares in the </w:t>
      </w:r>
      <w:r w:rsidR="00ED1D36">
        <w:t xml:space="preserve">closed-ended investment companies in which the </w:t>
      </w:r>
      <w:r>
        <w:t>Company will invest may be volatile and may fluctuate due to a number of factors beyond the Company’s control, including actual or anticipated fluctuations in t</w:t>
      </w:r>
      <w:r w:rsidR="00ED1D36">
        <w:t>he results of such portfolio companies</w:t>
      </w:r>
      <w:r>
        <w:t xml:space="preserve"> or other </w:t>
      </w:r>
      <w:r w:rsidR="00ED1D36">
        <w:t>investment companies in the sector</w:t>
      </w:r>
      <w:r>
        <w:t xml:space="preserve"> in which it operates, market perceptions concerning the availability of additional securities for sale, general economic, social or political developments, changes in industry</w:t>
      </w:r>
      <w:r w:rsidR="00ED1D36">
        <w:t xml:space="preserve"> or sector</w:t>
      </w:r>
      <w:r>
        <w:t xml:space="preserve"> conditions, ch</w:t>
      </w:r>
      <w:r w:rsidR="00ED1D36">
        <w:t>anges in government regulation</w:t>
      </w:r>
      <w:r>
        <w:t xml:space="preserve">, the general state of the securities markets and other material events, such as significant management changes, refinancings, acquisitions and disposals. This may mean that the Company is unable to realise a satisfactory return on its </w:t>
      </w:r>
      <w:r w:rsidR="00ED1D36">
        <w:t>investment in its portfolio companies</w:t>
      </w:r>
      <w:r>
        <w:t>, or that it is only able to dispose of its interest</w:t>
      </w:r>
      <w:r w:rsidR="00110027">
        <w:t>s</w:t>
      </w:r>
      <w:r>
        <w:t xml:space="preserve"> at a loss. Even if the earnings and other measures of performance of </w:t>
      </w:r>
      <w:r w:rsidR="00ED1D36">
        <w:t>the portfolio companies</w:t>
      </w:r>
      <w:r>
        <w:t xml:space="preserve"> improve as a result of the suc</w:t>
      </w:r>
      <w:r w:rsidR="00ED1D36">
        <w:t>cessful implementation of constructive activism</w:t>
      </w:r>
      <w:r>
        <w:t xml:space="preserve"> by the Investment Manager, there can be no assurance that the improvements will be reflected in an </w:t>
      </w:r>
      <w:r w:rsidR="00ED1D36">
        <w:t xml:space="preserve">increase in the </w:t>
      </w:r>
      <w:r>
        <w:t>share price</w:t>
      </w:r>
      <w:r w:rsidR="00ED1D36">
        <w:t>s of the Company's portfolio companies</w:t>
      </w:r>
      <w:r w:rsidR="00110027">
        <w:t xml:space="preserve"> up to and upon disposal</w:t>
      </w:r>
      <w:r>
        <w:t xml:space="preserve">. </w:t>
      </w:r>
    </w:p>
    <w:p w:rsidR="00110027" w:rsidP="00110027" w:rsidRDefault="00110027" w14:paraId="0088BE0E" w14:textId="3583E55D">
      <w:pPr>
        <w:pStyle w:val="BodyText"/>
      </w:pPr>
      <w:r>
        <w:t>Portfolio companies may elect to go into managed wind down as a result of constructive activism and this can extend the period in which an investment might be realised and/or result in a period in which the investment is no longer admitted to trading or is otherwise highly illiquid.</w:t>
      </w:r>
    </w:p>
    <w:p w:rsidR="00110027" w:rsidP="00110027" w:rsidRDefault="00110027" w14:paraId="421FC0EB" w14:textId="21985A76">
      <w:pPr>
        <w:pStyle w:val="BodyText"/>
      </w:pPr>
      <w:r>
        <w:t xml:space="preserve">In the </w:t>
      </w:r>
      <w:r w:rsidR="00422B42">
        <w:t>recent past a number of</w:t>
      </w:r>
      <w:r>
        <w:t xml:space="preserve"> closed-ended investment companies have had dealings in their shares suspended by the London Stock Exchange as a result of the inability to produce financial statements according to the deadlines imposed. These suspensions have</w:t>
      </w:r>
      <w:r w:rsidR="00422B42">
        <w:t>, in some cases,</w:t>
      </w:r>
      <w:r>
        <w:t xml:space="preserve"> been protracted. Any such suspensions in the Company’s portfolio could have </w:t>
      </w:r>
      <w:r w:rsidRPr="00DE5D68">
        <w:rPr>
          <w:rFonts w:cs="Arial"/>
        </w:rPr>
        <w:t>a material adverse impact on the overall value of the portfolio and the Company's</w:t>
      </w:r>
      <w:r w:rsidRPr="00F87320">
        <w:rPr>
          <w:rFonts w:cs="Arial"/>
        </w:rPr>
        <w:t xml:space="preserve"> </w:t>
      </w:r>
      <w:r w:rsidRPr="00DE5D68">
        <w:rPr>
          <w:rFonts w:cs="Arial"/>
        </w:rPr>
        <w:t xml:space="preserve">financial condition, business, prospects, and results of operations and, consequently, the Net Asset Value and/or the market price of the </w:t>
      </w:r>
      <w:r>
        <w:rPr>
          <w:rFonts w:cs="Arial"/>
        </w:rPr>
        <w:t xml:space="preserve">Ordinary </w:t>
      </w:r>
      <w:r w:rsidRPr="00DE5D68">
        <w:rPr>
          <w:rFonts w:cs="Arial"/>
        </w:rPr>
        <w:t>Shares</w:t>
      </w:r>
      <w:r>
        <w:t>.</w:t>
      </w:r>
    </w:p>
    <w:p w:rsidRPr="00ED1D36" w:rsidR="00ED1D36" w:rsidP="00ED1D36" w:rsidRDefault="00ED1D36" w14:paraId="4F1603DE" w14:textId="77777777">
      <w:pPr>
        <w:pStyle w:val="BodyText"/>
        <w:rPr>
          <w:b/>
          <w:i/>
        </w:rPr>
      </w:pPr>
      <w:r w:rsidRPr="00ED1D36">
        <w:rPr>
          <w:b/>
          <w:i/>
        </w:rPr>
        <w:t xml:space="preserve">History of engagement not indicative </w:t>
      </w:r>
    </w:p>
    <w:p w:rsidR="00ED1D36" w:rsidP="00ED1D36" w:rsidRDefault="00ED1D36" w14:paraId="1A9F2B99" w14:textId="4882B3D0">
      <w:pPr>
        <w:pStyle w:val="BodyText"/>
        <w:rPr>
          <w:rFonts w:cs="Arial"/>
        </w:rPr>
      </w:pPr>
      <w:r>
        <w:t>The Company is heavily dependent on the Investment Manager to create capital growth and value for Shareholders by the execution of its strategy of constructive activism in relation to the portfolio companies. The</w:t>
      </w:r>
      <w:r w:rsidR="00422B42">
        <w:t xml:space="preserve"> </w:t>
      </w:r>
      <w:r>
        <w:t>history of engagement</w:t>
      </w:r>
      <w:r w:rsidR="00422B42">
        <w:t xml:space="preserve"> by the Investment Manager's key investment </w:t>
      </w:r>
      <w:r w:rsidR="000E3272">
        <w:t xml:space="preserve">professionals </w:t>
      </w:r>
      <w:r>
        <w:t xml:space="preserve">with respect to previous </w:t>
      </w:r>
      <w:r w:rsidR="00444088">
        <w:t xml:space="preserve">investments in </w:t>
      </w:r>
      <w:r w:rsidR="00422B42">
        <w:t>companies in the closed-ended investment company sector</w:t>
      </w:r>
      <w:r>
        <w:t xml:space="preserve"> is not indicative of the Company’s future performance or ability to improve the share performance of the </w:t>
      </w:r>
      <w:r w:rsidR="00422B42">
        <w:t xml:space="preserve">Company's proposed </w:t>
      </w:r>
      <w:r>
        <w:t xml:space="preserve">portfolio companies. No guarantee is made in relation to the performance of the Company or the Ordinary Shares. </w:t>
      </w:r>
      <w:r w:rsidR="00422B42">
        <w:t>The p</w:t>
      </w:r>
      <w:r>
        <w:t xml:space="preserve">ast performance </w:t>
      </w:r>
      <w:r w:rsidR="00422B42">
        <w:t xml:space="preserve">of the Investment Manager's key investment professionals with other companies </w:t>
      </w:r>
      <w:r>
        <w:t xml:space="preserve">may not be an accurate predictor of future performance or returns, nor is there any guarantee that future market conditions will allow for similar performance. An investment in the Company is subject to all of the risks and uncertainties associated with an investment strategy of the Company’s type, including the risk that the Company will not achieve its investment objective and that the value of the </w:t>
      </w:r>
      <w:r w:rsidR="006873BD">
        <w:t>Ordinary Shares</w:t>
      </w:r>
      <w:r>
        <w:t xml:space="preserve"> could decline substantially.</w:t>
      </w:r>
      <w:r w:rsidR="000A22B2">
        <w:t xml:space="preserve"> If the Investment Manager's engagement strategy does not achieve the intended results this</w:t>
      </w:r>
      <w:r w:rsidRPr="004E298B" w:rsidR="000A22B2">
        <w:rPr>
          <w:rFonts w:cs="Arial"/>
        </w:rPr>
        <w:t xml:space="preserve"> could have a material adverse impa</w:t>
      </w:r>
      <w:r w:rsidR="000A22B2">
        <w:rPr>
          <w:rFonts w:cs="Arial"/>
        </w:rPr>
        <w:t>ct on the overall value of the p</w:t>
      </w:r>
      <w:r w:rsidRPr="004E298B" w:rsidR="000A22B2">
        <w:rPr>
          <w:rFonts w:cs="Arial"/>
        </w:rPr>
        <w:t xml:space="preserve">ortfolio and the Company's financial condition, business, prospects, and results of operations and, consequently, the Net Asset Value and/or the market price of the </w:t>
      </w:r>
      <w:r w:rsidR="000A22B2">
        <w:rPr>
          <w:rFonts w:cs="Arial"/>
        </w:rPr>
        <w:t xml:space="preserve">Ordinary </w:t>
      </w:r>
      <w:r w:rsidRPr="004E298B" w:rsidR="000A22B2">
        <w:rPr>
          <w:rFonts w:cs="Arial"/>
        </w:rPr>
        <w:t>Shares</w:t>
      </w:r>
      <w:r w:rsidR="000A22B2">
        <w:rPr>
          <w:rFonts w:cs="Arial"/>
        </w:rPr>
        <w:t>.</w:t>
      </w:r>
    </w:p>
    <w:p w:rsidRPr="00B71339" w:rsidR="00475CA0" w:rsidP="00475CA0" w:rsidRDefault="00475CA0" w14:paraId="6CEA8BD0" w14:textId="77777777">
      <w:pPr>
        <w:autoSpaceDE w:val="0"/>
        <w:autoSpaceDN w:val="0"/>
        <w:adjustRightInd w:val="0"/>
        <w:spacing w:after="0"/>
        <w:rPr>
          <w:rFonts w:ascii="ArialMT-Bold" w:hAnsi="ArialMT-Bold" w:cs="ArialMT-Bold"/>
          <w:b/>
          <w:bCs/>
          <w:i/>
        </w:rPr>
      </w:pPr>
      <w:r w:rsidRPr="00B71339">
        <w:rPr>
          <w:rFonts w:ascii="ArialMT-Bold" w:hAnsi="ArialMT-Bold" w:cs="ArialMT-Bold"/>
          <w:b/>
          <w:bCs/>
          <w:i/>
        </w:rPr>
        <w:t>Conflicts of interest may arise in relation to valuations prepared in relation to portfolio companies</w:t>
      </w:r>
    </w:p>
    <w:p w:rsidR="00475CA0" w:rsidP="00475CA0" w:rsidRDefault="00475CA0" w14:paraId="7D0293AF" w14:textId="77777777">
      <w:pPr>
        <w:autoSpaceDE w:val="0"/>
        <w:autoSpaceDN w:val="0"/>
        <w:adjustRightInd w:val="0"/>
        <w:spacing w:after="0"/>
        <w:rPr>
          <w:rFonts w:ascii="ArialMT-Bold" w:hAnsi="ArialMT-Bold" w:cs="ArialMT-Bold"/>
          <w:b/>
          <w:bCs/>
        </w:rPr>
      </w:pPr>
    </w:p>
    <w:p w:rsidR="00475CA0" w:rsidP="000A3191" w:rsidRDefault="00475CA0" w14:paraId="64C94CF2" w14:textId="2BDC2651">
      <w:pPr>
        <w:autoSpaceDE w:val="0"/>
        <w:autoSpaceDN w:val="0"/>
        <w:adjustRightInd w:val="0"/>
        <w:spacing w:after="0"/>
      </w:pPr>
      <w:r>
        <w:rPr>
          <w:rFonts w:ascii="ArialMT-Light" w:hAnsi="ArialMT-Light" w:cs="ArialMT-Light"/>
        </w:rPr>
        <w:lastRenderedPageBreak/>
        <w:t xml:space="preserve">The Company will invest in the shares of </w:t>
      </w:r>
      <w:r>
        <w:t xml:space="preserve">closed-ended investment companies and will focus on portfolio companies which themselves invest in unlisted private alternative assets. </w:t>
      </w:r>
      <w:r>
        <w:rPr>
          <w:rFonts w:ascii="ArialMT-Light" w:hAnsi="ArialMT-Light" w:cs="ArialMT-Light"/>
        </w:rPr>
        <w:t xml:space="preserve">Generally, there will be no readily available market for such </w:t>
      </w:r>
      <w:r>
        <w:t>unlisted private alternative assets</w:t>
      </w:r>
      <w:r>
        <w:rPr>
          <w:rFonts w:ascii="ArialMT-Light" w:hAnsi="ArialMT-Light" w:cs="ArialMT-Light"/>
        </w:rPr>
        <w:t xml:space="preserve"> and, hence, these investments will be difficult to value. The valuations used to calculate the net asset values of such portfolio companies will, generally, in part, be based on unaudited estimated fair market values of such </w:t>
      </w:r>
      <w:r>
        <w:t>unlisted private alternative assets as determined by the investment managers of such portfolio companies</w:t>
      </w:r>
      <w:r>
        <w:rPr>
          <w:rFonts w:ascii="ArialMT-Light" w:hAnsi="ArialMT-Light" w:cs="ArialMT-Light"/>
        </w:rPr>
        <w:t xml:space="preserve">, although independent third-party valuers may also be used to assist with valuations of these </w:t>
      </w:r>
      <w:r>
        <w:t>unlisted private alternative assets</w:t>
      </w:r>
      <w:r>
        <w:rPr>
          <w:rFonts w:ascii="ArialMT-Light" w:hAnsi="ArialMT-Light" w:cs="ArialMT-Light"/>
        </w:rPr>
        <w:t>. Such valuations may be conducted on an infrequent basis, are subject to a range of uncertainties and will involve the investment managers of the portfolio companies in exercising judgement. This may create conflicts of interest for the investment managers of such portfolio companies, particularly where the management fees payable to such investment managers are based on the net asset values of the relevant portfolio companies. It should be noted that any such estimate</w:t>
      </w:r>
      <w:r w:rsidR="000D35A6">
        <w:rPr>
          <w:rFonts w:ascii="ArialMT-Light" w:hAnsi="ArialMT-Light" w:cs="ArialMT-Light"/>
        </w:rPr>
        <w:t>d</w:t>
      </w:r>
      <w:r>
        <w:rPr>
          <w:rFonts w:ascii="ArialMT-Light" w:hAnsi="ArialMT-Light" w:cs="ArialMT-Light"/>
        </w:rPr>
        <w:t xml:space="preserve"> net asset values may vary (in some cases materially) from the results published in the financial statements of portfolio companies (as the figures are published at different times) and that they, and any net asset value figure published, may vary (in some cases materially) from realised or realisable values. A failure to resolve any such conflicts of interest fairly </w:t>
      </w:r>
      <w:r>
        <w:t xml:space="preserve">could have </w:t>
      </w:r>
      <w:r w:rsidRPr="00DE5D68">
        <w:rPr>
          <w:rFonts w:cs="Arial"/>
        </w:rPr>
        <w:t xml:space="preserve">a material adverse impact on </w:t>
      </w:r>
      <w:r>
        <w:rPr>
          <w:rFonts w:cs="Arial"/>
        </w:rPr>
        <w:t>the overall value of a</w:t>
      </w:r>
      <w:r w:rsidRPr="00DE5D68">
        <w:rPr>
          <w:rFonts w:cs="Arial"/>
        </w:rPr>
        <w:t xml:space="preserve"> portfolio </w:t>
      </w:r>
      <w:r>
        <w:rPr>
          <w:rFonts w:cs="Arial"/>
        </w:rPr>
        <w:t>company and consequently a material adverse effect on</w:t>
      </w:r>
      <w:r w:rsidRPr="00DE5D68">
        <w:rPr>
          <w:rFonts w:cs="Arial"/>
        </w:rPr>
        <w:t xml:space="preserve"> the Company's</w:t>
      </w:r>
      <w:r w:rsidRPr="00F87320">
        <w:rPr>
          <w:rFonts w:cs="Arial"/>
        </w:rPr>
        <w:t xml:space="preserve"> </w:t>
      </w:r>
      <w:r w:rsidRPr="00DE5D68">
        <w:rPr>
          <w:rFonts w:cs="Arial"/>
        </w:rPr>
        <w:t xml:space="preserve">financial condition, business, prospects, and results of operations and, consequently, the Net Asset Value and/or the market price of the </w:t>
      </w:r>
      <w:r>
        <w:rPr>
          <w:rFonts w:cs="Arial"/>
        </w:rPr>
        <w:t xml:space="preserve">Ordinary </w:t>
      </w:r>
      <w:r w:rsidRPr="00DE5D68">
        <w:rPr>
          <w:rFonts w:cs="Arial"/>
        </w:rPr>
        <w:t>Shares</w:t>
      </w:r>
      <w:r>
        <w:t>.</w:t>
      </w:r>
    </w:p>
    <w:p w:rsidRPr="000A3191" w:rsidR="000A3191" w:rsidP="000A3191" w:rsidRDefault="000A3191" w14:paraId="7CD3BA16" w14:textId="77777777">
      <w:pPr>
        <w:autoSpaceDE w:val="0"/>
        <w:autoSpaceDN w:val="0"/>
        <w:adjustRightInd w:val="0"/>
        <w:spacing w:after="0"/>
        <w:rPr>
          <w:rFonts w:ascii="ArialMT-Light" w:hAnsi="ArialMT-Light" w:cs="ArialMT-Light"/>
        </w:rPr>
      </w:pPr>
    </w:p>
    <w:p w:rsidRPr="006C5523" w:rsidR="006C5523" w:rsidP="006C5523" w:rsidRDefault="006C5523" w14:paraId="62DC81AA" w14:textId="46797D55">
      <w:pPr>
        <w:pStyle w:val="BodyText"/>
        <w:rPr>
          <w:b/>
          <w:i/>
        </w:rPr>
      </w:pPr>
      <w:r w:rsidRPr="006C5523">
        <w:rPr>
          <w:b/>
          <w:i/>
        </w:rPr>
        <w:t xml:space="preserve">Dealing restrictions </w:t>
      </w:r>
    </w:p>
    <w:p w:rsidRPr="006C5523" w:rsidR="006C5523" w:rsidP="006C5523" w:rsidRDefault="006C5523" w14:paraId="5964BAC2" w14:textId="08879E98">
      <w:pPr>
        <w:pStyle w:val="BodyText"/>
      </w:pPr>
      <w:r>
        <w:t>The Investment Manager expects to recommend the timing and method of disposal of an investment when it believes that its constructive activism in respect of the relevant portfolio company has reached an appropriate stage. As a result of its engagement with a portfolio company, the Investment Manager may obtain confidential information concerning such portfolio company. The Investment Manager has in place compliance procedures designed to ensure that non-public price sensitive information is not used to make investment or disposal decisions the Company’s behalf. Under these procedures, if the Company or the Investment Manager possesses confidential information concerning a portfolio company, there may be restrictions on the Company's ability to trade in the shares of that portf</w:t>
      </w:r>
      <w:r w:rsidR="008912DA">
        <w:t xml:space="preserve">olio company </w:t>
      </w:r>
      <w:r w:rsidR="008912DA">
        <w:rPr>
          <w:rFonts w:cs="Arial"/>
        </w:rPr>
        <w:t>which</w:t>
      </w:r>
      <w:r w:rsidRPr="004E298B" w:rsidR="008912DA">
        <w:rPr>
          <w:rFonts w:cs="Arial"/>
        </w:rPr>
        <w:t xml:space="preserve"> could have a material adverse impa</w:t>
      </w:r>
      <w:r w:rsidR="008912DA">
        <w:rPr>
          <w:rFonts w:cs="Arial"/>
        </w:rPr>
        <w:t>ct on the overall value of the p</w:t>
      </w:r>
      <w:r w:rsidRPr="004E298B" w:rsidR="008912DA">
        <w:rPr>
          <w:rFonts w:cs="Arial"/>
        </w:rPr>
        <w:t xml:space="preserve">ortfolio and the Company's financial condition, business, prospects, and results of operations and, consequently, the Net Asset Value and/or the market price of the </w:t>
      </w:r>
      <w:r w:rsidR="008912DA">
        <w:rPr>
          <w:rFonts w:cs="Arial"/>
        </w:rPr>
        <w:t xml:space="preserve">Ordinary </w:t>
      </w:r>
      <w:r w:rsidRPr="004E298B" w:rsidR="008912DA">
        <w:rPr>
          <w:rFonts w:cs="Arial"/>
        </w:rPr>
        <w:t>Shares</w:t>
      </w:r>
      <w:r w:rsidR="008912DA">
        <w:rPr>
          <w:rFonts w:cs="Arial"/>
        </w:rPr>
        <w:t>.</w:t>
      </w:r>
    </w:p>
    <w:p w:rsidRPr="00DE5D68" w:rsidR="00AA58C1" w:rsidP="00C27D12" w:rsidRDefault="00AA58C1" w14:paraId="7C2293AF" w14:textId="77777777">
      <w:pPr>
        <w:keepNext/>
        <w:rPr>
          <w:rFonts w:cs="Arial"/>
          <w:b/>
          <w:i/>
        </w:rPr>
      </w:pPr>
      <w:r w:rsidRPr="00DE5D68">
        <w:rPr>
          <w:rFonts w:cs="Arial"/>
          <w:b/>
          <w:i/>
        </w:rPr>
        <w:t>Underperforming companies may continue to perform poorly</w:t>
      </w:r>
    </w:p>
    <w:p w:rsidRPr="00DE5D68" w:rsidR="00AA58C1" w:rsidP="00C27D12" w:rsidRDefault="006C5523" w14:paraId="5588A340" w14:textId="54F11895">
      <w:pPr>
        <w:rPr>
          <w:rFonts w:cs="Arial"/>
        </w:rPr>
      </w:pPr>
      <w:r>
        <w:rPr>
          <w:rFonts w:cs="Arial"/>
        </w:rPr>
        <w:t>A portfolio c</w:t>
      </w:r>
      <w:r w:rsidRPr="00DE5D68" w:rsidR="00AA58C1">
        <w:rPr>
          <w:rFonts w:cs="Arial"/>
        </w:rPr>
        <w:t>ompany may have experienced or may be expected to experience operating issues and may have associated financial difficulties</w:t>
      </w:r>
      <w:r w:rsidR="000F39C6">
        <w:rPr>
          <w:rFonts w:cs="Arial"/>
        </w:rPr>
        <w:t xml:space="preserve"> and the shares of such portfolio companies may trade at a discount to their underlying net asset values per share</w:t>
      </w:r>
      <w:r w:rsidRPr="00DE5D68" w:rsidR="00AA58C1">
        <w:rPr>
          <w:rFonts w:cs="Arial"/>
        </w:rPr>
        <w:t xml:space="preserve">. While the investment policy of the Company is to </w:t>
      </w:r>
      <w:r>
        <w:rPr>
          <w:rFonts w:cs="Arial"/>
        </w:rPr>
        <w:t>invest in portfolio</w:t>
      </w:r>
      <w:r w:rsidRPr="00DE5D68" w:rsidR="00AA58C1">
        <w:rPr>
          <w:rFonts w:cs="Arial"/>
        </w:rPr>
        <w:t xml:space="preserve"> </w:t>
      </w:r>
      <w:r>
        <w:rPr>
          <w:rFonts w:cs="Arial"/>
        </w:rPr>
        <w:t>companies where value might be added, a portfolio c</w:t>
      </w:r>
      <w:r w:rsidRPr="00DE5D68" w:rsidR="00AA58C1">
        <w:rPr>
          <w:rFonts w:cs="Arial"/>
        </w:rPr>
        <w:t xml:space="preserve">ompany may not prove to be capable of generating any additional value for its </w:t>
      </w:r>
      <w:r w:rsidR="008912DA">
        <w:rPr>
          <w:rFonts w:cs="Arial"/>
        </w:rPr>
        <w:t>s</w:t>
      </w:r>
      <w:r w:rsidRPr="00DE5D68" w:rsidR="000C0D70">
        <w:rPr>
          <w:rFonts w:cs="Arial"/>
        </w:rPr>
        <w:t>hareholder</w:t>
      </w:r>
      <w:r w:rsidRPr="00DE5D68" w:rsidR="00AA58C1">
        <w:rPr>
          <w:rFonts w:cs="Arial"/>
        </w:rPr>
        <w:t>s. Such risks could lead to the partial or total lo</w:t>
      </w:r>
      <w:r w:rsidR="008912DA">
        <w:rPr>
          <w:rFonts w:cs="Arial"/>
        </w:rPr>
        <w:t>ss of the Company’s investment which</w:t>
      </w:r>
      <w:r w:rsidRPr="004E298B" w:rsidR="008912DA">
        <w:rPr>
          <w:rFonts w:cs="Arial"/>
        </w:rPr>
        <w:t xml:space="preserve"> could have a material adverse impa</w:t>
      </w:r>
      <w:r w:rsidR="008912DA">
        <w:rPr>
          <w:rFonts w:cs="Arial"/>
        </w:rPr>
        <w:t>ct on the overall value of the p</w:t>
      </w:r>
      <w:r w:rsidRPr="004E298B" w:rsidR="008912DA">
        <w:rPr>
          <w:rFonts w:cs="Arial"/>
        </w:rPr>
        <w:t xml:space="preserve">ortfolio and the Company's financial condition, business, prospects, and results of operations and, consequently, the Net Asset Value and/or the market price of the </w:t>
      </w:r>
      <w:r w:rsidR="008912DA">
        <w:rPr>
          <w:rFonts w:cs="Arial"/>
        </w:rPr>
        <w:t xml:space="preserve">Ordinary </w:t>
      </w:r>
      <w:r w:rsidRPr="004E298B" w:rsidR="008912DA">
        <w:rPr>
          <w:rFonts w:cs="Arial"/>
        </w:rPr>
        <w:t>Shares</w:t>
      </w:r>
      <w:r w:rsidR="008912DA">
        <w:rPr>
          <w:rFonts w:cs="Arial"/>
        </w:rPr>
        <w:t>.</w:t>
      </w:r>
    </w:p>
    <w:p w:rsidRPr="00DE5D68" w:rsidR="00AA58C1" w:rsidP="00C27D12" w:rsidRDefault="00AA58C1" w14:paraId="75EB9FB2" w14:textId="0311B12F">
      <w:pPr>
        <w:keepNext/>
        <w:rPr>
          <w:rFonts w:cs="Arial"/>
          <w:b/>
          <w:i/>
        </w:rPr>
      </w:pPr>
      <w:r w:rsidRPr="00DE5D68">
        <w:rPr>
          <w:rFonts w:cs="Arial"/>
          <w:b/>
          <w:i/>
        </w:rPr>
        <w:t xml:space="preserve">Leverage of </w:t>
      </w:r>
      <w:r w:rsidRPr="00DE5D68" w:rsidR="009532AF">
        <w:rPr>
          <w:rFonts w:cs="Arial"/>
          <w:b/>
          <w:i/>
        </w:rPr>
        <w:t>assets</w:t>
      </w:r>
    </w:p>
    <w:p w:rsidRPr="00DE5D68" w:rsidR="00AA58C1" w:rsidP="00C27D12" w:rsidRDefault="00AA58C1" w14:paraId="6B5A5A82" w14:textId="37B6B0E4">
      <w:pPr>
        <w:rPr>
          <w:rFonts w:cs="Arial"/>
        </w:rPr>
      </w:pPr>
      <w:r w:rsidRPr="00DE5D68">
        <w:rPr>
          <w:rFonts w:cs="Arial"/>
        </w:rPr>
        <w:t>While investments in leveraged companies offer the opportunity for capital appreciation, such investments also invo</w:t>
      </w:r>
      <w:r w:rsidR="006C5523">
        <w:rPr>
          <w:rFonts w:cs="Arial"/>
        </w:rPr>
        <w:t>lve a higher degree of risk. A portfolio c</w:t>
      </w:r>
      <w:r w:rsidRPr="00DE5D68">
        <w:rPr>
          <w:rFonts w:cs="Arial"/>
        </w:rPr>
        <w:t>ompany may make use of varying degrees of leverage, as a result of which recessions, operating problems and other general business and economic risks may have a more pronounced effect on the profitability or survival of such companies. Moreover, any rise in interest rate</w:t>
      </w:r>
      <w:r w:rsidR="006C5523">
        <w:rPr>
          <w:rFonts w:cs="Arial"/>
        </w:rPr>
        <w:t>s may significantly increase a portfolio c</w:t>
      </w:r>
      <w:r w:rsidRPr="00DE5D68">
        <w:rPr>
          <w:rFonts w:cs="Arial"/>
        </w:rPr>
        <w:t>ompany’s interest expense, causing losses and/or the inabilit</w:t>
      </w:r>
      <w:r w:rsidR="006C5523">
        <w:rPr>
          <w:rFonts w:cs="Arial"/>
        </w:rPr>
        <w:t>y to service debt levels. If a portfolio c</w:t>
      </w:r>
      <w:r w:rsidRPr="00DE5D68">
        <w:rPr>
          <w:rFonts w:cs="Arial"/>
        </w:rPr>
        <w:t>ompany cannot generate adequate cash flow to meet debt obligations, the Company may suffer a partial or total lo</w:t>
      </w:r>
      <w:r w:rsidR="006C5523">
        <w:rPr>
          <w:rFonts w:cs="Arial"/>
        </w:rPr>
        <w:t>ss of capital invested in such portfolio c</w:t>
      </w:r>
      <w:r w:rsidR="008912DA">
        <w:rPr>
          <w:rFonts w:cs="Arial"/>
        </w:rPr>
        <w:t xml:space="preserve">ompany which </w:t>
      </w:r>
      <w:r w:rsidRPr="004E298B" w:rsidR="008912DA">
        <w:rPr>
          <w:rFonts w:cs="Arial"/>
        </w:rPr>
        <w:t>could have a material adverse impa</w:t>
      </w:r>
      <w:r w:rsidR="008912DA">
        <w:rPr>
          <w:rFonts w:cs="Arial"/>
        </w:rPr>
        <w:t>ct on the overall value of the p</w:t>
      </w:r>
      <w:r w:rsidRPr="004E298B" w:rsidR="008912DA">
        <w:rPr>
          <w:rFonts w:cs="Arial"/>
        </w:rPr>
        <w:t xml:space="preserve">ortfolio and the Company's financial condition, business, prospects, and results of operations and, consequently, the Net Asset Value and/or the market price of the </w:t>
      </w:r>
      <w:r w:rsidR="008912DA">
        <w:rPr>
          <w:rFonts w:cs="Arial"/>
        </w:rPr>
        <w:t xml:space="preserve">Ordinary </w:t>
      </w:r>
      <w:r w:rsidRPr="004E298B" w:rsidR="008912DA">
        <w:rPr>
          <w:rFonts w:cs="Arial"/>
        </w:rPr>
        <w:t>Shares</w:t>
      </w:r>
      <w:r w:rsidR="008912DA">
        <w:rPr>
          <w:rFonts w:cs="Arial"/>
        </w:rPr>
        <w:t>.</w:t>
      </w:r>
    </w:p>
    <w:p w:rsidRPr="00DE5D68" w:rsidR="00AA58C1" w:rsidP="00C27D12" w:rsidRDefault="00AA58C1" w14:paraId="62EB44CC" w14:textId="751EE1FD">
      <w:pPr>
        <w:keepNext/>
        <w:rPr>
          <w:rFonts w:cs="Arial"/>
          <w:b/>
          <w:i/>
        </w:rPr>
      </w:pPr>
      <w:r w:rsidRPr="00DE5D68">
        <w:rPr>
          <w:rFonts w:cs="Arial"/>
          <w:b/>
          <w:i/>
        </w:rPr>
        <w:t>Proceeds from equity disposals received by the Company may vary from year to year</w:t>
      </w:r>
    </w:p>
    <w:p w:rsidR="00665790" w:rsidP="00C27D12" w:rsidRDefault="00AA58C1" w14:paraId="11CCFB20" w14:textId="048C3928">
      <w:pPr>
        <w:rPr>
          <w:rFonts w:cs="Arial"/>
        </w:rPr>
      </w:pPr>
      <w:r w:rsidRPr="00DE5D68">
        <w:rPr>
          <w:rFonts w:cs="Arial"/>
        </w:rPr>
        <w:t xml:space="preserve">Proceeds from any disposal of the Company's interests in </w:t>
      </w:r>
      <w:r w:rsidR="006C5523">
        <w:rPr>
          <w:rFonts w:cs="Arial"/>
        </w:rPr>
        <w:t>portfolio c</w:t>
      </w:r>
      <w:r w:rsidRPr="00DE5D68" w:rsidR="00045714">
        <w:rPr>
          <w:rFonts w:cs="Arial"/>
        </w:rPr>
        <w:t>ompanies</w:t>
      </w:r>
      <w:r w:rsidRPr="00DE5D68">
        <w:rPr>
          <w:rFonts w:cs="Arial"/>
        </w:rPr>
        <w:t xml:space="preserve"> may vary substantially from year to year. This means the return received by the Company from these sources may vary substantially from year to year. </w:t>
      </w:r>
      <w:r w:rsidR="006C5523">
        <w:rPr>
          <w:rFonts w:cs="Arial"/>
        </w:rPr>
        <w:t>T</w:t>
      </w:r>
      <w:r w:rsidRPr="00DE5D68">
        <w:rPr>
          <w:rFonts w:cs="Arial"/>
        </w:rPr>
        <w:t xml:space="preserve">hese variations in overall returns may have a material adverse effect on </w:t>
      </w:r>
      <w:r w:rsidRPr="00DE5D68" w:rsidR="00045714">
        <w:rPr>
          <w:rFonts w:cs="Arial"/>
        </w:rPr>
        <w:t xml:space="preserve">the </w:t>
      </w:r>
      <w:r w:rsidR="00F8351C">
        <w:rPr>
          <w:rFonts w:cs="Arial"/>
        </w:rPr>
        <w:t>market price</w:t>
      </w:r>
      <w:r w:rsidRPr="00DE5D68">
        <w:rPr>
          <w:rFonts w:cs="Arial"/>
        </w:rPr>
        <w:t xml:space="preserve"> of the </w:t>
      </w:r>
      <w:r w:rsidR="006C5523">
        <w:rPr>
          <w:rFonts w:cs="Arial"/>
        </w:rPr>
        <w:t xml:space="preserve">Ordinary </w:t>
      </w:r>
      <w:r w:rsidRPr="00DE5D68">
        <w:rPr>
          <w:rFonts w:cs="Arial"/>
        </w:rPr>
        <w:t>Shares.</w:t>
      </w:r>
    </w:p>
    <w:p w:rsidRPr="00DE5D68" w:rsidR="00AA58C1" w:rsidP="00C27D12" w:rsidRDefault="00AA58C1" w14:paraId="07DBCFE1" w14:textId="167251A7">
      <w:pPr>
        <w:keepNext/>
        <w:rPr>
          <w:rFonts w:cs="Arial"/>
          <w:b/>
        </w:rPr>
      </w:pPr>
      <w:r w:rsidRPr="00DE5D68">
        <w:rPr>
          <w:rFonts w:cs="Arial"/>
          <w:b/>
        </w:rPr>
        <w:lastRenderedPageBreak/>
        <w:t>RISKS RELATING TO THE INVESTMENT MANAGER</w:t>
      </w:r>
    </w:p>
    <w:p w:rsidRPr="00DE5D68" w:rsidR="00AA58C1" w:rsidP="00C27D12" w:rsidRDefault="00AA58C1" w14:paraId="16C29A05" w14:textId="77777777">
      <w:pPr>
        <w:keepNext/>
        <w:rPr>
          <w:rFonts w:cs="Arial"/>
          <w:b/>
          <w:i/>
        </w:rPr>
      </w:pPr>
      <w:r w:rsidRPr="00DE5D68">
        <w:rPr>
          <w:rFonts w:cs="Arial"/>
          <w:b/>
          <w:i/>
        </w:rPr>
        <w:t>The success of the Company depends on the ability and expertise of the Investment Manager</w:t>
      </w:r>
    </w:p>
    <w:p w:rsidR="00AA58C1" w:rsidP="00C27D12" w:rsidRDefault="00AA58C1" w14:paraId="429B7CE5" w14:textId="6CD94560">
      <w:pPr>
        <w:rPr>
          <w:rFonts w:cs="Arial"/>
        </w:rPr>
      </w:pPr>
      <w:r w:rsidRPr="00DE5D68">
        <w:rPr>
          <w:rFonts w:cs="Arial"/>
        </w:rPr>
        <w:t xml:space="preserve">In accordance with the Investment Management Agreement, all of the investment and asset management decisions of the Company will be made by the Investment Manager, under the overall supervision of the Directors, and not by the Company and, accordingly, the Company will be reliant upon, and its success will to a great extent depend on, </w:t>
      </w:r>
      <w:r w:rsidR="000D0C70">
        <w:rPr>
          <w:rFonts w:cs="Arial"/>
        </w:rPr>
        <w:t xml:space="preserve">the </w:t>
      </w:r>
      <w:r w:rsidRPr="00DE5D68">
        <w:rPr>
          <w:rFonts w:cs="Arial"/>
        </w:rPr>
        <w:t xml:space="preserve">ability and expertise of the Investment Manager and its </w:t>
      </w:r>
      <w:r w:rsidR="0069581D">
        <w:rPr>
          <w:rFonts w:cs="Arial"/>
        </w:rPr>
        <w:t xml:space="preserve">key </w:t>
      </w:r>
      <w:r w:rsidR="000D0C70">
        <w:rPr>
          <w:rFonts w:cs="Arial"/>
        </w:rPr>
        <w:t>investment professionals</w:t>
      </w:r>
      <w:r w:rsidR="0069581D">
        <w:rPr>
          <w:rFonts w:cs="Arial"/>
        </w:rPr>
        <w:t xml:space="preserve"> (being Chris</w:t>
      </w:r>
      <w:r w:rsidR="000E3272">
        <w:rPr>
          <w:rFonts w:cs="Arial"/>
        </w:rPr>
        <w:t>t</w:t>
      </w:r>
      <w:r w:rsidR="0069581D">
        <w:rPr>
          <w:rFonts w:cs="Arial"/>
        </w:rPr>
        <w:t>opher Mills and Robert Naylor)</w:t>
      </w:r>
      <w:r w:rsidR="005B2460">
        <w:rPr>
          <w:rFonts w:cs="Arial"/>
        </w:rPr>
        <w:t xml:space="preserve"> and </w:t>
      </w:r>
      <w:r w:rsidRPr="00DE5D68" w:rsidR="005B2460">
        <w:rPr>
          <w:rFonts w:cs="Arial"/>
        </w:rPr>
        <w:t xml:space="preserve">the </w:t>
      </w:r>
      <w:r w:rsidR="005B2460">
        <w:rPr>
          <w:rFonts w:cs="Arial"/>
        </w:rPr>
        <w:t>services and resources of the Investment Manager in executing the Company's investment policy</w:t>
      </w:r>
      <w:r w:rsidR="000D0C70">
        <w:rPr>
          <w:rFonts w:cs="Arial"/>
        </w:rPr>
        <w:t>. A</w:t>
      </w:r>
      <w:r w:rsidR="00B74584">
        <w:rPr>
          <w:rFonts w:cs="Arial"/>
        </w:rPr>
        <w:t xml:space="preserve"> failure by the Investment Manager </w:t>
      </w:r>
      <w:r w:rsidRPr="004E298B" w:rsidR="00B74584">
        <w:rPr>
          <w:rFonts w:cs="Arial"/>
        </w:rPr>
        <w:t>could have a material adverse impa</w:t>
      </w:r>
      <w:r w:rsidR="00B74584">
        <w:rPr>
          <w:rFonts w:cs="Arial"/>
        </w:rPr>
        <w:t>ct on the overall value of the p</w:t>
      </w:r>
      <w:r w:rsidRPr="004E298B" w:rsidR="00B74584">
        <w:rPr>
          <w:rFonts w:cs="Arial"/>
        </w:rPr>
        <w:t xml:space="preserve">ortfolio and the Company's financial condition, business, prospects, and results of operations and, consequently, the Net Asset Value and/or the market price of the </w:t>
      </w:r>
      <w:r w:rsidR="00B74584">
        <w:rPr>
          <w:rFonts w:cs="Arial"/>
        </w:rPr>
        <w:t xml:space="preserve">Ordinary </w:t>
      </w:r>
      <w:r w:rsidRPr="004E298B" w:rsidR="00B74584">
        <w:rPr>
          <w:rFonts w:cs="Arial"/>
        </w:rPr>
        <w:t>Shares</w:t>
      </w:r>
      <w:r w:rsidR="00B74584">
        <w:rPr>
          <w:rFonts w:cs="Arial"/>
        </w:rPr>
        <w:t>.</w:t>
      </w:r>
    </w:p>
    <w:p w:rsidRPr="00D72830" w:rsidR="00D72830" w:rsidP="00D72830" w:rsidRDefault="00D72830" w14:paraId="56CB858A" w14:textId="38806FA7">
      <w:pPr>
        <w:pStyle w:val="BodyText"/>
        <w:rPr>
          <w:b/>
          <w:i/>
        </w:rPr>
      </w:pPr>
      <w:r w:rsidRPr="00D72830">
        <w:rPr>
          <w:b/>
          <w:i/>
        </w:rPr>
        <w:t xml:space="preserve">Departure of key </w:t>
      </w:r>
      <w:r w:rsidR="000D0C70">
        <w:rPr>
          <w:b/>
          <w:i/>
        </w:rPr>
        <w:t>investment professionals</w:t>
      </w:r>
      <w:r>
        <w:rPr>
          <w:b/>
          <w:i/>
        </w:rPr>
        <w:t xml:space="preserve"> from the Investment Manager</w:t>
      </w:r>
      <w:r w:rsidRPr="00D72830">
        <w:rPr>
          <w:b/>
          <w:i/>
        </w:rPr>
        <w:t xml:space="preserve"> </w:t>
      </w:r>
    </w:p>
    <w:p w:rsidRPr="00D72830" w:rsidR="00D72830" w:rsidP="00D72830" w:rsidRDefault="00D72830" w14:paraId="374B1B8D" w14:textId="5B999A59">
      <w:pPr>
        <w:pStyle w:val="BodyText"/>
      </w:pPr>
      <w:r>
        <w:t xml:space="preserve">The Company depends on the diligence, skill and business contacts of the Investment Manager’s </w:t>
      </w:r>
      <w:r w:rsidR="0069581D">
        <w:t xml:space="preserve">key </w:t>
      </w:r>
      <w:r w:rsidR="000D0C70">
        <w:t>investment professionals,</w:t>
      </w:r>
      <w:r w:rsidR="0069581D">
        <w:t xml:space="preserve"> being Christop</w:t>
      </w:r>
      <w:r w:rsidR="00286E93">
        <w:t>h</w:t>
      </w:r>
      <w:r w:rsidR="0069581D">
        <w:t>er Mills and Robert Naylor</w:t>
      </w:r>
      <w:r>
        <w:t>. The Company’s future success depends on the continued service of these individuals, who are not obligated to remain employed</w:t>
      </w:r>
      <w:r w:rsidR="00F724D9">
        <w:t xml:space="preserve"> or involved</w:t>
      </w:r>
      <w:r>
        <w:t xml:space="preserve"> with</w:t>
      </w:r>
      <w:r w:rsidR="005B2460">
        <w:t>, or engaged by,</w:t>
      </w:r>
      <w:r>
        <w:t xml:space="preserve"> the Investment Manager. The Company cannot predict the impact that any such departure will have on the Company’s ability to achieve its investment objective or pursue its investment policy. The departure of </w:t>
      </w:r>
      <w:r w:rsidR="0069581D">
        <w:t>Christop</w:t>
      </w:r>
      <w:r w:rsidR="00286E93">
        <w:t>h</w:t>
      </w:r>
      <w:r w:rsidR="0069581D">
        <w:t>er Mills and/or Robert Naylor</w:t>
      </w:r>
      <w:r>
        <w:t xml:space="preserve"> for any reason, or the failure to appoint qualified or effective successors in the event of such departures, could have a material adverse effect on the Company’s ability to achieve its</w:t>
      </w:r>
      <w:r w:rsidR="00B61FCF">
        <w:t xml:space="preserve"> investment objective. </w:t>
      </w:r>
    </w:p>
    <w:p w:rsidRPr="00DE5D68" w:rsidR="007216E0" w:rsidP="00C27D12" w:rsidRDefault="007216E0" w14:paraId="2FE3F7D9" w14:textId="4CE27216">
      <w:pPr>
        <w:keepNext/>
        <w:rPr>
          <w:rFonts w:cs="Arial"/>
          <w:b/>
          <w:i/>
        </w:rPr>
      </w:pPr>
      <w:r w:rsidRPr="00DE5D68">
        <w:rPr>
          <w:rFonts w:cs="Arial"/>
          <w:b/>
          <w:i/>
        </w:rPr>
        <w:t>The Investment Manager and its affiliates may provide services to other clients which could compete directly or indirectly with the activities of the Company and may be subject to conflicts of interest in respect of its activities on behalf of the Company</w:t>
      </w:r>
    </w:p>
    <w:p w:rsidRPr="00DE5D68" w:rsidR="007216E0" w:rsidP="00C27D12" w:rsidRDefault="007216E0" w14:paraId="6566BEBE" w14:textId="32EC3BCC">
      <w:pPr>
        <w:keepNext/>
        <w:rPr>
          <w:rFonts w:cs="Arial"/>
        </w:rPr>
      </w:pPr>
      <w:r w:rsidRPr="00DE5D68">
        <w:rPr>
          <w:rFonts w:cs="Arial"/>
        </w:rPr>
        <w:t>The Investment Manager and its affiliates may be involved in other financial, investment or professional activities which may on occasion give rise to conflicts of interest with the Company. In particular, the Inve</w:t>
      </w:r>
      <w:r w:rsidR="00F8351C">
        <w:rPr>
          <w:rFonts w:cs="Arial"/>
        </w:rPr>
        <w:t>stment Manager will</w:t>
      </w:r>
      <w:r w:rsidRPr="00DE5D68">
        <w:rPr>
          <w:rFonts w:cs="Arial"/>
        </w:rPr>
        <w:t xml:space="preserve"> manage </w:t>
      </w:r>
      <w:r w:rsidR="006E0A02">
        <w:rPr>
          <w:rFonts w:cs="Arial"/>
        </w:rPr>
        <w:t xml:space="preserve">managed accounts and </w:t>
      </w:r>
      <w:r w:rsidRPr="00DE5D68">
        <w:rPr>
          <w:rFonts w:cs="Arial"/>
        </w:rPr>
        <w:t>funds other than the Company</w:t>
      </w:r>
      <w:r w:rsidRPr="00DE5D68" w:rsidR="001763B4">
        <w:rPr>
          <w:rFonts w:cs="Arial"/>
        </w:rPr>
        <w:t xml:space="preserve"> </w:t>
      </w:r>
      <w:r w:rsidRPr="00DE5D68">
        <w:rPr>
          <w:rFonts w:cs="Arial"/>
        </w:rPr>
        <w:t xml:space="preserve">and may provide investment management, investment advisory or other services in relation to </w:t>
      </w:r>
      <w:r w:rsidR="006E0A02">
        <w:rPr>
          <w:rFonts w:cs="Arial"/>
        </w:rPr>
        <w:t xml:space="preserve">these current and </w:t>
      </w:r>
      <w:r w:rsidRPr="00DE5D68">
        <w:rPr>
          <w:rFonts w:cs="Arial"/>
        </w:rPr>
        <w:t xml:space="preserve">future funds </w:t>
      </w:r>
      <w:r w:rsidR="006E0A02">
        <w:rPr>
          <w:rFonts w:cs="Arial"/>
        </w:rPr>
        <w:t xml:space="preserve">and managed accounts </w:t>
      </w:r>
      <w:r w:rsidRPr="00DE5D68">
        <w:rPr>
          <w:rFonts w:cs="Arial"/>
        </w:rPr>
        <w:t>which may have similar investment p</w:t>
      </w:r>
      <w:r w:rsidR="00CF4518">
        <w:rPr>
          <w:rFonts w:cs="Arial"/>
        </w:rPr>
        <w:t xml:space="preserve">olicies to that of the Company. </w:t>
      </w:r>
      <w:r w:rsidRPr="00DE5D68">
        <w:rPr>
          <w:rFonts w:cs="Arial"/>
        </w:rPr>
        <w:t xml:space="preserve">The Investment Manager and its affiliates may give advice and recommend securities to </w:t>
      </w:r>
      <w:r w:rsidRPr="00DE5D68" w:rsidR="001763B4">
        <w:rPr>
          <w:rFonts w:cs="Arial"/>
        </w:rPr>
        <w:t xml:space="preserve">such </w:t>
      </w:r>
      <w:r w:rsidRPr="00DE5D68">
        <w:rPr>
          <w:rFonts w:cs="Arial"/>
        </w:rPr>
        <w:t>other managed accounts or funds which may differ from advice given to, or investments recommended or bought for, the Company, even though their investment poli</w:t>
      </w:r>
      <w:r w:rsidR="000A22B2">
        <w:rPr>
          <w:rFonts w:cs="Arial"/>
        </w:rPr>
        <w:t>cies may be the same or similar which</w:t>
      </w:r>
      <w:r w:rsidRPr="004E298B" w:rsidR="000A22B2">
        <w:rPr>
          <w:rFonts w:cs="Arial"/>
        </w:rPr>
        <w:t xml:space="preserve"> could have a material adverse impa</w:t>
      </w:r>
      <w:r w:rsidR="000A22B2">
        <w:rPr>
          <w:rFonts w:cs="Arial"/>
        </w:rPr>
        <w:t>ct on the overall value of the p</w:t>
      </w:r>
      <w:r w:rsidRPr="004E298B" w:rsidR="000A22B2">
        <w:rPr>
          <w:rFonts w:cs="Arial"/>
        </w:rPr>
        <w:t xml:space="preserve">ortfolio and the Company's financial condition, business, prospects, and results of operations and, consequently, the Net Asset Value and/or the market price of the </w:t>
      </w:r>
      <w:r w:rsidR="000A22B2">
        <w:rPr>
          <w:rFonts w:cs="Arial"/>
        </w:rPr>
        <w:t xml:space="preserve">Ordinary </w:t>
      </w:r>
      <w:r w:rsidRPr="004E298B" w:rsidR="000A22B2">
        <w:rPr>
          <w:rFonts w:cs="Arial"/>
        </w:rPr>
        <w:t>Shares</w:t>
      </w:r>
      <w:r w:rsidR="000A22B2">
        <w:rPr>
          <w:rFonts w:cs="Arial"/>
        </w:rPr>
        <w:t>.</w:t>
      </w:r>
    </w:p>
    <w:p w:rsidRPr="00B61FCF" w:rsidR="00AA58C1" w:rsidP="00C27D12" w:rsidRDefault="00AA58C1" w14:paraId="11BBFC5D" w14:textId="5409DD22">
      <w:pPr>
        <w:keepNext/>
        <w:rPr>
          <w:rFonts w:cs="Arial"/>
          <w:b/>
          <w:i/>
        </w:rPr>
      </w:pPr>
      <w:r w:rsidRPr="00B61FCF">
        <w:rPr>
          <w:rFonts w:cs="Arial"/>
          <w:b/>
          <w:i/>
        </w:rPr>
        <w:t xml:space="preserve">There can be no assurance that the Board will be able to find a replacement </w:t>
      </w:r>
      <w:r w:rsidRPr="00B61FCF" w:rsidR="000C0D70">
        <w:rPr>
          <w:rFonts w:cs="Arial"/>
          <w:b/>
          <w:i/>
        </w:rPr>
        <w:t>Investment Manager</w:t>
      </w:r>
      <w:r w:rsidRPr="00B61FCF">
        <w:rPr>
          <w:rFonts w:cs="Arial"/>
          <w:b/>
          <w:i/>
        </w:rPr>
        <w:t xml:space="preserve"> if the Investment Manager resigns</w:t>
      </w:r>
      <w:r w:rsidR="00286E93">
        <w:rPr>
          <w:rFonts w:cs="Arial"/>
          <w:b/>
          <w:i/>
        </w:rPr>
        <w:t xml:space="preserve"> or is terminated by the Company</w:t>
      </w:r>
    </w:p>
    <w:p w:rsidRPr="00DE5D68" w:rsidR="00AA58C1" w:rsidP="00C27D12" w:rsidRDefault="00AA58C1" w14:paraId="73CD31FE" w14:textId="6F1FBF5D">
      <w:pPr>
        <w:rPr>
          <w:rFonts w:cs="Arial"/>
        </w:rPr>
      </w:pPr>
      <w:r w:rsidRPr="00DE5D68">
        <w:rPr>
          <w:rFonts w:cs="Arial"/>
        </w:rPr>
        <w:t xml:space="preserve">Under the terms of the Investment Management Agreement, the Investment Management Agreement may be terminated by the Investment Manager or the Company on not less than </w:t>
      </w:r>
      <w:r w:rsidR="0069581D">
        <w:rPr>
          <w:rFonts w:cs="Arial"/>
          <w:spacing w:val="6"/>
        </w:rPr>
        <w:t>6</w:t>
      </w:r>
      <w:r w:rsidRPr="00DE5D68">
        <w:rPr>
          <w:rFonts w:cs="Arial"/>
        </w:rPr>
        <w:t xml:space="preserve"> mo</w:t>
      </w:r>
      <w:r w:rsidR="00275178">
        <w:rPr>
          <w:rFonts w:cs="Arial"/>
        </w:rPr>
        <w:t>nths’ notice to the other party</w:t>
      </w:r>
      <w:r w:rsidR="000D0C70">
        <w:rPr>
          <w:rFonts w:cs="Arial"/>
        </w:rPr>
        <w:t xml:space="preserve"> (not to be served prior to the first anniversary of </w:t>
      </w:r>
      <w:r w:rsidR="00054653">
        <w:rPr>
          <w:rFonts w:cs="Arial"/>
        </w:rPr>
        <w:t xml:space="preserve">Initial </w:t>
      </w:r>
      <w:r w:rsidR="000D0C70">
        <w:rPr>
          <w:rFonts w:cs="Arial"/>
        </w:rPr>
        <w:t>Admission)</w:t>
      </w:r>
      <w:r w:rsidR="00F8351C">
        <w:rPr>
          <w:rFonts w:cs="Arial"/>
        </w:rPr>
        <w:t>.</w:t>
      </w:r>
    </w:p>
    <w:p w:rsidR="00AA58C1" w:rsidP="00C27D12" w:rsidRDefault="000D0C70" w14:paraId="2203DA4B" w14:textId="6B5E9B4F">
      <w:pPr>
        <w:rPr>
          <w:rFonts w:cs="Arial"/>
        </w:rPr>
      </w:pPr>
      <w:r>
        <w:rPr>
          <w:rFonts w:cs="Arial"/>
        </w:rPr>
        <w:t>If the Investment Management Agreement were to be terminated, t</w:t>
      </w:r>
      <w:r w:rsidRPr="00DE5D68" w:rsidR="00AA58C1">
        <w:rPr>
          <w:rFonts w:cs="Arial"/>
        </w:rPr>
        <w:t xml:space="preserve">he Board would, in these circumstances, have to find a replacement </w:t>
      </w:r>
      <w:r w:rsidRPr="00DE5D68" w:rsidR="000C0D70">
        <w:rPr>
          <w:rFonts w:cs="Arial"/>
        </w:rPr>
        <w:t>Investment Manager</w:t>
      </w:r>
      <w:r w:rsidRPr="00DE5D68" w:rsidR="00AA58C1">
        <w:rPr>
          <w:rFonts w:cs="Arial"/>
        </w:rPr>
        <w:t xml:space="preserve"> for the Company and there can be no assurance that a replacement with the necessary skills and experience would be available and/or could be appointed on terms acceptable to the Company. In this event, the Board may have to formulate and put forward to Shareholders proposals for the future of the Company which may include its merger with another investment company, reconstruction or winding up. While the Directors would seek to mitigate the effects of such a course of action, it may not be possible to avoid this having a material adverse effect on the Company’s financial condition, business, prospects and results of operations and, consequently, the Net Asset Value and/or the market price of the </w:t>
      </w:r>
      <w:r w:rsidR="00B61FCF">
        <w:rPr>
          <w:rFonts w:cs="Arial"/>
        </w:rPr>
        <w:t xml:space="preserve">Ordinary </w:t>
      </w:r>
      <w:r w:rsidRPr="00DE5D68" w:rsidR="00AA58C1">
        <w:rPr>
          <w:rFonts w:cs="Arial"/>
        </w:rPr>
        <w:t>Shares.</w:t>
      </w:r>
    </w:p>
    <w:p w:rsidRPr="00F8351C" w:rsidR="00DC1627" w:rsidP="00DC1627" w:rsidRDefault="00DC1627" w14:paraId="6E3DF6E1" w14:textId="77777777">
      <w:pPr>
        <w:keepNext/>
        <w:rPr>
          <w:rFonts w:cs="Arial"/>
          <w:b/>
          <w:i/>
        </w:rPr>
      </w:pPr>
      <w:r w:rsidRPr="00F8351C">
        <w:rPr>
          <w:rFonts w:cs="Arial"/>
          <w:b/>
          <w:i/>
        </w:rPr>
        <w:t>Performance fees</w:t>
      </w:r>
    </w:p>
    <w:p w:rsidRPr="00DE5D68" w:rsidR="00DC1627" w:rsidP="00DC1627" w:rsidRDefault="00DC1627" w14:paraId="5A34FF9C" w14:textId="426F04E3">
      <w:pPr>
        <w:rPr>
          <w:rFonts w:cs="Arial"/>
          <w:b/>
          <w:i/>
        </w:rPr>
      </w:pPr>
      <w:r w:rsidRPr="00DE5D68">
        <w:rPr>
          <w:rFonts w:cs="Arial"/>
        </w:rPr>
        <w:t xml:space="preserve">The Investment Manager </w:t>
      </w:r>
      <w:r w:rsidR="00E00CFF">
        <w:rPr>
          <w:rFonts w:cs="Arial"/>
        </w:rPr>
        <w:t>may</w:t>
      </w:r>
      <w:r w:rsidRPr="00DE5D68">
        <w:rPr>
          <w:rFonts w:cs="Arial"/>
        </w:rPr>
        <w:t xml:space="preserve"> become entitled to a performance fee </w:t>
      </w:r>
      <w:r w:rsidR="00F56893">
        <w:rPr>
          <w:rFonts w:cs="Arial"/>
        </w:rPr>
        <w:t>(</w:t>
      </w:r>
      <w:r w:rsidRPr="00DE5D68">
        <w:rPr>
          <w:rFonts w:cs="Arial"/>
        </w:rPr>
        <w:t>subject to meeting certain performance thresholds</w:t>
      </w:r>
      <w:r w:rsidR="00F56893">
        <w:rPr>
          <w:rFonts w:cs="Arial"/>
        </w:rPr>
        <w:t>)</w:t>
      </w:r>
      <w:r w:rsidR="00E00CFF">
        <w:rPr>
          <w:rFonts w:cs="Arial"/>
        </w:rPr>
        <w:t>. The performance fee (if payable) would be</w:t>
      </w:r>
      <w:r w:rsidR="00F56893">
        <w:rPr>
          <w:rFonts w:cs="Arial"/>
        </w:rPr>
        <w:t xml:space="preserve"> equal to </w:t>
      </w:r>
      <w:r w:rsidR="00FE3FD6">
        <w:rPr>
          <w:rFonts w:cs="Arial"/>
        </w:rPr>
        <w:t>10</w:t>
      </w:r>
      <w:r w:rsidR="00E00CFF">
        <w:rPr>
          <w:rFonts w:cs="Arial"/>
        </w:rPr>
        <w:t xml:space="preserve"> per cent. of the amount by which the </w:t>
      </w:r>
      <w:r w:rsidR="009B6453">
        <w:rPr>
          <w:rFonts w:cs="Arial"/>
        </w:rPr>
        <w:t>Total Return NAV per Share exceeds the higher of: (</w:t>
      </w:r>
      <w:proofErr w:type="spellStart"/>
      <w:r w:rsidR="009B6453">
        <w:rPr>
          <w:rFonts w:cs="Arial"/>
        </w:rPr>
        <w:t>i</w:t>
      </w:r>
      <w:proofErr w:type="spellEnd"/>
      <w:r w:rsidR="009B6453">
        <w:rPr>
          <w:rFonts w:cs="Arial"/>
        </w:rPr>
        <w:t xml:space="preserve">) the Hurdle NAV per Share or the High </w:t>
      </w:r>
      <w:r w:rsidR="009B6453">
        <w:rPr>
          <w:rFonts w:cs="Arial"/>
        </w:rPr>
        <w:lastRenderedPageBreak/>
        <w:t>Watermark</w:t>
      </w:r>
      <w:r w:rsidRPr="00DE5D68">
        <w:rPr>
          <w:rFonts w:cs="Arial"/>
        </w:rPr>
        <w:t>. The potential for a performance fee to be payable under the Investment Management Agreement may create an incentive for the Investment Manager to make riskier or more speculative investments than it would otherwise make in the absence of such fee</w:t>
      </w:r>
      <w:r w:rsidR="00F56893">
        <w:rPr>
          <w:rFonts w:cs="Arial"/>
        </w:rPr>
        <w:t xml:space="preserve"> and which </w:t>
      </w:r>
      <w:r w:rsidRPr="004E298B" w:rsidR="00F56893">
        <w:rPr>
          <w:rFonts w:cs="Arial"/>
        </w:rPr>
        <w:t>could have a material adverse impa</w:t>
      </w:r>
      <w:r w:rsidR="00F56893">
        <w:rPr>
          <w:rFonts w:cs="Arial"/>
        </w:rPr>
        <w:t>ct on the overall value of the p</w:t>
      </w:r>
      <w:r w:rsidRPr="004E298B" w:rsidR="00F56893">
        <w:rPr>
          <w:rFonts w:cs="Arial"/>
        </w:rPr>
        <w:t xml:space="preserve">ortfolio and the Company's financial condition, business, prospects, and results of operations and, consequently, the Net Asset Value and/or the market price of the </w:t>
      </w:r>
      <w:r w:rsidR="00F56893">
        <w:rPr>
          <w:rFonts w:cs="Arial"/>
        </w:rPr>
        <w:t xml:space="preserve">Ordinary </w:t>
      </w:r>
      <w:r w:rsidRPr="004E298B" w:rsidR="00F56893">
        <w:rPr>
          <w:rFonts w:cs="Arial"/>
        </w:rPr>
        <w:t>Shares</w:t>
      </w:r>
      <w:r w:rsidRPr="00DE5D68">
        <w:rPr>
          <w:rFonts w:cs="Arial"/>
        </w:rPr>
        <w:t xml:space="preserve">.  </w:t>
      </w:r>
    </w:p>
    <w:p w:rsidR="00174957" w:rsidP="00174957" w:rsidRDefault="00174957" w14:paraId="221FA232" w14:textId="77777777">
      <w:pPr>
        <w:keepNext/>
        <w:rPr>
          <w:rFonts w:cs="Arial"/>
          <w:b/>
        </w:rPr>
      </w:pPr>
      <w:r>
        <w:rPr>
          <w:rFonts w:cs="Arial"/>
          <w:b/>
        </w:rPr>
        <w:t>GENERAL INVESTMENT RISKS</w:t>
      </w:r>
    </w:p>
    <w:p w:rsidRPr="00BC59F5" w:rsidR="00174957" w:rsidP="00174957" w:rsidRDefault="00174957" w14:paraId="329E1156" w14:textId="77777777">
      <w:pPr>
        <w:keepNext/>
        <w:rPr>
          <w:rFonts w:cs="Arial"/>
          <w:b/>
          <w:i/>
          <w:iCs/>
        </w:rPr>
      </w:pPr>
      <w:r w:rsidRPr="00BC59F5">
        <w:rPr>
          <w:rFonts w:cs="Arial"/>
          <w:b/>
          <w:i/>
          <w:iCs/>
        </w:rPr>
        <w:t>Inability to find suitable investments</w:t>
      </w:r>
    </w:p>
    <w:p w:rsidRPr="00BC59F5" w:rsidR="00174957" w:rsidP="00174957" w:rsidRDefault="00174957" w14:paraId="750BDA6B" w14:textId="742FFC72">
      <w:pPr>
        <w:keepNext/>
        <w:rPr>
          <w:rFonts w:cs="Arial"/>
          <w:bCs/>
        </w:rPr>
      </w:pPr>
      <w:r w:rsidRPr="00BC59F5">
        <w:rPr>
          <w:rFonts w:cs="Arial"/>
          <w:bCs/>
        </w:rPr>
        <w:t>There can be no guarantee the Investment Manager will be successful in identifying and obtaining</w:t>
      </w:r>
      <w:r>
        <w:rPr>
          <w:rFonts w:cs="Arial"/>
          <w:bCs/>
        </w:rPr>
        <w:t xml:space="preserve"> </w:t>
      </w:r>
      <w:r w:rsidRPr="00BC59F5">
        <w:rPr>
          <w:rFonts w:cs="Arial"/>
          <w:bCs/>
        </w:rPr>
        <w:t>suitable investments on financially attractive terms or that the Company’s investment objective will</w:t>
      </w:r>
      <w:r>
        <w:rPr>
          <w:rFonts w:cs="Arial"/>
          <w:bCs/>
        </w:rPr>
        <w:t xml:space="preserve"> </w:t>
      </w:r>
      <w:r w:rsidRPr="00BC59F5">
        <w:rPr>
          <w:rFonts w:cs="Arial"/>
          <w:bCs/>
        </w:rPr>
        <w:t>be achieved.</w:t>
      </w:r>
      <w:r>
        <w:rPr>
          <w:rFonts w:cs="Arial"/>
          <w:bCs/>
        </w:rPr>
        <w:t xml:space="preserve"> </w:t>
      </w:r>
      <w:r w:rsidRPr="00BC59F5">
        <w:rPr>
          <w:rFonts w:cs="Arial"/>
          <w:bCs/>
        </w:rPr>
        <w:t xml:space="preserve">The Company competes with </w:t>
      </w:r>
      <w:r>
        <w:rPr>
          <w:rFonts w:cs="Arial"/>
          <w:bCs/>
        </w:rPr>
        <w:t xml:space="preserve">other </w:t>
      </w:r>
      <w:r w:rsidRPr="00BC59F5">
        <w:rPr>
          <w:rFonts w:cs="Arial"/>
          <w:bCs/>
        </w:rPr>
        <w:t>market participants (such as public or private</w:t>
      </w:r>
      <w:r>
        <w:rPr>
          <w:rFonts w:cs="Arial"/>
          <w:bCs/>
        </w:rPr>
        <w:t xml:space="preserve"> </w:t>
      </w:r>
      <w:r w:rsidRPr="00BC59F5">
        <w:rPr>
          <w:rFonts w:cs="Arial"/>
          <w:bCs/>
        </w:rPr>
        <w:t>investment funds and the proprietary desks of investment banks) for value investment</w:t>
      </w:r>
      <w:r>
        <w:rPr>
          <w:rFonts w:cs="Arial"/>
          <w:bCs/>
        </w:rPr>
        <w:t xml:space="preserve"> </w:t>
      </w:r>
      <w:r w:rsidRPr="00BC59F5">
        <w:rPr>
          <w:rFonts w:cs="Arial"/>
          <w:bCs/>
        </w:rPr>
        <w:t xml:space="preserve">opportunities in the </w:t>
      </w:r>
      <w:r w:rsidR="00011230">
        <w:rPr>
          <w:rFonts w:cs="Arial"/>
          <w:bCs/>
        </w:rPr>
        <w:t>closed-ended investment company sector</w:t>
      </w:r>
      <w:r w:rsidRPr="00BC59F5">
        <w:rPr>
          <w:rFonts w:cs="Arial"/>
          <w:bCs/>
        </w:rPr>
        <w:t>. The number of such hedge funds and market</w:t>
      </w:r>
      <w:r>
        <w:rPr>
          <w:rFonts w:cs="Arial"/>
          <w:bCs/>
        </w:rPr>
        <w:t xml:space="preserve"> </w:t>
      </w:r>
      <w:r w:rsidRPr="00BC59F5">
        <w:rPr>
          <w:rFonts w:cs="Arial"/>
          <w:bCs/>
        </w:rPr>
        <w:t>participants and the scale of the assets managed by such entities is increasing. Such competitors may be</w:t>
      </w:r>
      <w:r>
        <w:rPr>
          <w:rFonts w:cs="Arial"/>
          <w:bCs/>
        </w:rPr>
        <w:t xml:space="preserve"> </w:t>
      </w:r>
      <w:r w:rsidRPr="00BC59F5">
        <w:rPr>
          <w:rFonts w:cs="Arial"/>
          <w:bCs/>
        </w:rPr>
        <w:t>substantially larger and have considerably greater financial, technical and marketing resources than is</w:t>
      </w:r>
      <w:r>
        <w:rPr>
          <w:rFonts w:cs="Arial"/>
          <w:bCs/>
        </w:rPr>
        <w:t xml:space="preserve"> </w:t>
      </w:r>
      <w:r w:rsidRPr="00BC59F5">
        <w:rPr>
          <w:rFonts w:cs="Arial"/>
          <w:bCs/>
        </w:rPr>
        <w:t>available to the Company or they may also have a lower cost of capital and access to funding sources</w:t>
      </w:r>
      <w:r>
        <w:rPr>
          <w:rFonts w:cs="Arial"/>
          <w:bCs/>
        </w:rPr>
        <w:t xml:space="preserve"> </w:t>
      </w:r>
      <w:r w:rsidRPr="00BC59F5">
        <w:rPr>
          <w:rFonts w:cs="Arial"/>
          <w:bCs/>
        </w:rPr>
        <w:t>that are not available to the Company, which may create competitive disadvantages with respect t</w:t>
      </w:r>
      <w:r>
        <w:rPr>
          <w:rFonts w:cs="Arial"/>
          <w:bCs/>
        </w:rPr>
        <w:t xml:space="preserve">o </w:t>
      </w:r>
      <w:r w:rsidRPr="00BC59F5">
        <w:rPr>
          <w:rFonts w:cs="Arial"/>
          <w:bCs/>
        </w:rPr>
        <w:t>investment opportunities.</w:t>
      </w:r>
      <w:r w:rsidR="000A22B2">
        <w:rPr>
          <w:rFonts w:cs="Arial"/>
          <w:bCs/>
        </w:rPr>
        <w:t xml:space="preserve"> An inability to find suitable investments </w:t>
      </w:r>
      <w:r w:rsidRPr="004E298B" w:rsidR="000A22B2">
        <w:rPr>
          <w:rFonts w:cs="Arial"/>
        </w:rPr>
        <w:t>could have a material adverse impa</w:t>
      </w:r>
      <w:r w:rsidR="000A22B2">
        <w:rPr>
          <w:rFonts w:cs="Arial"/>
        </w:rPr>
        <w:t>ct on the overall value of the p</w:t>
      </w:r>
      <w:r w:rsidRPr="004E298B" w:rsidR="000A22B2">
        <w:rPr>
          <w:rFonts w:cs="Arial"/>
        </w:rPr>
        <w:t xml:space="preserve">ortfolio and the Company's financial condition, business, prospects, and results of operations and, consequently, the Net Asset Value and/or the market price of the </w:t>
      </w:r>
      <w:r w:rsidR="000A22B2">
        <w:rPr>
          <w:rFonts w:cs="Arial"/>
        </w:rPr>
        <w:t xml:space="preserve">Ordinary </w:t>
      </w:r>
      <w:r w:rsidRPr="004E298B" w:rsidR="000A22B2">
        <w:rPr>
          <w:rFonts w:cs="Arial"/>
        </w:rPr>
        <w:t>Shares</w:t>
      </w:r>
      <w:r w:rsidR="008912DA">
        <w:rPr>
          <w:rFonts w:cs="Arial"/>
        </w:rPr>
        <w:t>.</w:t>
      </w:r>
    </w:p>
    <w:p w:rsidRPr="00BC59F5" w:rsidR="00174957" w:rsidP="00174957" w:rsidRDefault="00174957" w14:paraId="62C73454" w14:textId="77777777">
      <w:pPr>
        <w:keepNext/>
        <w:rPr>
          <w:rFonts w:cs="Arial"/>
          <w:b/>
          <w:i/>
          <w:iCs/>
        </w:rPr>
      </w:pPr>
      <w:r w:rsidRPr="00BC59F5">
        <w:rPr>
          <w:rFonts w:cs="Arial"/>
          <w:b/>
          <w:i/>
          <w:iCs/>
        </w:rPr>
        <w:t>General economic and market conditions</w:t>
      </w:r>
    </w:p>
    <w:p w:rsidR="00174957" w:rsidP="00174957" w:rsidRDefault="00174957" w14:paraId="0F2F654B" w14:textId="5DE27C36">
      <w:pPr>
        <w:keepNext/>
        <w:rPr>
          <w:rFonts w:cs="Arial"/>
          <w:bCs/>
        </w:rPr>
      </w:pPr>
      <w:r w:rsidRPr="00BC59F5">
        <w:rPr>
          <w:rFonts w:cs="Arial"/>
          <w:bCs/>
        </w:rPr>
        <w:t xml:space="preserve">The success of the Company’s </w:t>
      </w:r>
      <w:r w:rsidR="0064008C">
        <w:rPr>
          <w:rFonts w:cs="Arial"/>
          <w:bCs/>
        </w:rPr>
        <w:t xml:space="preserve">strategy of investing in </w:t>
      </w:r>
      <w:r w:rsidR="00F56893">
        <w:rPr>
          <w:rFonts w:cs="Arial"/>
          <w:bCs/>
        </w:rPr>
        <w:t>closed-ended investment companies invested in alternative assets may</w:t>
      </w:r>
      <w:r w:rsidRPr="00BC59F5">
        <w:rPr>
          <w:rFonts w:cs="Arial"/>
          <w:bCs/>
        </w:rPr>
        <w:t xml:space="preserve"> be affected by general economic and market conditions,</w:t>
      </w:r>
      <w:r>
        <w:rPr>
          <w:rFonts w:cs="Arial"/>
          <w:bCs/>
        </w:rPr>
        <w:t xml:space="preserve"> </w:t>
      </w:r>
      <w:r w:rsidRPr="00BC59F5">
        <w:rPr>
          <w:rFonts w:cs="Arial"/>
          <w:bCs/>
        </w:rPr>
        <w:t>such as interest rates, availability of credit, inflation rates, economic uncertainty, changes in laws, trade</w:t>
      </w:r>
      <w:r>
        <w:rPr>
          <w:rFonts w:cs="Arial"/>
          <w:bCs/>
        </w:rPr>
        <w:t xml:space="preserve"> </w:t>
      </w:r>
      <w:r w:rsidRPr="00BC59F5">
        <w:rPr>
          <w:rFonts w:cs="Arial"/>
          <w:bCs/>
        </w:rPr>
        <w:t>barriers</w:t>
      </w:r>
      <w:r w:rsidR="00F56893">
        <w:rPr>
          <w:rFonts w:cs="Arial"/>
          <w:bCs/>
        </w:rPr>
        <w:t xml:space="preserve"> </w:t>
      </w:r>
      <w:r w:rsidRPr="00BC59F5">
        <w:rPr>
          <w:rFonts w:cs="Arial"/>
          <w:bCs/>
        </w:rPr>
        <w:t>and national and international political circumstances.</w:t>
      </w:r>
      <w:r w:rsidR="00F56893">
        <w:rPr>
          <w:rFonts w:cs="Arial"/>
          <w:bCs/>
        </w:rPr>
        <w:t xml:space="preserve"> Some or all of these</w:t>
      </w:r>
      <w:r>
        <w:rPr>
          <w:rFonts w:cs="Arial"/>
          <w:bCs/>
        </w:rPr>
        <w:t xml:space="preserve"> </w:t>
      </w:r>
      <w:r w:rsidRPr="00BC59F5">
        <w:rPr>
          <w:rFonts w:cs="Arial"/>
          <w:bCs/>
        </w:rPr>
        <w:t xml:space="preserve">factors may affect the level and volatility of </w:t>
      </w:r>
      <w:r w:rsidR="00F56893">
        <w:rPr>
          <w:rFonts w:cs="Arial"/>
          <w:bCs/>
        </w:rPr>
        <w:t>trading</w:t>
      </w:r>
      <w:r w:rsidRPr="00BC59F5">
        <w:rPr>
          <w:rFonts w:cs="Arial"/>
          <w:bCs/>
        </w:rPr>
        <w:t xml:space="preserve"> prices</w:t>
      </w:r>
      <w:r w:rsidR="00F56893">
        <w:rPr>
          <w:rFonts w:cs="Arial"/>
          <w:bCs/>
        </w:rPr>
        <w:t xml:space="preserve"> in, and the level of liquidity of, the closed-ended investment companies in which the Company invests</w:t>
      </w:r>
      <w:r w:rsidRPr="00BC59F5">
        <w:rPr>
          <w:rFonts w:cs="Arial"/>
          <w:bCs/>
        </w:rPr>
        <w:t>.</w:t>
      </w:r>
      <w:r w:rsidR="00F56893">
        <w:rPr>
          <w:rFonts w:cs="Arial"/>
          <w:bCs/>
        </w:rPr>
        <w:t xml:space="preserve"> Such</w:t>
      </w:r>
      <w:r w:rsidRPr="00BC59F5">
        <w:rPr>
          <w:rFonts w:cs="Arial"/>
          <w:bCs/>
        </w:rPr>
        <w:t xml:space="preserve"> </w:t>
      </w:r>
      <w:r w:rsidR="00F56893">
        <w:rPr>
          <w:rFonts w:cs="Arial"/>
          <w:bCs/>
        </w:rPr>
        <w:t>v</w:t>
      </w:r>
      <w:r w:rsidRPr="00BC59F5">
        <w:rPr>
          <w:rFonts w:cs="Arial"/>
          <w:bCs/>
        </w:rPr>
        <w:t>olatility or</w:t>
      </w:r>
      <w:r w:rsidR="00F56893">
        <w:rPr>
          <w:rFonts w:cs="Arial"/>
          <w:bCs/>
        </w:rPr>
        <w:t xml:space="preserve"> a lack of</w:t>
      </w:r>
      <w:r w:rsidRPr="00BC59F5">
        <w:rPr>
          <w:rFonts w:cs="Arial"/>
          <w:bCs/>
        </w:rPr>
        <w:t xml:space="preserve"> illiquidity could impair the value and profitability of the Company’s</w:t>
      </w:r>
      <w:r>
        <w:rPr>
          <w:rFonts w:cs="Arial"/>
          <w:bCs/>
        </w:rPr>
        <w:t xml:space="preserve"> </w:t>
      </w:r>
      <w:r w:rsidRPr="00BC59F5">
        <w:rPr>
          <w:rFonts w:cs="Arial"/>
          <w:bCs/>
        </w:rPr>
        <w:t>investment</w:t>
      </w:r>
      <w:r w:rsidR="00F56893">
        <w:rPr>
          <w:rFonts w:cs="Arial"/>
          <w:bCs/>
        </w:rPr>
        <w:t xml:space="preserve"> in such closed-ended investment companies</w:t>
      </w:r>
      <w:r w:rsidRPr="00BC59F5">
        <w:rPr>
          <w:rFonts w:cs="Arial"/>
          <w:bCs/>
        </w:rPr>
        <w:t xml:space="preserve"> and</w:t>
      </w:r>
      <w:r w:rsidR="00F56893">
        <w:rPr>
          <w:rFonts w:cs="Arial"/>
          <w:bCs/>
        </w:rPr>
        <w:t xml:space="preserve"> thereby</w:t>
      </w:r>
      <w:r w:rsidRPr="00BC59F5">
        <w:rPr>
          <w:rFonts w:cs="Arial"/>
          <w:bCs/>
        </w:rPr>
        <w:t xml:space="preserve"> result in losses.</w:t>
      </w:r>
    </w:p>
    <w:p w:rsidRPr="00DE5D68" w:rsidR="00AA58C1" w:rsidP="00C27D12" w:rsidRDefault="00AA58C1" w14:paraId="22142D34" w14:textId="77777777">
      <w:pPr>
        <w:keepNext/>
        <w:rPr>
          <w:rFonts w:cs="Arial"/>
          <w:b/>
        </w:rPr>
      </w:pPr>
      <w:r w:rsidRPr="00DE5D68">
        <w:rPr>
          <w:rFonts w:cs="Arial"/>
          <w:b/>
        </w:rPr>
        <w:t>RISKS RELATING TO REGULATION AND TAXATION</w:t>
      </w:r>
    </w:p>
    <w:p w:rsidRPr="009B69B9" w:rsidR="00AA58C1" w:rsidP="00C27D12" w:rsidRDefault="00AA58C1" w14:paraId="7B16EC6B" w14:textId="17CEF55D">
      <w:pPr>
        <w:keepNext/>
        <w:rPr>
          <w:rFonts w:cs="Arial"/>
          <w:b/>
          <w:i/>
        </w:rPr>
      </w:pPr>
      <w:r w:rsidRPr="009B69B9">
        <w:rPr>
          <w:rFonts w:cs="Arial"/>
          <w:b/>
          <w:i/>
        </w:rPr>
        <w:t>Changes in laws or regulations governing the Company’s or the Investment Manager’s operations may adversely affect the business and performance of the Company</w:t>
      </w:r>
    </w:p>
    <w:p w:rsidRPr="00DE5D68" w:rsidR="00AA58C1" w:rsidP="00C27D12" w:rsidRDefault="00AA58C1" w14:paraId="3978BE7B" w14:textId="0CE554AE">
      <w:pPr>
        <w:rPr>
          <w:rFonts w:cs="Arial"/>
        </w:rPr>
      </w:pPr>
      <w:r w:rsidRPr="00DE5D68">
        <w:rPr>
          <w:rFonts w:cs="Arial"/>
        </w:rPr>
        <w:t xml:space="preserve">The Company, as a Guernsey-incorporated close-ended investment company trading on the Specialist Fund Segment of the Main Market, is subject to laws and regulations in such capacity, including the Prospectus Regulation Rules, the Disclosure Guidance and Transparency Rules, MAR, the </w:t>
      </w:r>
      <w:r w:rsidR="006270C2">
        <w:rPr>
          <w:rFonts w:cs="Arial"/>
        </w:rPr>
        <w:t xml:space="preserve">UK AIFM Regime, </w:t>
      </w:r>
      <w:r w:rsidRPr="00DE5D68">
        <w:rPr>
          <w:rFonts w:cs="Arial"/>
        </w:rPr>
        <w:t xml:space="preserve">the </w:t>
      </w:r>
      <w:r w:rsidR="004B118C">
        <w:rPr>
          <w:rFonts w:cs="Arial"/>
        </w:rPr>
        <w:t xml:space="preserve">RCIS </w:t>
      </w:r>
      <w:r w:rsidRPr="00DE5D68">
        <w:rPr>
          <w:rFonts w:cs="Arial"/>
        </w:rPr>
        <w:t xml:space="preserve">Rules and the Companies Law. The Company is subject also to the continuing obligations imposed on all investment companies whose shares are admitted to trading on the Specialist Fund Segment of the Main Market. These rules, regulations and laws govern the way that, amongst other things, the Company can be operated (i.e. its governance), how its </w:t>
      </w:r>
      <w:r w:rsidR="009B69B9">
        <w:rPr>
          <w:rFonts w:cs="Arial"/>
        </w:rPr>
        <w:t xml:space="preserve">Ordinary </w:t>
      </w:r>
      <w:r w:rsidRPr="00DE5D68">
        <w:rPr>
          <w:rFonts w:cs="Arial"/>
        </w:rPr>
        <w:t>Shares can be marketed and how it must deal with its Shareholders, together with requiring the Company to make certain reports, filings and notifications (and governing their respective content).</w:t>
      </w:r>
    </w:p>
    <w:p w:rsidRPr="00DE5D68" w:rsidR="00AA58C1" w:rsidP="00C27D12" w:rsidRDefault="00AA58C1" w14:paraId="68304707" w14:textId="51A852F8">
      <w:pPr>
        <w:rPr>
          <w:rFonts w:cs="Arial"/>
        </w:rPr>
      </w:pPr>
      <w:r w:rsidRPr="00DE5D68">
        <w:rPr>
          <w:rFonts w:cs="Arial"/>
        </w:rPr>
        <w:t xml:space="preserve">The Investment Manager is subject to, and will be required to comply with, certain regulatory requirements of the </w:t>
      </w:r>
      <w:r w:rsidR="00933B65">
        <w:rPr>
          <w:rFonts w:cs="Arial"/>
        </w:rPr>
        <w:t>Gibraltar Financial Services Commission</w:t>
      </w:r>
      <w:r w:rsidRPr="00DE5D68">
        <w:rPr>
          <w:rFonts w:cs="Arial"/>
        </w:rPr>
        <w:t>, some of which affect the investment management of the Company.</w:t>
      </w:r>
    </w:p>
    <w:p w:rsidRPr="00DE5D68" w:rsidR="00AA58C1" w:rsidP="00C27D12" w:rsidRDefault="00AA58C1" w14:paraId="1F21C949" w14:textId="7A9103B2">
      <w:pPr>
        <w:rPr>
          <w:rFonts w:cs="Arial"/>
        </w:rPr>
      </w:pPr>
      <w:r w:rsidRPr="00DE5D68">
        <w:rPr>
          <w:rFonts w:cs="Arial"/>
        </w:rPr>
        <w:t>The laws and regulations affecting the Company and/or the I</w:t>
      </w:r>
      <w:r w:rsidR="00B236F2">
        <w:rPr>
          <w:rFonts w:cs="Arial"/>
        </w:rPr>
        <w:t xml:space="preserve">nvestment Manager are evolving. </w:t>
      </w:r>
      <w:r w:rsidRPr="00DE5D68">
        <w:rPr>
          <w:rFonts w:cs="Arial"/>
        </w:rPr>
        <w:t xml:space="preserve">Any such changes may have an adverse effect on the ability of the Company to pursue its investment </w:t>
      </w:r>
      <w:r w:rsidRPr="00DE5D68" w:rsidR="00933B65">
        <w:rPr>
          <w:rFonts w:cs="Arial"/>
        </w:rPr>
        <w:t>policy and</w:t>
      </w:r>
      <w:r w:rsidRPr="00DE5D68">
        <w:rPr>
          <w:rFonts w:cs="Arial"/>
        </w:rPr>
        <w:t xml:space="preserve"> may have a material adverse effect the Company’s business, financial condition, prospects, results of operations and, consequently, the Net Asset Value and/or the market price of t</w:t>
      </w:r>
      <w:r w:rsidRPr="00DE5D68" w:rsidR="002F05E2">
        <w:rPr>
          <w:rFonts w:cs="Arial"/>
        </w:rPr>
        <w:t xml:space="preserve">he </w:t>
      </w:r>
      <w:r w:rsidR="009B69B9">
        <w:rPr>
          <w:rFonts w:cs="Arial"/>
        </w:rPr>
        <w:t xml:space="preserve">Ordinary </w:t>
      </w:r>
      <w:r w:rsidRPr="00DE5D68" w:rsidR="002F05E2">
        <w:rPr>
          <w:rFonts w:cs="Arial"/>
        </w:rPr>
        <w:t>Shares.</w:t>
      </w:r>
    </w:p>
    <w:p w:rsidRPr="009B69B9" w:rsidR="00AA58C1" w:rsidP="00C27D12" w:rsidRDefault="00AA58C1" w14:paraId="6E33C504" w14:textId="77777777">
      <w:pPr>
        <w:keepNext/>
        <w:rPr>
          <w:rFonts w:cs="Arial"/>
          <w:b/>
          <w:i/>
        </w:rPr>
      </w:pPr>
      <w:r w:rsidRPr="009B69B9">
        <w:rPr>
          <w:rFonts w:cs="Arial"/>
          <w:b/>
          <w:i/>
        </w:rPr>
        <w:lastRenderedPageBreak/>
        <w:t>Changes in taxation legislation or practice may adversely affect the Company and the tax treatment for Shareholders investing in the Company</w:t>
      </w:r>
    </w:p>
    <w:p w:rsidR="00AA58C1" w:rsidP="00C27D12" w:rsidRDefault="00AA58C1" w14:paraId="531A1FF1" w14:textId="69A7A372">
      <w:pPr>
        <w:rPr>
          <w:rFonts w:cs="Arial"/>
        </w:rPr>
      </w:pPr>
      <w:r w:rsidRPr="00DE5D68">
        <w:rPr>
          <w:rFonts w:cs="Arial"/>
        </w:rPr>
        <w:t xml:space="preserve">Any change in the Company’s tax status, or in taxation legislation or practice in the UK, Guernsey or elsewhere, could affect the value of the </w:t>
      </w:r>
      <w:r w:rsidR="009B69B9">
        <w:rPr>
          <w:rFonts w:cs="Arial"/>
        </w:rPr>
        <w:t xml:space="preserve">Company's </w:t>
      </w:r>
      <w:r w:rsidRPr="00DE5D68">
        <w:rPr>
          <w:rFonts w:cs="Arial"/>
        </w:rPr>
        <w:t>investments</w:t>
      </w:r>
      <w:r w:rsidR="009B69B9">
        <w:rPr>
          <w:rFonts w:cs="Arial"/>
        </w:rPr>
        <w:t xml:space="preserve"> </w:t>
      </w:r>
      <w:r w:rsidRPr="00DE5D68">
        <w:rPr>
          <w:rFonts w:cs="Arial"/>
        </w:rPr>
        <w:t xml:space="preserve">and the Company’s ability to achieve its investment objective, or alter the post-tax returns to Shareholders. Statements in </w:t>
      </w:r>
      <w:r w:rsidRPr="00DE5D68" w:rsidR="004F4CF8">
        <w:rPr>
          <w:rFonts w:cs="Arial"/>
        </w:rPr>
        <w:t>this document</w:t>
      </w:r>
      <w:r w:rsidRPr="00DE5D68">
        <w:rPr>
          <w:rFonts w:cs="Arial"/>
        </w:rPr>
        <w:t xml:space="preserve"> concerning the taxation of the Company and taxation of Shareholders are based upon current Guernsey and UK tax law and published practice, any aspect of which is, in principle, subject to change (potentially with retrospective effect) that could adversely affect the Company’s financial condition, business, prospects and results of operations and, consequently, the Net Asset Value and/or the market price of the </w:t>
      </w:r>
      <w:r w:rsidR="009B69B9">
        <w:rPr>
          <w:rFonts w:cs="Arial"/>
        </w:rPr>
        <w:t xml:space="preserve">Ordinary </w:t>
      </w:r>
      <w:r w:rsidRPr="00DE5D68">
        <w:rPr>
          <w:rFonts w:cs="Arial"/>
        </w:rPr>
        <w:t>Shares.</w:t>
      </w:r>
    </w:p>
    <w:p w:rsidR="00933B65" w:rsidRDefault="00933B65" w14:paraId="65799EA6" w14:textId="05C84397">
      <w:pPr>
        <w:spacing w:after="0"/>
        <w:jc w:val="left"/>
        <w:rPr>
          <w:rFonts w:cs="Arial"/>
        </w:rPr>
      </w:pPr>
      <w:r>
        <w:rPr>
          <w:rFonts w:cs="Arial"/>
        </w:rPr>
        <w:br w:type="page"/>
      </w:r>
    </w:p>
    <w:p w:rsidRPr="00DE5D68" w:rsidR="001777B4" w:rsidP="00C27D12" w:rsidRDefault="001777B4" w14:paraId="57161725" w14:textId="34624C05">
      <w:pPr>
        <w:jc w:val="center"/>
        <w:rPr>
          <w:rFonts w:cs="Arial"/>
          <w:b/>
        </w:rPr>
      </w:pPr>
      <w:r w:rsidRPr="00DE5D68">
        <w:rPr>
          <w:rFonts w:cs="Arial"/>
          <w:b/>
        </w:rPr>
        <w:lastRenderedPageBreak/>
        <w:t>IMPORTANT INFORMATION</w:t>
      </w:r>
      <w:r w:rsidRPr="00DE5D68" w:rsidR="00003777">
        <w:rPr>
          <w:rFonts w:cs="Arial"/>
          <w:b/>
        </w:rPr>
        <w:fldChar w:fldCharType="begin"/>
      </w:r>
      <w:r w:rsidRPr="00DE5D68" w:rsidR="00E7304E">
        <w:rPr>
          <w:rFonts w:cs="Arial"/>
        </w:rPr>
        <w:instrText xml:space="preserve"> TC </w:instrText>
      </w:r>
      <w:r w:rsidRPr="00DE5D68" w:rsidR="00170F35">
        <w:rPr>
          <w:rFonts w:cs="Arial"/>
        </w:rPr>
        <w:instrText>"</w:instrText>
      </w:r>
      <w:bookmarkStart w:name="_Toc329599164" w:id="60"/>
      <w:bookmarkStart w:name="_Toc405805319" w:id="61"/>
      <w:bookmarkStart w:name="_Toc493520574" w:id="62"/>
      <w:bookmarkStart w:name="_Toc78485966" w:id="63"/>
      <w:bookmarkStart w:name="_Toc190288025" w:id="64"/>
      <w:r w:rsidRPr="00DE5D68" w:rsidR="00E7304E">
        <w:rPr>
          <w:rFonts w:cs="Arial"/>
        </w:rPr>
        <w:instrText>IMPORTANT INFORMATION</w:instrText>
      </w:r>
      <w:bookmarkEnd w:id="60"/>
      <w:bookmarkEnd w:id="61"/>
      <w:bookmarkEnd w:id="62"/>
      <w:bookmarkEnd w:id="63"/>
      <w:bookmarkEnd w:id="64"/>
      <w:r w:rsidRPr="00DE5D68" w:rsidR="00170F35">
        <w:rPr>
          <w:rFonts w:cs="Arial"/>
        </w:rPr>
        <w:instrText>"</w:instrText>
      </w:r>
      <w:r w:rsidRPr="00DE5D68" w:rsidR="00E7304E">
        <w:rPr>
          <w:rFonts w:cs="Arial"/>
        </w:rPr>
        <w:instrText xml:space="preserve"> \f C \l </w:instrText>
      </w:r>
      <w:r w:rsidRPr="00DE5D68" w:rsidR="00170F35">
        <w:rPr>
          <w:rFonts w:cs="Arial"/>
        </w:rPr>
        <w:instrText>"</w:instrText>
      </w:r>
      <w:r w:rsidRPr="00DE5D68" w:rsidR="00E7304E">
        <w:rPr>
          <w:rFonts w:cs="Arial"/>
        </w:rPr>
        <w:instrText>1</w:instrText>
      </w:r>
      <w:r w:rsidRPr="00DE5D68" w:rsidR="00170F35">
        <w:rPr>
          <w:rFonts w:cs="Arial"/>
        </w:rPr>
        <w:instrText>"</w:instrText>
      </w:r>
      <w:r w:rsidRPr="00DE5D68" w:rsidR="00E7304E">
        <w:rPr>
          <w:rFonts w:cs="Arial"/>
        </w:rPr>
        <w:instrText xml:space="preserve"> </w:instrText>
      </w:r>
      <w:r w:rsidRPr="00DE5D68" w:rsidR="00003777">
        <w:rPr>
          <w:rFonts w:cs="Arial"/>
          <w:b/>
        </w:rPr>
        <w:fldChar w:fldCharType="end"/>
      </w:r>
    </w:p>
    <w:p w:rsidRPr="00DE5D68" w:rsidR="00950F41" w:rsidP="00C27D12" w:rsidRDefault="004D3ACA" w14:paraId="0582C528" w14:textId="77777777">
      <w:pPr>
        <w:keepNext/>
        <w:rPr>
          <w:rFonts w:cs="Arial"/>
          <w:b/>
        </w:rPr>
      </w:pPr>
      <w:r w:rsidRPr="00DE5D68">
        <w:rPr>
          <w:rFonts w:cs="Arial"/>
          <w:b/>
        </w:rPr>
        <w:t>GENERAL</w:t>
      </w:r>
    </w:p>
    <w:p w:rsidRPr="00DE5D68" w:rsidR="001777B4" w:rsidP="00C27D12" w:rsidRDefault="001777B4" w14:paraId="04D23EE4" w14:textId="41184E39">
      <w:pPr>
        <w:rPr>
          <w:rFonts w:cs="Arial"/>
        </w:rPr>
      </w:pPr>
      <w:r w:rsidRPr="00DE5D68">
        <w:rPr>
          <w:rFonts w:cs="Arial"/>
        </w:rPr>
        <w:t xml:space="preserve">No person has been authorised by the Company to </w:t>
      </w:r>
      <w:r w:rsidRPr="00DE5D68" w:rsidR="00F5231E">
        <w:rPr>
          <w:rFonts w:cs="Arial"/>
        </w:rPr>
        <w:t>i</w:t>
      </w:r>
      <w:r w:rsidRPr="00DE5D68" w:rsidR="000C0D70">
        <w:rPr>
          <w:rFonts w:cs="Arial"/>
        </w:rPr>
        <w:t>ssue</w:t>
      </w:r>
      <w:r w:rsidRPr="00DE5D68">
        <w:rPr>
          <w:rFonts w:cs="Arial"/>
        </w:rPr>
        <w:t xml:space="preserve"> any advertisement or to give any information or to make any representations in connection with the offering or sale of </w:t>
      </w:r>
      <w:r w:rsidR="005C56D3">
        <w:rPr>
          <w:rFonts w:cs="Arial"/>
        </w:rPr>
        <w:t xml:space="preserve">Ordinary </w:t>
      </w:r>
      <w:r w:rsidRPr="00DE5D68" w:rsidR="00A737F3">
        <w:rPr>
          <w:rFonts w:cs="Arial"/>
        </w:rPr>
        <w:t>Shares</w:t>
      </w:r>
      <w:r w:rsidRPr="00DE5D68" w:rsidR="003711D3">
        <w:rPr>
          <w:rFonts w:cs="Arial"/>
        </w:rPr>
        <w:t xml:space="preserve"> </w:t>
      </w:r>
      <w:r w:rsidRPr="00DE5D68">
        <w:rPr>
          <w:rFonts w:cs="Arial"/>
        </w:rPr>
        <w:t>other than those contained in this document and, if issued, given or made, such advertisement, information or representation must not be relied upon as having been authorised by the Company</w:t>
      </w:r>
      <w:r w:rsidRPr="00DE5D68" w:rsidR="00462815">
        <w:rPr>
          <w:rFonts w:cs="Arial"/>
        </w:rPr>
        <w:t>, the Investment Manager</w:t>
      </w:r>
      <w:r w:rsidRPr="00DE5D68" w:rsidR="00AA58C1">
        <w:rPr>
          <w:rFonts w:cs="Arial"/>
        </w:rPr>
        <w:t xml:space="preserve"> </w:t>
      </w:r>
      <w:r w:rsidRPr="00DE5D68" w:rsidR="00462815">
        <w:rPr>
          <w:rFonts w:cs="Arial"/>
        </w:rPr>
        <w:t xml:space="preserve">or </w:t>
      </w:r>
      <w:r w:rsidR="005C56D3">
        <w:rPr>
          <w:rFonts w:cs="Arial"/>
        </w:rPr>
        <w:t>Singer Capital Markets</w:t>
      </w:r>
      <w:r w:rsidRPr="00DE5D68">
        <w:rPr>
          <w:rFonts w:cs="Arial"/>
        </w:rPr>
        <w:t>.</w:t>
      </w:r>
      <w:r w:rsidRPr="00DE5D68" w:rsidR="00C04301">
        <w:rPr>
          <w:rFonts w:cs="Arial"/>
        </w:rPr>
        <w:t xml:space="preserve"> </w:t>
      </w:r>
      <w:r w:rsidRPr="00DE5D68" w:rsidR="00462815">
        <w:rPr>
          <w:rFonts w:cs="Arial"/>
        </w:rPr>
        <w:t xml:space="preserve">Without prejudice to the Company’s obligations under the </w:t>
      </w:r>
      <w:r w:rsidRPr="00DE5D68" w:rsidR="007A5701">
        <w:rPr>
          <w:rFonts w:cs="Arial"/>
          <w:szCs w:val="20"/>
        </w:rPr>
        <w:t>Prospectus Regulation Rules</w:t>
      </w:r>
      <w:r w:rsidRPr="00DE5D68" w:rsidR="00AA58C1">
        <w:rPr>
          <w:rFonts w:cs="Arial"/>
        </w:rPr>
        <w:t>,</w:t>
      </w:r>
      <w:r w:rsidRPr="00DE5D68" w:rsidR="00462815">
        <w:rPr>
          <w:rFonts w:cs="Arial"/>
        </w:rPr>
        <w:t xml:space="preserve"> the Disclosure Guidance and Transparency Rules</w:t>
      </w:r>
      <w:r w:rsidRPr="00DE5D68" w:rsidR="00FE36B8">
        <w:rPr>
          <w:rFonts w:cs="Arial"/>
        </w:rPr>
        <w:t>, the Prospectus Regulation</w:t>
      </w:r>
      <w:r w:rsidRPr="00DE5D68" w:rsidR="00462815">
        <w:rPr>
          <w:rFonts w:cs="Arial"/>
        </w:rPr>
        <w:t xml:space="preserve"> and MAR, neither the delivery of this document nor any subscription for or purchase of </w:t>
      </w:r>
      <w:r w:rsidR="005C56D3">
        <w:rPr>
          <w:rFonts w:cs="Arial"/>
        </w:rPr>
        <w:t>Ordinary</w:t>
      </w:r>
      <w:r w:rsidRPr="00DE5D68" w:rsidR="005C56D3">
        <w:rPr>
          <w:rFonts w:cs="Arial"/>
        </w:rPr>
        <w:t xml:space="preserve"> </w:t>
      </w:r>
      <w:r w:rsidRPr="00DE5D68" w:rsidR="00462815">
        <w:rPr>
          <w:rFonts w:cs="Arial"/>
        </w:rPr>
        <w:t>Shares pursuant to the</w:t>
      </w:r>
      <w:r w:rsidRPr="00DE5D68" w:rsidR="00C04301">
        <w:rPr>
          <w:rFonts w:cs="Arial"/>
        </w:rPr>
        <w:t xml:space="preserve"> </w:t>
      </w:r>
      <w:r w:rsidR="00B97B41">
        <w:rPr>
          <w:rFonts w:cs="Arial"/>
        </w:rPr>
        <w:t xml:space="preserve">Initial </w:t>
      </w:r>
      <w:r w:rsidR="00CA5C6E">
        <w:rPr>
          <w:rFonts w:cs="Arial"/>
        </w:rPr>
        <w:t>Placing</w:t>
      </w:r>
      <w:r w:rsidRPr="00DE5D68" w:rsidR="00C04301">
        <w:rPr>
          <w:rFonts w:cs="Arial"/>
        </w:rPr>
        <w:t xml:space="preserve"> and/or the Placing Programme</w:t>
      </w:r>
      <w:r w:rsidRPr="00DE5D68" w:rsidR="00462815">
        <w:rPr>
          <w:rFonts w:cs="Arial"/>
        </w:rPr>
        <w:t>, under any circumstances, creates any implication that there has been no change in the affairs of the Company since, or that the information contained herein is correct at any time subsequent to, the date of this document.</w:t>
      </w:r>
    </w:p>
    <w:p w:rsidRPr="00DE5D68" w:rsidR="001777B4" w:rsidP="00C27D12" w:rsidRDefault="001777B4" w14:paraId="10C35C84" w14:textId="7DCDEE80">
      <w:pPr>
        <w:rPr>
          <w:rFonts w:cs="Arial"/>
          <w:spacing w:val="8"/>
          <w:szCs w:val="16"/>
        </w:rPr>
      </w:pPr>
      <w:r w:rsidRPr="00DE5D68">
        <w:rPr>
          <w:rFonts w:cs="Arial"/>
        </w:rPr>
        <w:t xml:space="preserve">Prospective investors should not treat the contents of this document as advice relating to legal, taxation, investment or any other matters. Prospective investors should inform themselves as to: </w:t>
      </w:r>
      <w:bookmarkStart w:name="DocXTextRef27" w:id="65"/>
      <w:r w:rsidRPr="00DE5D68">
        <w:rPr>
          <w:rFonts w:cs="Arial"/>
        </w:rPr>
        <w:t>(a)</w:t>
      </w:r>
      <w:bookmarkEnd w:id="65"/>
      <w:r w:rsidRPr="00DE5D68">
        <w:rPr>
          <w:rFonts w:cs="Arial"/>
        </w:rPr>
        <w:t xml:space="preserve"> the legal requirements within their own countries for the purchase, holding, transfer or other disposal of </w:t>
      </w:r>
      <w:r w:rsidR="005C56D3">
        <w:rPr>
          <w:rFonts w:cs="Arial"/>
        </w:rPr>
        <w:t>Ordinary</w:t>
      </w:r>
      <w:r w:rsidRPr="00DE5D68" w:rsidR="005C56D3">
        <w:rPr>
          <w:rFonts w:cs="Arial"/>
        </w:rPr>
        <w:t xml:space="preserve"> </w:t>
      </w:r>
      <w:r w:rsidRPr="00DE5D68" w:rsidR="00A737F3">
        <w:rPr>
          <w:rFonts w:cs="Arial"/>
        </w:rPr>
        <w:t>Shares</w:t>
      </w:r>
      <w:r w:rsidRPr="00DE5D68">
        <w:rPr>
          <w:rFonts w:cs="Arial"/>
        </w:rPr>
        <w:t xml:space="preserve">; </w:t>
      </w:r>
      <w:bookmarkStart w:name="DocXTextRef28" w:id="66"/>
      <w:r w:rsidRPr="00DE5D68">
        <w:rPr>
          <w:rFonts w:cs="Arial"/>
        </w:rPr>
        <w:t>(b)</w:t>
      </w:r>
      <w:bookmarkEnd w:id="66"/>
      <w:r w:rsidRPr="00DE5D68">
        <w:rPr>
          <w:rFonts w:cs="Arial"/>
        </w:rPr>
        <w:t xml:space="preserve"> any foreign exchange restrictions applicable to the purchase, holding, transfer or other disposal of </w:t>
      </w:r>
      <w:r w:rsidR="005C56D3">
        <w:rPr>
          <w:rFonts w:cs="Arial"/>
        </w:rPr>
        <w:t>Ordinary</w:t>
      </w:r>
      <w:r w:rsidRPr="00DE5D68" w:rsidR="005C56D3">
        <w:rPr>
          <w:rFonts w:cs="Arial"/>
        </w:rPr>
        <w:t xml:space="preserve"> </w:t>
      </w:r>
      <w:r w:rsidRPr="00DE5D68" w:rsidR="00A737F3">
        <w:rPr>
          <w:rFonts w:cs="Arial"/>
        </w:rPr>
        <w:t>Shares</w:t>
      </w:r>
      <w:r w:rsidRPr="00DE5D68">
        <w:rPr>
          <w:rFonts w:cs="Arial"/>
        </w:rPr>
        <w:t xml:space="preserve"> which they might encounter; and </w:t>
      </w:r>
      <w:bookmarkStart w:name="DocXTextRef29" w:id="67"/>
      <w:r w:rsidRPr="00DE5D68">
        <w:rPr>
          <w:rFonts w:cs="Arial"/>
        </w:rPr>
        <w:t>(c)</w:t>
      </w:r>
      <w:bookmarkEnd w:id="67"/>
      <w:r w:rsidRPr="00DE5D68">
        <w:rPr>
          <w:rFonts w:cs="Arial"/>
        </w:rPr>
        <w:t xml:space="preserve"> the income and other tax consequences which may apply in their own countries as a result of the purchase, holding, transfer or other disposal of</w:t>
      </w:r>
      <w:r w:rsidRPr="00DE5D68" w:rsidR="00462815">
        <w:rPr>
          <w:rFonts w:cs="Arial"/>
        </w:rPr>
        <w:t>, or subscription for</w:t>
      </w:r>
      <w:r w:rsidRPr="00DE5D68">
        <w:rPr>
          <w:rFonts w:cs="Arial"/>
        </w:rPr>
        <w:t xml:space="preserve"> </w:t>
      </w:r>
      <w:r w:rsidRPr="00DE5D68" w:rsidR="00A737F3">
        <w:rPr>
          <w:rFonts w:cs="Arial"/>
        </w:rPr>
        <w:t>Shares</w:t>
      </w:r>
      <w:r w:rsidRPr="00DE5D68">
        <w:rPr>
          <w:rFonts w:cs="Arial"/>
        </w:rPr>
        <w:t xml:space="preserve">. Prospective investors must rely upon their own legal advisers, accountants and other financial advisers as to legal, tax, investment or any other related matters concerning the Company and an investment in the </w:t>
      </w:r>
      <w:r w:rsidR="005C56D3">
        <w:rPr>
          <w:rFonts w:cs="Arial"/>
        </w:rPr>
        <w:t>Ordinary</w:t>
      </w:r>
      <w:r w:rsidRPr="00DE5D68" w:rsidR="005C56D3">
        <w:rPr>
          <w:rFonts w:cs="Arial"/>
        </w:rPr>
        <w:t xml:space="preserve"> </w:t>
      </w:r>
      <w:r w:rsidRPr="00DE5D68" w:rsidR="00A737F3">
        <w:rPr>
          <w:rFonts w:cs="Arial"/>
        </w:rPr>
        <w:t>Shares</w:t>
      </w:r>
      <w:r w:rsidRPr="00DE5D68">
        <w:rPr>
          <w:rFonts w:cs="Arial"/>
          <w:spacing w:val="8"/>
          <w:szCs w:val="16"/>
        </w:rPr>
        <w:t>.</w:t>
      </w:r>
      <w:r w:rsidRPr="00DE5D68" w:rsidR="002A5652">
        <w:rPr>
          <w:rFonts w:cs="Arial"/>
          <w:spacing w:val="8"/>
          <w:szCs w:val="16"/>
        </w:rPr>
        <w:t xml:space="preserve">  </w:t>
      </w:r>
    </w:p>
    <w:p w:rsidRPr="00DE5D68" w:rsidR="001777B4" w:rsidP="00C27D12" w:rsidRDefault="001777B4" w14:paraId="31C0E375" w14:textId="25C3993E">
      <w:pPr>
        <w:rPr>
          <w:rFonts w:cs="Arial"/>
        </w:rPr>
      </w:pPr>
      <w:r w:rsidRPr="00DE5D68">
        <w:rPr>
          <w:rFonts w:cs="Arial"/>
        </w:rPr>
        <w:t xml:space="preserve">This document should be read in its entirety before making any application for </w:t>
      </w:r>
      <w:r w:rsidR="005C56D3">
        <w:rPr>
          <w:rFonts w:cs="Arial"/>
        </w:rPr>
        <w:t>Ordinary</w:t>
      </w:r>
      <w:r w:rsidRPr="00DE5D68" w:rsidR="005C56D3">
        <w:rPr>
          <w:rFonts w:cs="Arial"/>
        </w:rPr>
        <w:t xml:space="preserve"> </w:t>
      </w:r>
      <w:r w:rsidRPr="00DE5D68" w:rsidR="00A737F3">
        <w:rPr>
          <w:rFonts w:cs="Arial"/>
        </w:rPr>
        <w:t>Shares</w:t>
      </w:r>
      <w:r w:rsidRPr="00DE5D68">
        <w:rPr>
          <w:rFonts w:cs="Arial"/>
        </w:rPr>
        <w:t>. All Shareholders are entitled to the benefit of, and are bound by</w:t>
      </w:r>
      <w:r w:rsidR="00CA5C6E">
        <w:rPr>
          <w:rFonts w:cs="Arial"/>
        </w:rPr>
        <w:t>,</w:t>
      </w:r>
      <w:r w:rsidRPr="00DE5D68">
        <w:rPr>
          <w:rFonts w:cs="Arial"/>
        </w:rPr>
        <w:t xml:space="preserve"> and are deemed to have notice of, the provisions of the Articles.</w:t>
      </w:r>
      <w:r w:rsidRPr="00DE5D68" w:rsidR="002A5652">
        <w:rPr>
          <w:rFonts w:cs="Arial"/>
        </w:rPr>
        <w:t xml:space="preserve"> </w:t>
      </w:r>
    </w:p>
    <w:p w:rsidRPr="00DE5D68" w:rsidR="00950F41" w:rsidP="00C27D12" w:rsidRDefault="001777B4" w14:paraId="4FE2DF7D" w14:textId="595907C7">
      <w:pPr>
        <w:rPr>
          <w:rFonts w:cs="Arial"/>
        </w:rPr>
      </w:pPr>
      <w:r w:rsidRPr="00DE5D68">
        <w:rPr>
          <w:rFonts w:cs="Arial"/>
        </w:rPr>
        <w:t>This document does not</w:t>
      </w:r>
      <w:r w:rsidRPr="00DE5D68" w:rsidR="0063182E">
        <w:rPr>
          <w:rFonts w:cs="Arial"/>
        </w:rPr>
        <w:t xml:space="preserve"> </w:t>
      </w:r>
      <w:r w:rsidRPr="00DE5D68">
        <w:rPr>
          <w:rFonts w:cs="Arial"/>
        </w:rPr>
        <w:t>constitute, and may not be used for the purposes of, an offer or solicitation to anyone in any jurisdiction</w:t>
      </w:r>
      <w:r w:rsidRPr="00DE5D68" w:rsidR="0063182E">
        <w:rPr>
          <w:rFonts w:cs="Arial"/>
        </w:rPr>
        <w:t>: (</w:t>
      </w:r>
      <w:proofErr w:type="spellStart"/>
      <w:r w:rsidRPr="00DE5D68" w:rsidR="0063182E">
        <w:rPr>
          <w:rFonts w:cs="Arial"/>
        </w:rPr>
        <w:t>i</w:t>
      </w:r>
      <w:proofErr w:type="spellEnd"/>
      <w:r w:rsidRPr="00DE5D68" w:rsidR="0063182E">
        <w:rPr>
          <w:rFonts w:cs="Arial"/>
        </w:rPr>
        <w:t>)</w:t>
      </w:r>
      <w:r w:rsidRPr="00DE5D68">
        <w:rPr>
          <w:rFonts w:cs="Arial"/>
        </w:rPr>
        <w:t xml:space="preserve"> in which such offer or solicitation is not authorised</w:t>
      </w:r>
      <w:r w:rsidRPr="00DE5D68" w:rsidR="0063182E">
        <w:rPr>
          <w:rFonts w:cs="Arial"/>
        </w:rPr>
        <w:t>;</w:t>
      </w:r>
      <w:r w:rsidRPr="00DE5D68">
        <w:rPr>
          <w:rFonts w:cs="Arial"/>
        </w:rPr>
        <w:t xml:space="preserve"> or</w:t>
      </w:r>
      <w:r w:rsidRPr="00DE5D68" w:rsidR="0063182E">
        <w:rPr>
          <w:rFonts w:cs="Arial"/>
        </w:rPr>
        <w:t xml:space="preserve"> (ii) in which the person making such offer or invitation is not qualified to do so; or (iii)</w:t>
      </w:r>
      <w:r w:rsidRPr="00DE5D68">
        <w:rPr>
          <w:rFonts w:cs="Arial"/>
        </w:rPr>
        <w:t xml:space="preserve"> to any person to whom it is unlawful to make such </w:t>
      </w:r>
      <w:r w:rsidRPr="00DE5D68">
        <w:rPr>
          <w:rFonts w:cs="Arial"/>
          <w:spacing w:val="6"/>
        </w:rPr>
        <w:t xml:space="preserve">offer or solicitation. The distribution of this document and the offering of </w:t>
      </w:r>
      <w:r w:rsidR="005C56D3">
        <w:rPr>
          <w:rFonts w:cs="Arial"/>
        </w:rPr>
        <w:t>Ordinary</w:t>
      </w:r>
      <w:r w:rsidRPr="00DE5D68" w:rsidR="005C56D3">
        <w:rPr>
          <w:rFonts w:cs="Arial"/>
          <w:spacing w:val="6"/>
        </w:rPr>
        <w:t xml:space="preserve"> </w:t>
      </w:r>
      <w:r w:rsidRPr="00DE5D68" w:rsidR="00A737F3">
        <w:rPr>
          <w:rFonts w:cs="Arial"/>
          <w:spacing w:val="6"/>
        </w:rPr>
        <w:t>Shares</w:t>
      </w:r>
      <w:r w:rsidRPr="00DE5D68">
        <w:rPr>
          <w:rFonts w:cs="Arial"/>
          <w:spacing w:val="6"/>
        </w:rPr>
        <w:t xml:space="preserve"> in certain jurisdictions may</w:t>
      </w:r>
      <w:r w:rsidRPr="00DE5D68">
        <w:rPr>
          <w:rFonts w:cs="Arial"/>
        </w:rPr>
        <w:t xml:space="preserve"> be restricted and accordingly persons into whose possession this document is received are required to inform themselves about and to observe such restrictions.</w:t>
      </w:r>
      <w:r w:rsidRPr="00DE5D68" w:rsidR="002A5652">
        <w:rPr>
          <w:rFonts w:cs="Arial"/>
        </w:rPr>
        <w:t xml:space="preserve"> </w:t>
      </w:r>
    </w:p>
    <w:p w:rsidRPr="00DE5D68" w:rsidR="00AA58C1" w:rsidP="00C27D12" w:rsidRDefault="00AA58C1" w14:paraId="4800110D" w14:textId="4FF6A648">
      <w:pPr>
        <w:rPr>
          <w:rFonts w:cs="Arial"/>
        </w:rPr>
      </w:pPr>
      <w:r w:rsidRPr="00DE5D68">
        <w:rPr>
          <w:rFonts w:cs="Arial"/>
        </w:rPr>
        <w:t xml:space="preserve">An investment in the </w:t>
      </w:r>
      <w:r w:rsidR="005C56D3">
        <w:rPr>
          <w:rFonts w:cs="Arial"/>
        </w:rPr>
        <w:t>Ordinary</w:t>
      </w:r>
      <w:r w:rsidRPr="00DE5D68" w:rsidR="005C56D3">
        <w:rPr>
          <w:rFonts w:cs="Arial"/>
        </w:rPr>
        <w:t xml:space="preserve"> </w:t>
      </w:r>
      <w:r w:rsidRPr="00DE5D68">
        <w:rPr>
          <w:rFonts w:cs="Arial"/>
        </w:rPr>
        <w:t>Shares should constitute part of a diversified investment portfolio. The Specialist Fund Segment is only suitable for investors: (</w:t>
      </w:r>
      <w:proofErr w:type="spellStart"/>
      <w:r w:rsidRPr="00DE5D68">
        <w:rPr>
          <w:rFonts w:cs="Arial"/>
        </w:rPr>
        <w:t>i</w:t>
      </w:r>
      <w:proofErr w:type="spellEnd"/>
      <w:r w:rsidRPr="00DE5D68">
        <w:rPr>
          <w:rFonts w:cs="Arial"/>
        </w:rPr>
        <w:t xml:space="preserve">) who understand the potential risk of capital loss and that there may be limited liquidity in the underlying investments of the Company; (ii) for whom an investment in securities traded on the Specialist Fund Segment is part of a diversified investment programme; and (iii) who fully understand and are willing to assume the risks involved in such an investment portfolio. </w:t>
      </w:r>
      <w:r w:rsidRPr="00FC3FA6" w:rsidR="00FC3FA6">
        <w:rPr>
          <w:rFonts w:cs="Arial"/>
          <w:bCs/>
        </w:rPr>
        <w:t>Investors in the Company are expected to be institutional investors, private clients through their wealth managers, experienced investors, high net worth investors, professionally advised investors and knowledgeable unadvised retail investors who have taken appropriate steps to ensure that they understand the risks involved in investing in the Company and who have sufficient resources to be able to bear any losses (which may equal the whole amount invested) that may result from such an investment.</w:t>
      </w:r>
      <w:r w:rsidR="00FC3FA6">
        <w:rPr>
          <w:rFonts w:cs="Arial"/>
          <w:bCs/>
        </w:rPr>
        <w:t xml:space="preserve"> It should be remembered that the price of the Ordinary Shares can go down as well as up. </w:t>
      </w:r>
    </w:p>
    <w:p w:rsidRPr="00DE5D68" w:rsidR="003235A3" w:rsidP="00C27D12" w:rsidRDefault="003235A3" w14:paraId="618BFC56" w14:textId="51D7E439">
      <w:pPr>
        <w:keepNext/>
        <w:rPr>
          <w:rFonts w:cs="Arial"/>
          <w:b/>
        </w:rPr>
      </w:pPr>
      <w:r w:rsidRPr="00DE5D68">
        <w:rPr>
          <w:rFonts w:cs="Arial"/>
          <w:b/>
        </w:rPr>
        <w:t xml:space="preserve">GUERNSEY REGULATORY INFORMATION </w:t>
      </w:r>
    </w:p>
    <w:p w:rsidRPr="00DE5D68" w:rsidR="003235A3" w:rsidP="00C27D12" w:rsidRDefault="003235A3" w14:paraId="1E1BB994" w14:textId="1A950B43">
      <w:pPr>
        <w:rPr>
          <w:rFonts w:cs="Arial"/>
        </w:rPr>
      </w:pPr>
      <w:r w:rsidRPr="00DE5D68">
        <w:rPr>
          <w:rFonts w:cs="Arial"/>
        </w:rPr>
        <w:t xml:space="preserve">The Company is a registered closed-ended investment scheme registered pursuant to the POI Law and </w:t>
      </w:r>
      <w:r w:rsidRPr="00DE5D68" w:rsidR="00482324">
        <w:rPr>
          <w:rFonts w:cs="Arial"/>
        </w:rPr>
        <w:t>RCIS</w:t>
      </w:r>
      <w:r w:rsidRPr="00DE5D68">
        <w:rPr>
          <w:rFonts w:cs="Arial"/>
        </w:rPr>
        <w:t xml:space="preserve"> Rules.</w:t>
      </w:r>
    </w:p>
    <w:p w:rsidRPr="00DE5D68" w:rsidR="003235A3" w:rsidP="00C27D12" w:rsidRDefault="003235A3" w14:paraId="6220C770" w14:textId="6424EF36">
      <w:pPr>
        <w:rPr>
          <w:rFonts w:cs="Arial"/>
        </w:rPr>
      </w:pPr>
      <w:r w:rsidRPr="00DE5D68">
        <w:rPr>
          <w:rFonts w:cs="Arial"/>
        </w:rPr>
        <w:t>The Directors have taken all reasonable care to ensure that the facts stated in this document are true and accurate in all material respects, and that there are no other facts the omission of which would make misleading any statement in the document, whether of facts or of opinion. All the Directors accept responsibility accordingly.</w:t>
      </w:r>
    </w:p>
    <w:p w:rsidRPr="00DE5D68" w:rsidR="003235A3" w:rsidP="00C27D12" w:rsidRDefault="003235A3" w14:paraId="13A9396F" w14:textId="5949146F">
      <w:pPr>
        <w:rPr>
          <w:rFonts w:cs="Arial"/>
        </w:rPr>
      </w:pPr>
      <w:r w:rsidRPr="00DE5D68">
        <w:rPr>
          <w:rFonts w:cs="Arial"/>
        </w:rPr>
        <w:t>If you are in any doubt about the contents of this document you should consult your accountant, legal or professional adviser or financial adviser.</w:t>
      </w:r>
    </w:p>
    <w:p w:rsidRPr="00DE5D68" w:rsidR="001777B4" w:rsidP="00C27D12" w:rsidRDefault="001777B4" w14:paraId="4DA48C09" w14:textId="06E385AD">
      <w:pPr>
        <w:keepNext/>
        <w:rPr>
          <w:rFonts w:cs="Arial"/>
          <w:b/>
        </w:rPr>
      </w:pPr>
      <w:r w:rsidRPr="00DE5D68">
        <w:rPr>
          <w:rFonts w:cs="Arial"/>
          <w:b/>
        </w:rPr>
        <w:lastRenderedPageBreak/>
        <w:t>FOR THE ATTENTION OF UNITED STATES RESIDENTS</w:t>
      </w:r>
    </w:p>
    <w:p w:rsidRPr="00DE5D68" w:rsidR="00C84BAB" w:rsidP="00C27D12" w:rsidRDefault="00C84BAB" w14:paraId="3C9D1601" w14:textId="6E748DDD">
      <w:pPr>
        <w:rPr>
          <w:rFonts w:cs="Arial"/>
        </w:rPr>
      </w:pPr>
      <w:r w:rsidRPr="00DE5D68">
        <w:rPr>
          <w:rFonts w:cs="Arial"/>
        </w:rPr>
        <w:t>The</w:t>
      </w:r>
      <w:r w:rsidRPr="00DE5D68" w:rsidR="00FD0957">
        <w:rPr>
          <w:rFonts w:cs="Arial"/>
        </w:rPr>
        <w:t xml:space="preserve"> </w:t>
      </w:r>
      <w:r w:rsidR="005C56D3">
        <w:rPr>
          <w:rFonts w:cs="Arial"/>
        </w:rPr>
        <w:t>Ordinary</w:t>
      </w:r>
      <w:r w:rsidRPr="00DE5D68" w:rsidR="005C56D3">
        <w:rPr>
          <w:rFonts w:cs="Arial"/>
        </w:rPr>
        <w:t xml:space="preserve"> </w:t>
      </w:r>
      <w:r w:rsidRPr="00DE5D68" w:rsidR="008F4096">
        <w:rPr>
          <w:rFonts w:cs="Arial"/>
        </w:rPr>
        <w:t>Shares</w:t>
      </w:r>
      <w:r w:rsidRPr="00DE5D68">
        <w:rPr>
          <w:rFonts w:cs="Arial"/>
        </w:rPr>
        <w:t xml:space="preserve"> have not been and will not be registered under the U.S. Securities Act or with any securities regulatory authority of any state or other jurisdiction of the United States and the </w:t>
      </w:r>
      <w:r w:rsidR="005C56D3">
        <w:rPr>
          <w:rFonts w:cs="Arial"/>
        </w:rPr>
        <w:t>Ordinary</w:t>
      </w:r>
      <w:r w:rsidRPr="00DE5D68" w:rsidR="005C56D3">
        <w:rPr>
          <w:rFonts w:cs="Arial"/>
        </w:rPr>
        <w:t xml:space="preserve"> </w:t>
      </w:r>
      <w:r w:rsidRPr="00DE5D68" w:rsidR="008F4096">
        <w:rPr>
          <w:rFonts w:cs="Arial"/>
        </w:rPr>
        <w:t>Shares</w:t>
      </w:r>
      <w:r w:rsidRPr="00DE5D68">
        <w:rPr>
          <w:rFonts w:cs="Arial"/>
        </w:rPr>
        <w:t xml:space="preserve"> may not be offered, sold, exercised, resold, transferred or delivered, directly or indirectly, within the United States or to, or for the account or benefit of, U.S. Persons (as defined in Regulation S under the U.S. Securities Act</w:t>
      </w:r>
      <w:r w:rsidRPr="00DE5D68" w:rsidR="00EA2CD9">
        <w:rPr>
          <w:rFonts w:cs="Arial"/>
        </w:rPr>
        <w:t>)</w:t>
      </w:r>
      <w:r w:rsidRPr="00DE5D68" w:rsidR="00AF6758">
        <w:rPr>
          <w:rFonts w:cs="Arial"/>
        </w:rPr>
        <w:t>, except pursuant to an exemption from, or in a transaction not subject to, the registration requirements of the U.S. Securities Act and in compliance with any applicable securities laws of any state or other jurisdiction in the United States</w:t>
      </w:r>
      <w:r w:rsidRPr="00DE5D68">
        <w:rPr>
          <w:rFonts w:cs="Arial"/>
        </w:rPr>
        <w:t xml:space="preserve">. There will be no public offer of the </w:t>
      </w:r>
      <w:r w:rsidR="005C56D3">
        <w:rPr>
          <w:rFonts w:cs="Arial"/>
        </w:rPr>
        <w:t>Ordinary</w:t>
      </w:r>
      <w:r w:rsidRPr="00DE5D68" w:rsidR="005C56D3">
        <w:rPr>
          <w:rFonts w:cs="Arial"/>
        </w:rPr>
        <w:t xml:space="preserve"> </w:t>
      </w:r>
      <w:r w:rsidRPr="00DE5D68" w:rsidR="008F4096">
        <w:rPr>
          <w:rFonts w:cs="Arial"/>
        </w:rPr>
        <w:t>Shares</w:t>
      </w:r>
      <w:r w:rsidRPr="00DE5D68" w:rsidR="003711D3">
        <w:rPr>
          <w:rFonts w:cs="Arial"/>
        </w:rPr>
        <w:t xml:space="preserve"> </w:t>
      </w:r>
      <w:r w:rsidRPr="00DE5D68">
        <w:rPr>
          <w:rFonts w:cs="Arial"/>
        </w:rPr>
        <w:t xml:space="preserve">in the United States. The </w:t>
      </w:r>
      <w:r w:rsidR="005C56D3">
        <w:rPr>
          <w:rFonts w:cs="Arial"/>
        </w:rPr>
        <w:t>Ordinary</w:t>
      </w:r>
      <w:r w:rsidRPr="00DE5D68" w:rsidR="005C56D3">
        <w:rPr>
          <w:rFonts w:cs="Arial"/>
        </w:rPr>
        <w:t xml:space="preserve"> </w:t>
      </w:r>
      <w:r w:rsidRPr="00DE5D68" w:rsidR="008F4096">
        <w:rPr>
          <w:rFonts w:cs="Arial"/>
        </w:rPr>
        <w:t>Shares</w:t>
      </w:r>
      <w:r w:rsidRPr="00DE5D68">
        <w:rPr>
          <w:rFonts w:cs="Arial"/>
        </w:rPr>
        <w:t xml:space="preserve"> are being offered or sold</w:t>
      </w:r>
      <w:r w:rsidRPr="00DE5D68" w:rsidR="008A4117">
        <w:rPr>
          <w:rFonts w:cs="Arial"/>
        </w:rPr>
        <w:t xml:space="preserve"> </w:t>
      </w:r>
      <w:r w:rsidRPr="00DE5D68">
        <w:rPr>
          <w:rFonts w:cs="Arial"/>
        </w:rPr>
        <w:t>o</w:t>
      </w:r>
      <w:r w:rsidRPr="00DE5D68" w:rsidR="00AF6758">
        <w:rPr>
          <w:rFonts w:cs="Arial"/>
        </w:rPr>
        <w:t>utside the United States to non-</w:t>
      </w:r>
      <w:r w:rsidRPr="00DE5D68">
        <w:rPr>
          <w:rFonts w:cs="Arial"/>
        </w:rPr>
        <w:t>U</w:t>
      </w:r>
      <w:r w:rsidRPr="00DE5D68" w:rsidR="00096E49">
        <w:rPr>
          <w:rFonts w:cs="Arial"/>
        </w:rPr>
        <w:t>.</w:t>
      </w:r>
      <w:r w:rsidRPr="00DE5D68">
        <w:rPr>
          <w:rFonts w:cs="Arial"/>
        </w:rPr>
        <w:t>S</w:t>
      </w:r>
      <w:r w:rsidRPr="00DE5D68" w:rsidR="00096E49">
        <w:rPr>
          <w:rFonts w:cs="Arial"/>
        </w:rPr>
        <w:t>.</w:t>
      </w:r>
      <w:r w:rsidRPr="00DE5D68">
        <w:rPr>
          <w:rFonts w:cs="Arial"/>
        </w:rPr>
        <w:t xml:space="preserve"> Persons in offshore transactions in reliance on the exemption from the registration requirements of the U.S. Securities Act provided by Regulation S thereunder.</w:t>
      </w:r>
      <w:r w:rsidRPr="00DE5D68" w:rsidR="002A5652">
        <w:rPr>
          <w:rFonts w:cs="Arial"/>
        </w:rPr>
        <w:t xml:space="preserve"> </w:t>
      </w:r>
      <w:r w:rsidRPr="00DE5D68">
        <w:rPr>
          <w:rFonts w:cs="Arial"/>
        </w:rPr>
        <w:t>The Company has not been and will not be registered under the U.S. Investment Company Act and investors will not be entitled to the benefits of the U.S. Investment Company Act.</w:t>
      </w:r>
      <w:r w:rsidRPr="00DE5D68" w:rsidR="002A5652">
        <w:rPr>
          <w:rFonts w:cs="Arial"/>
        </w:rPr>
        <w:t xml:space="preserve"> </w:t>
      </w:r>
    </w:p>
    <w:p w:rsidRPr="00DE5D68" w:rsidR="001777B4" w:rsidP="00C27D12" w:rsidRDefault="001777B4" w14:paraId="7161EAF1" w14:textId="36806FF8">
      <w:pPr>
        <w:rPr>
          <w:rFonts w:cs="Arial"/>
        </w:rPr>
      </w:pPr>
      <w:r w:rsidRPr="00DE5D68">
        <w:rPr>
          <w:rFonts w:cs="Arial"/>
        </w:rPr>
        <w:t>The</w:t>
      </w:r>
      <w:r w:rsidRPr="005C56D3" w:rsidR="005C56D3">
        <w:rPr>
          <w:rFonts w:cs="Arial"/>
        </w:rPr>
        <w:t xml:space="preserve"> </w:t>
      </w:r>
      <w:r w:rsidR="005C56D3">
        <w:rPr>
          <w:rFonts w:cs="Arial"/>
        </w:rPr>
        <w:t>Ordinary</w:t>
      </w:r>
      <w:r w:rsidRPr="00DE5D68">
        <w:rPr>
          <w:rFonts w:cs="Arial"/>
        </w:rPr>
        <w:t xml:space="preserve"> </w:t>
      </w:r>
      <w:r w:rsidRPr="00DE5D68" w:rsidR="008F4096">
        <w:rPr>
          <w:rFonts w:cs="Arial"/>
        </w:rPr>
        <w:t>Shares</w:t>
      </w:r>
      <w:r w:rsidRPr="00DE5D68">
        <w:rPr>
          <w:rFonts w:cs="Arial"/>
        </w:rPr>
        <w:t xml:space="preserve"> have not been approved or disapproved by the U.S. Securities and Exchange Commission, any </w:t>
      </w:r>
      <w:r w:rsidRPr="00DE5D68" w:rsidR="004D3ACA">
        <w:rPr>
          <w:rFonts w:cs="Arial"/>
        </w:rPr>
        <w:t>s</w:t>
      </w:r>
      <w:r w:rsidRPr="00DE5D68">
        <w:rPr>
          <w:rFonts w:cs="Arial"/>
        </w:rPr>
        <w:t xml:space="preserve">tate securities commission in the United States or any other U.S. regulatory authority, nor have any of the foregoing authorities passed upon or endorsed the merits of the offering of </w:t>
      </w:r>
      <w:r w:rsidR="005C56D3">
        <w:rPr>
          <w:rFonts w:cs="Arial"/>
        </w:rPr>
        <w:t>Ordinary</w:t>
      </w:r>
      <w:r w:rsidRPr="00DE5D68" w:rsidR="005C56D3">
        <w:rPr>
          <w:rFonts w:cs="Arial"/>
        </w:rPr>
        <w:t xml:space="preserve"> </w:t>
      </w:r>
      <w:r w:rsidRPr="00DE5D68" w:rsidR="008F4096">
        <w:rPr>
          <w:rFonts w:cs="Arial"/>
        </w:rPr>
        <w:t>Shares</w:t>
      </w:r>
      <w:r w:rsidRPr="00DE5D68">
        <w:rPr>
          <w:rFonts w:cs="Arial"/>
        </w:rPr>
        <w:t xml:space="preserve"> </w:t>
      </w:r>
      <w:r w:rsidRPr="00DE5D68" w:rsidR="003711D3">
        <w:rPr>
          <w:rFonts w:cs="Arial"/>
        </w:rPr>
        <w:t xml:space="preserve">or </w:t>
      </w:r>
      <w:r w:rsidRPr="00DE5D68">
        <w:rPr>
          <w:rFonts w:cs="Arial"/>
        </w:rPr>
        <w:t xml:space="preserve">the accuracy or adequacy of this document. Any representation to the contrary is a criminal offence in the United States and any re-offer or resale of any of the </w:t>
      </w:r>
      <w:r w:rsidR="005C56D3">
        <w:rPr>
          <w:rFonts w:cs="Arial"/>
        </w:rPr>
        <w:t>Ordinary</w:t>
      </w:r>
      <w:r w:rsidRPr="00DE5D68" w:rsidR="005C56D3">
        <w:rPr>
          <w:rFonts w:cs="Arial"/>
        </w:rPr>
        <w:t xml:space="preserve"> </w:t>
      </w:r>
      <w:r w:rsidRPr="00DE5D68" w:rsidR="008F4096">
        <w:rPr>
          <w:rFonts w:cs="Arial"/>
        </w:rPr>
        <w:t>Shares</w:t>
      </w:r>
      <w:r w:rsidRPr="00DE5D68">
        <w:rPr>
          <w:rFonts w:cs="Arial"/>
        </w:rPr>
        <w:t xml:space="preserve"> in the United States or to U</w:t>
      </w:r>
      <w:r w:rsidRPr="00DE5D68" w:rsidR="00950F41">
        <w:rPr>
          <w:rFonts w:cs="Arial"/>
        </w:rPr>
        <w:t>.</w:t>
      </w:r>
      <w:r w:rsidRPr="00DE5D68">
        <w:rPr>
          <w:rFonts w:cs="Arial"/>
        </w:rPr>
        <w:t>S</w:t>
      </w:r>
      <w:r w:rsidRPr="00DE5D68" w:rsidR="00950F41">
        <w:rPr>
          <w:rFonts w:cs="Arial"/>
        </w:rPr>
        <w:t>.</w:t>
      </w:r>
      <w:r w:rsidRPr="00DE5D68">
        <w:rPr>
          <w:rFonts w:cs="Arial"/>
        </w:rPr>
        <w:t xml:space="preserve"> </w:t>
      </w:r>
      <w:r w:rsidRPr="00DE5D68">
        <w:rPr>
          <w:rFonts w:cs="Arial"/>
          <w:spacing w:val="6"/>
        </w:rPr>
        <w:t>Persons may constitute a viol</w:t>
      </w:r>
      <w:r w:rsidRPr="00DE5D68" w:rsidR="00AF6758">
        <w:rPr>
          <w:rFonts w:cs="Arial"/>
          <w:spacing w:val="6"/>
        </w:rPr>
        <w:t>ation of U.S. law or regulation</w:t>
      </w:r>
      <w:r w:rsidRPr="00DE5D68">
        <w:rPr>
          <w:rFonts w:cs="Arial"/>
        </w:rPr>
        <w:t>. Any person in the United States who obtains a copy of this document is requested to disregard it.</w:t>
      </w:r>
    </w:p>
    <w:p w:rsidRPr="00DE5D68" w:rsidR="00CB58AA" w:rsidP="00C27D12" w:rsidRDefault="00291017" w14:paraId="547F23CC" w14:textId="77777777">
      <w:pPr>
        <w:keepNext/>
        <w:rPr>
          <w:rFonts w:cs="Arial"/>
          <w:b/>
        </w:rPr>
      </w:pPr>
      <w:r w:rsidRPr="00DE5D68">
        <w:rPr>
          <w:rFonts w:cs="Arial"/>
          <w:b/>
        </w:rPr>
        <w:t>FOR THE ATTENTION OF PROSPECTIVE INVESTORS IN CANADA, JAPAN, AUSTRALIA</w:t>
      </w:r>
      <w:r w:rsidRPr="00DE5D68" w:rsidR="005E2389">
        <w:rPr>
          <w:rFonts w:cs="Arial"/>
          <w:b/>
        </w:rPr>
        <w:t xml:space="preserve"> </w:t>
      </w:r>
      <w:r w:rsidRPr="00DE5D68">
        <w:rPr>
          <w:rFonts w:cs="Arial"/>
          <w:b/>
        </w:rPr>
        <w:t>OR THE REPUBLIC OF SOUTH AFRICA</w:t>
      </w:r>
    </w:p>
    <w:p w:rsidRPr="00DE5D68" w:rsidR="00CB58AA" w:rsidP="00C27D12" w:rsidRDefault="00E6111E" w14:paraId="2C8D39E1" w14:textId="5EB7BC24">
      <w:pPr>
        <w:rPr>
          <w:rFonts w:cs="Arial"/>
          <w:sz w:val="22"/>
        </w:rPr>
      </w:pPr>
      <w:r w:rsidRPr="00DE5D68">
        <w:rPr>
          <w:rFonts w:cs="Arial"/>
          <w:szCs w:val="18"/>
        </w:rPr>
        <w:t xml:space="preserve">The offer and sale of </w:t>
      </w:r>
      <w:r w:rsidR="005C56D3">
        <w:rPr>
          <w:rFonts w:cs="Arial"/>
        </w:rPr>
        <w:t>Ordinary</w:t>
      </w:r>
      <w:r w:rsidRPr="00DE5D68" w:rsidR="005C56D3">
        <w:rPr>
          <w:rFonts w:cs="Arial"/>
        </w:rPr>
        <w:t xml:space="preserve"> </w:t>
      </w:r>
      <w:r w:rsidRPr="00DE5D68" w:rsidR="008F4096">
        <w:rPr>
          <w:rFonts w:cs="Arial"/>
        </w:rPr>
        <w:t>Shares</w:t>
      </w:r>
      <w:r w:rsidRPr="00DE5D68">
        <w:rPr>
          <w:rFonts w:cs="Arial"/>
          <w:szCs w:val="18"/>
        </w:rPr>
        <w:t xml:space="preserve"> has not been and will not be registered under the </w:t>
      </w:r>
      <w:r w:rsidRPr="00DE5D68" w:rsidR="00285271">
        <w:rPr>
          <w:rFonts w:cs="Arial"/>
          <w:szCs w:val="18"/>
        </w:rPr>
        <w:t>applicable</w:t>
      </w:r>
      <w:r w:rsidRPr="00DE5D68">
        <w:rPr>
          <w:rFonts w:cs="Arial"/>
          <w:szCs w:val="18"/>
        </w:rPr>
        <w:t xml:space="preserve"> securities law</w:t>
      </w:r>
      <w:r w:rsidRPr="00DE5D68" w:rsidR="00285271">
        <w:rPr>
          <w:rFonts w:cs="Arial"/>
          <w:szCs w:val="18"/>
        </w:rPr>
        <w:t>s</w:t>
      </w:r>
      <w:r w:rsidRPr="00DE5D68">
        <w:rPr>
          <w:rFonts w:cs="Arial"/>
          <w:szCs w:val="18"/>
        </w:rPr>
        <w:t xml:space="preserve"> of Canada, Japan, Australia</w:t>
      </w:r>
      <w:r w:rsidRPr="00DE5D68" w:rsidR="005E2389">
        <w:rPr>
          <w:rFonts w:cs="Arial"/>
          <w:szCs w:val="18"/>
        </w:rPr>
        <w:t xml:space="preserve"> </w:t>
      </w:r>
      <w:r w:rsidRPr="00DE5D68">
        <w:rPr>
          <w:rFonts w:cs="Arial"/>
          <w:szCs w:val="18"/>
        </w:rPr>
        <w:t>or the Republic of South Africa.</w:t>
      </w:r>
      <w:r w:rsidRPr="00DE5D68" w:rsidR="002A5652">
        <w:rPr>
          <w:rFonts w:cs="Arial"/>
          <w:szCs w:val="18"/>
        </w:rPr>
        <w:t xml:space="preserve"> </w:t>
      </w:r>
      <w:r w:rsidRPr="00DE5D68">
        <w:rPr>
          <w:rFonts w:cs="Arial"/>
          <w:szCs w:val="18"/>
        </w:rPr>
        <w:t xml:space="preserve">Subject to certain exemptions, the </w:t>
      </w:r>
      <w:r w:rsidR="005C56D3">
        <w:rPr>
          <w:rFonts w:cs="Arial"/>
        </w:rPr>
        <w:t>Ordinary</w:t>
      </w:r>
      <w:r w:rsidRPr="00DE5D68" w:rsidR="005C56D3">
        <w:rPr>
          <w:rFonts w:cs="Arial"/>
        </w:rPr>
        <w:t xml:space="preserve"> </w:t>
      </w:r>
      <w:r w:rsidRPr="00DE5D68" w:rsidR="008F4096">
        <w:rPr>
          <w:rFonts w:cs="Arial"/>
        </w:rPr>
        <w:t>Shares</w:t>
      </w:r>
      <w:r w:rsidRPr="00DE5D68">
        <w:rPr>
          <w:rFonts w:cs="Arial"/>
          <w:szCs w:val="18"/>
        </w:rPr>
        <w:t xml:space="preserve"> may not be offered to or sold within </w:t>
      </w:r>
      <w:r w:rsidRPr="00DE5D68" w:rsidR="008069AA">
        <w:rPr>
          <w:rFonts w:cs="Arial"/>
          <w:szCs w:val="18"/>
        </w:rPr>
        <w:t xml:space="preserve">Canada, Japan, Australia or the Republic of South Africa </w:t>
      </w:r>
      <w:r w:rsidRPr="00DE5D68">
        <w:rPr>
          <w:rFonts w:cs="Arial"/>
          <w:szCs w:val="18"/>
        </w:rPr>
        <w:t xml:space="preserve">or to any national, resident or citizen of </w:t>
      </w:r>
      <w:r w:rsidRPr="00DE5D68" w:rsidR="008069AA">
        <w:rPr>
          <w:rFonts w:cs="Arial"/>
          <w:szCs w:val="18"/>
        </w:rPr>
        <w:t>such territories</w:t>
      </w:r>
      <w:r w:rsidRPr="00DE5D68">
        <w:rPr>
          <w:rFonts w:cs="Arial"/>
          <w:szCs w:val="18"/>
        </w:rPr>
        <w:t>.</w:t>
      </w:r>
    </w:p>
    <w:p w:rsidRPr="008C21BA" w:rsidR="008C21BA" w:rsidP="008C21BA" w:rsidRDefault="008C21BA" w14:paraId="0E6B1731" w14:textId="77777777">
      <w:pPr>
        <w:keepNext/>
        <w:rPr>
          <w:rFonts w:cs="Arial"/>
          <w:b/>
        </w:rPr>
      </w:pPr>
      <w:r w:rsidRPr="008C21BA">
        <w:rPr>
          <w:rFonts w:cs="Arial"/>
          <w:b/>
        </w:rPr>
        <w:t>FOR THE ATTENTION OF UNITED KINGDOM INVESTORS</w:t>
      </w:r>
    </w:p>
    <w:p w:rsidRPr="008C21BA" w:rsidR="008C21BA" w:rsidP="008C21BA" w:rsidRDefault="008C21BA" w14:paraId="3D656A79" w14:textId="221B22A5">
      <w:pPr>
        <w:keepNext/>
        <w:rPr>
          <w:rFonts w:cs="Arial"/>
        </w:rPr>
      </w:pPr>
      <w:r w:rsidRPr="008C21BA">
        <w:rPr>
          <w:rFonts w:cs="Arial"/>
        </w:rPr>
        <w:t xml:space="preserve">No </w:t>
      </w:r>
      <w:r w:rsidR="005C56D3">
        <w:rPr>
          <w:rFonts w:cs="Arial"/>
        </w:rPr>
        <w:t>Ordinary</w:t>
      </w:r>
      <w:r w:rsidRPr="008C21BA" w:rsidR="005C56D3">
        <w:rPr>
          <w:rFonts w:cs="Arial"/>
        </w:rPr>
        <w:t xml:space="preserve"> </w:t>
      </w:r>
      <w:r w:rsidRPr="008C21BA">
        <w:rPr>
          <w:rFonts w:cs="Arial"/>
        </w:rPr>
        <w:t>Shares have been offered or will be offer</w:t>
      </w:r>
      <w:r w:rsidR="005C56D3">
        <w:rPr>
          <w:rFonts w:cs="Arial"/>
        </w:rPr>
        <w:t xml:space="preserve">ed pursuant to the </w:t>
      </w:r>
      <w:r w:rsidR="00B97B41">
        <w:rPr>
          <w:rFonts w:cs="Arial"/>
        </w:rPr>
        <w:t xml:space="preserve">Initial </w:t>
      </w:r>
      <w:r w:rsidR="00CA5C6E">
        <w:rPr>
          <w:rFonts w:cs="Arial"/>
        </w:rPr>
        <w:t>Placing</w:t>
      </w:r>
      <w:r w:rsidRPr="008C21BA">
        <w:rPr>
          <w:rFonts w:cs="Arial"/>
        </w:rPr>
        <w:t xml:space="preserve"> or the Placing Programme to the public in the United Kingdom prior to the publication of a prospectus in relation to the </w:t>
      </w:r>
      <w:r w:rsidR="005C56D3">
        <w:rPr>
          <w:rFonts w:cs="Arial"/>
        </w:rPr>
        <w:t>Ordinary</w:t>
      </w:r>
      <w:r w:rsidRPr="008C21BA" w:rsidR="005C56D3">
        <w:rPr>
          <w:rFonts w:cs="Arial"/>
        </w:rPr>
        <w:t xml:space="preserve"> </w:t>
      </w:r>
      <w:r w:rsidRPr="008C21BA">
        <w:rPr>
          <w:rFonts w:cs="Arial"/>
        </w:rPr>
        <w:t>Shares which ha</w:t>
      </w:r>
      <w:r>
        <w:rPr>
          <w:rFonts w:cs="Arial"/>
        </w:rPr>
        <w:t>ve</w:t>
      </w:r>
      <w:r w:rsidRPr="008C21BA">
        <w:rPr>
          <w:rFonts w:cs="Arial"/>
        </w:rPr>
        <w:t xml:space="preserve"> been approved by the Financial Conduct Authority, except that the </w:t>
      </w:r>
      <w:r w:rsidR="005C56D3">
        <w:rPr>
          <w:rFonts w:cs="Arial"/>
        </w:rPr>
        <w:t>Ordinary</w:t>
      </w:r>
      <w:r w:rsidRPr="008C21BA" w:rsidR="005C56D3">
        <w:rPr>
          <w:rFonts w:cs="Arial"/>
        </w:rPr>
        <w:t xml:space="preserve"> </w:t>
      </w:r>
      <w:r w:rsidRPr="008C21BA">
        <w:rPr>
          <w:rFonts w:cs="Arial"/>
        </w:rPr>
        <w:t>Shares may be offered to the public in the United Kingdom at any time:</w:t>
      </w:r>
    </w:p>
    <w:p w:rsidRPr="008C21BA" w:rsidR="008C21BA" w:rsidP="008C21BA" w:rsidRDefault="008C21BA" w14:paraId="76B27C38" w14:textId="77777777">
      <w:pPr>
        <w:keepNext/>
        <w:rPr>
          <w:rFonts w:cs="Arial"/>
        </w:rPr>
      </w:pPr>
      <w:r w:rsidRPr="008C21BA">
        <w:rPr>
          <w:rFonts w:cs="Arial"/>
        </w:rPr>
        <w:t>(a) to any legal entity which is a qualified investor as defined under Article 2 of the Prospectus Regulation;</w:t>
      </w:r>
    </w:p>
    <w:p w:rsidRPr="008C21BA" w:rsidR="008C21BA" w:rsidP="008C21BA" w:rsidRDefault="008C21BA" w14:paraId="38546F7F" w14:textId="24F19ED6">
      <w:pPr>
        <w:keepNext/>
        <w:rPr>
          <w:rFonts w:cs="Arial"/>
        </w:rPr>
      </w:pPr>
      <w:r w:rsidRPr="008C21BA">
        <w:rPr>
          <w:rFonts w:cs="Arial"/>
        </w:rPr>
        <w:t xml:space="preserve">(b) to fewer than 150 natural or legal persons (other than qualified investors as defined under Article </w:t>
      </w:r>
      <w:r w:rsidR="009549A5">
        <w:rPr>
          <w:rFonts w:cs="Arial"/>
        </w:rPr>
        <w:t>2 of the Prospectus Regulation)</w:t>
      </w:r>
      <w:r w:rsidRPr="008C21BA">
        <w:rPr>
          <w:rFonts w:cs="Arial"/>
        </w:rPr>
        <w:t>; or</w:t>
      </w:r>
    </w:p>
    <w:p w:rsidRPr="008C21BA" w:rsidR="008C21BA" w:rsidP="008C21BA" w:rsidRDefault="008C21BA" w14:paraId="1A463E6B" w14:textId="4139953C">
      <w:pPr>
        <w:keepNext/>
        <w:rPr>
          <w:rFonts w:cs="Arial"/>
        </w:rPr>
      </w:pPr>
      <w:r w:rsidRPr="008C21BA">
        <w:rPr>
          <w:rFonts w:cs="Arial"/>
        </w:rPr>
        <w:t>(c) in any other circumstances fallin</w:t>
      </w:r>
      <w:r w:rsidR="004E6F2C">
        <w:rPr>
          <w:rFonts w:cs="Arial"/>
        </w:rPr>
        <w:t>g within Section 86 of the FSMA,</w:t>
      </w:r>
    </w:p>
    <w:p w:rsidRPr="008C21BA" w:rsidR="008C21BA" w:rsidP="008C21BA" w:rsidRDefault="008C21BA" w14:paraId="13D55C33" w14:textId="1642D344">
      <w:pPr>
        <w:keepNext/>
        <w:rPr>
          <w:rFonts w:cs="Arial"/>
        </w:rPr>
      </w:pPr>
      <w:r w:rsidRPr="008C21BA">
        <w:rPr>
          <w:rFonts w:cs="Arial"/>
        </w:rPr>
        <w:t xml:space="preserve">provided that no such offer of the </w:t>
      </w:r>
      <w:r w:rsidR="005C56D3">
        <w:rPr>
          <w:rFonts w:cs="Arial"/>
        </w:rPr>
        <w:t>Ordinary</w:t>
      </w:r>
      <w:r w:rsidRPr="008C21BA" w:rsidR="005C56D3">
        <w:rPr>
          <w:rFonts w:cs="Arial"/>
        </w:rPr>
        <w:t xml:space="preserve"> </w:t>
      </w:r>
      <w:r w:rsidRPr="008C21BA">
        <w:rPr>
          <w:rFonts w:cs="Arial"/>
        </w:rPr>
        <w:t xml:space="preserve">Shares shall require the Company to publish a prospectus pursuant to Section 85 of the FSMA or supplement a prospectus pursuant to Article 23 of the Prospectus Regulation. For the purposes of this provision, the expression an </w:t>
      </w:r>
      <w:r w:rsidR="004E6F2C">
        <w:rPr>
          <w:rFonts w:cs="Arial"/>
        </w:rPr>
        <w:t>"</w:t>
      </w:r>
      <w:r w:rsidRPr="008C21BA">
        <w:rPr>
          <w:rFonts w:cs="Arial"/>
        </w:rPr>
        <w:t xml:space="preserve">offer to the public" in relation to the </w:t>
      </w:r>
      <w:r w:rsidR="005C56D3">
        <w:rPr>
          <w:rFonts w:cs="Arial"/>
        </w:rPr>
        <w:t>Ordinary</w:t>
      </w:r>
      <w:r w:rsidRPr="008C21BA" w:rsidR="005C56D3">
        <w:rPr>
          <w:rFonts w:cs="Arial"/>
        </w:rPr>
        <w:t xml:space="preserve"> </w:t>
      </w:r>
      <w:r w:rsidRPr="008C21BA">
        <w:rPr>
          <w:rFonts w:cs="Arial"/>
        </w:rPr>
        <w:t xml:space="preserve">Shares in the United Kingdom means the communication in any form and by any means of sufficient information on the terms of the offer and any </w:t>
      </w:r>
      <w:r w:rsidR="005C56D3">
        <w:rPr>
          <w:rFonts w:cs="Arial"/>
        </w:rPr>
        <w:t>Ordinary</w:t>
      </w:r>
      <w:r w:rsidRPr="008C21BA" w:rsidR="005C56D3">
        <w:rPr>
          <w:rFonts w:cs="Arial"/>
        </w:rPr>
        <w:t xml:space="preserve"> </w:t>
      </w:r>
      <w:r w:rsidRPr="008C21BA">
        <w:rPr>
          <w:rFonts w:cs="Arial"/>
        </w:rPr>
        <w:t xml:space="preserve">Shares to be offered so as to enable an investor to decide to purchase or subscribe for any </w:t>
      </w:r>
      <w:r w:rsidR="005C56D3">
        <w:rPr>
          <w:rFonts w:cs="Arial"/>
        </w:rPr>
        <w:t>Ordinary</w:t>
      </w:r>
      <w:r w:rsidRPr="008C21BA" w:rsidR="005C56D3">
        <w:rPr>
          <w:rFonts w:cs="Arial"/>
        </w:rPr>
        <w:t xml:space="preserve"> </w:t>
      </w:r>
      <w:r w:rsidRPr="008C21BA">
        <w:rPr>
          <w:rFonts w:cs="Arial"/>
        </w:rPr>
        <w:t>Shares and the expression "Prospectus Regulation" means Regulation (EU) 2017/1129 as it forms part of domestic law by virtue of the European Union (Withdrawal) Act 2018.</w:t>
      </w:r>
    </w:p>
    <w:p w:rsidRPr="008C21BA" w:rsidR="008C21BA" w:rsidP="008C21BA" w:rsidRDefault="008C21BA" w14:paraId="7B3ED562" w14:textId="66302F48">
      <w:pPr>
        <w:keepNext/>
        <w:rPr>
          <w:rFonts w:cs="Arial"/>
        </w:rPr>
      </w:pPr>
      <w:r w:rsidRPr="008C21BA">
        <w:rPr>
          <w:rFonts w:cs="Arial"/>
        </w:rPr>
        <w:t xml:space="preserve">In addition, </w:t>
      </w:r>
      <w:r w:rsidR="005C56D3">
        <w:rPr>
          <w:rFonts w:cs="Arial"/>
        </w:rPr>
        <w:t>Ordinary</w:t>
      </w:r>
      <w:r w:rsidRPr="008C21BA" w:rsidR="005C56D3">
        <w:rPr>
          <w:rFonts w:cs="Arial"/>
        </w:rPr>
        <w:t xml:space="preserve"> </w:t>
      </w:r>
      <w:r w:rsidRPr="008C21BA">
        <w:rPr>
          <w:rFonts w:cs="Arial"/>
        </w:rPr>
        <w:t xml:space="preserve">Shares will only be offered to the extent that the </w:t>
      </w:r>
      <w:r w:rsidR="005C56D3">
        <w:rPr>
          <w:rFonts w:cs="Arial"/>
        </w:rPr>
        <w:t>Ordinary</w:t>
      </w:r>
      <w:r w:rsidRPr="008C21BA" w:rsidR="005C56D3">
        <w:rPr>
          <w:rFonts w:cs="Arial"/>
        </w:rPr>
        <w:t xml:space="preserve"> </w:t>
      </w:r>
      <w:r w:rsidRPr="008C21BA">
        <w:rPr>
          <w:rFonts w:cs="Arial"/>
        </w:rPr>
        <w:t xml:space="preserve">Shares are permitted to be marketed in the UK pursuant to the UK AIFM Regime. </w:t>
      </w:r>
    </w:p>
    <w:p w:rsidRPr="008C21BA" w:rsidR="008C21BA" w:rsidP="008C21BA" w:rsidRDefault="008C21BA" w14:paraId="561696D2" w14:textId="03E59E14">
      <w:pPr>
        <w:keepNext/>
        <w:rPr>
          <w:rFonts w:cs="Arial"/>
        </w:rPr>
      </w:pPr>
      <w:r w:rsidRPr="008C21BA">
        <w:rPr>
          <w:rFonts w:cs="Arial"/>
        </w:rPr>
        <w:t xml:space="preserve">Notwithstanding the foregoing, as the </w:t>
      </w:r>
      <w:r w:rsidR="005C56D3">
        <w:rPr>
          <w:rFonts w:cs="Arial"/>
        </w:rPr>
        <w:t>Ordinary</w:t>
      </w:r>
      <w:r w:rsidRPr="008C21BA" w:rsidR="005C56D3">
        <w:rPr>
          <w:rFonts w:cs="Arial"/>
        </w:rPr>
        <w:t xml:space="preserve"> </w:t>
      </w:r>
      <w:r w:rsidRPr="008C21BA">
        <w:rPr>
          <w:rFonts w:cs="Arial"/>
        </w:rPr>
        <w:t xml:space="preserve">Shares will be admitted to the Specialist Fund Segment, the </w:t>
      </w:r>
      <w:r w:rsidR="008F0B72">
        <w:rPr>
          <w:rFonts w:cs="Arial"/>
        </w:rPr>
        <w:t xml:space="preserve">Ordinary </w:t>
      </w:r>
      <w:r w:rsidRPr="008C21BA">
        <w:rPr>
          <w:rFonts w:cs="Arial"/>
        </w:rPr>
        <w:t xml:space="preserve">Shares are intended for institutional, professional, professionally advised and knowledgeable </w:t>
      </w:r>
      <w:r w:rsidRPr="008C21BA">
        <w:rPr>
          <w:rFonts w:cs="Arial"/>
        </w:rPr>
        <w:lastRenderedPageBreak/>
        <w:t>investors who understand, or who have been advised of, the potential risk from investing in companies admitted to the Specialist Fund Segment.</w:t>
      </w:r>
    </w:p>
    <w:p w:rsidRPr="00DE5D68" w:rsidR="00460D0E" w:rsidP="00C27D12" w:rsidRDefault="00460D0E" w14:paraId="40F22E60" w14:textId="63552FC5">
      <w:pPr>
        <w:keepNext/>
        <w:rPr>
          <w:rFonts w:cs="Arial"/>
          <w:b/>
          <w:i/>
        </w:rPr>
      </w:pPr>
      <w:r w:rsidRPr="00DE5D68">
        <w:rPr>
          <w:rFonts w:cs="Arial"/>
          <w:b/>
        </w:rPr>
        <w:t xml:space="preserve">FOR THE ATTENTION OF PROSPECTIVE INVESTORS IN THE EUROPEAN ECONOMIC AREA </w:t>
      </w:r>
    </w:p>
    <w:p w:rsidRPr="00DE5D68" w:rsidR="00460D0E" w:rsidP="00C27D12" w:rsidRDefault="00EB0B04" w14:paraId="25E9F736" w14:textId="0F4F58A8">
      <w:pPr>
        <w:rPr>
          <w:rFonts w:cs="Arial"/>
        </w:rPr>
      </w:pPr>
      <w:r w:rsidRPr="00DE5D68">
        <w:rPr>
          <w:rFonts w:cs="Arial"/>
        </w:rPr>
        <w:t xml:space="preserve">In relation to each Member State of the </w:t>
      </w:r>
      <w:r w:rsidR="004E6F2C">
        <w:rPr>
          <w:rFonts w:cs="Arial"/>
        </w:rPr>
        <w:t>European Economic Area (each a "</w:t>
      </w:r>
      <w:r w:rsidRPr="00DE5D68">
        <w:rPr>
          <w:rFonts w:cs="Arial"/>
          <w:b/>
        </w:rPr>
        <w:t>Relevant State</w:t>
      </w:r>
      <w:r w:rsidR="004E6F2C">
        <w:rPr>
          <w:rFonts w:cs="Arial"/>
        </w:rPr>
        <w:t>"</w:t>
      </w:r>
      <w:r w:rsidRPr="00DE5D68">
        <w:rPr>
          <w:rFonts w:cs="Arial"/>
        </w:rPr>
        <w:t>)</w:t>
      </w:r>
      <w:r w:rsidRPr="00DE5D68" w:rsidR="00460D0E">
        <w:rPr>
          <w:rFonts w:cs="Arial"/>
        </w:rPr>
        <w:t xml:space="preserve">, no </w:t>
      </w:r>
      <w:r w:rsidR="005C56D3">
        <w:rPr>
          <w:rFonts w:cs="Arial"/>
        </w:rPr>
        <w:t>Ordinary</w:t>
      </w:r>
      <w:r w:rsidRPr="00DE5D68" w:rsidR="005C56D3">
        <w:rPr>
          <w:rFonts w:cs="Arial"/>
        </w:rPr>
        <w:t xml:space="preserve"> </w:t>
      </w:r>
      <w:r w:rsidRPr="00DE5D68" w:rsidR="008F4096">
        <w:rPr>
          <w:rFonts w:cs="Arial"/>
        </w:rPr>
        <w:t>Shares</w:t>
      </w:r>
      <w:r w:rsidRPr="00DE5D68" w:rsidR="00460D0E">
        <w:rPr>
          <w:rFonts w:cs="Arial"/>
        </w:rPr>
        <w:t xml:space="preserve"> have been offered or will be offered pursuant to the </w:t>
      </w:r>
      <w:r w:rsidR="00B97B41">
        <w:rPr>
          <w:rFonts w:cs="Arial"/>
        </w:rPr>
        <w:t xml:space="preserve">Initial </w:t>
      </w:r>
      <w:r w:rsidR="00CA5C6E">
        <w:rPr>
          <w:rFonts w:cs="Arial"/>
        </w:rPr>
        <w:t>Placing</w:t>
      </w:r>
      <w:r w:rsidRPr="00DE5D68" w:rsidR="00460D0E">
        <w:rPr>
          <w:rFonts w:cs="Arial"/>
        </w:rPr>
        <w:t xml:space="preserve"> </w:t>
      </w:r>
      <w:r w:rsidRPr="00DE5D68" w:rsidR="00963906">
        <w:rPr>
          <w:rFonts w:cs="Arial"/>
        </w:rPr>
        <w:t xml:space="preserve">or the Placing Programme </w:t>
      </w:r>
      <w:r w:rsidRPr="00DE5D68" w:rsidR="00460D0E">
        <w:rPr>
          <w:rFonts w:cs="Arial"/>
        </w:rPr>
        <w:t>to the</w:t>
      </w:r>
      <w:r w:rsidRPr="00DE5D68">
        <w:rPr>
          <w:rFonts w:cs="Arial"/>
        </w:rPr>
        <w:t xml:space="preserve"> public in that Relevant </w:t>
      </w:r>
      <w:r w:rsidRPr="00DE5D68" w:rsidR="00460D0E">
        <w:rPr>
          <w:rFonts w:cs="Arial"/>
        </w:rPr>
        <w:t xml:space="preserve">State prior to the publication of a prospectus in relation to the </w:t>
      </w:r>
      <w:r w:rsidR="005C56D3">
        <w:rPr>
          <w:rFonts w:cs="Arial"/>
        </w:rPr>
        <w:t>Ordinary</w:t>
      </w:r>
      <w:r w:rsidRPr="00DE5D68" w:rsidR="005C56D3">
        <w:rPr>
          <w:rFonts w:cs="Arial"/>
        </w:rPr>
        <w:t xml:space="preserve"> </w:t>
      </w:r>
      <w:r w:rsidRPr="00DE5D68" w:rsidR="008F4096">
        <w:rPr>
          <w:rFonts w:cs="Arial"/>
        </w:rPr>
        <w:t>Shares</w:t>
      </w:r>
      <w:r w:rsidRPr="00DE5D68" w:rsidR="00460D0E">
        <w:rPr>
          <w:rFonts w:cs="Arial"/>
        </w:rPr>
        <w:t xml:space="preserve"> which has been approved by the competent a</w:t>
      </w:r>
      <w:r w:rsidRPr="00DE5D68">
        <w:rPr>
          <w:rFonts w:cs="Arial"/>
        </w:rPr>
        <w:t>uthority in that Relevant</w:t>
      </w:r>
      <w:r w:rsidRPr="00DE5D68" w:rsidR="00460D0E">
        <w:rPr>
          <w:rFonts w:cs="Arial"/>
        </w:rPr>
        <w:t xml:space="preserve"> State, or, where appropriate, appr</w:t>
      </w:r>
      <w:r w:rsidRPr="00DE5D68">
        <w:rPr>
          <w:rFonts w:cs="Arial"/>
        </w:rPr>
        <w:t xml:space="preserve">oved in another Relevant </w:t>
      </w:r>
      <w:r w:rsidRPr="00DE5D68" w:rsidR="00460D0E">
        <w:rPr>
          <w:rFonts w:cs="Arial"/>
        </w:rPr>
        <w:t>State and notified to the competent au</w:t>
      </w:r>
      <w:r w:rsidRPr="00DE5D68">
        <w:rPr>
          <w:rFonts w:cs="Arial"/>
        </w:rPr>
        <w:t xml:space="preserve">thority in that Relevant </w:t>
      </w:r>
      <w:r w:rsidRPr="00DE5D68" w:rsidR="00460D0E">
        <w:rPr>
          <w:rFonts w:cs="Arial"/>
        </w:rPr>
        <w:t xml:space="preserve">State, all in accordance with the Prospectus </w:t>
      </w:r>
      <w:r w:rsidRPr="00DE5D68" w:rsidR="009E0622">
        <w:rPr>
          <w:rFonts w:cs="Arial"/>
        </w:rPr>
        <w:t>Regulation</w:t>
      </w:r>
      <w:r w:rsidRPr="00DE5D68" w:rsidR="00460D0E">
        <w:rPr>
          <w:rFonts w:cs="Arial"/>
        </w:rPr>
        <w:t xml:space="preserve">, except that offers of </w:t>
      </w:r>
      <w:r w:rsidR="005C56D3">
        <w:rPr>
          <w:rFonts w:cs="Arial"/>
        </w:rPr>
        <w:t>Ordinary</w:t>
      </w:r>
      <w:r w:rsidRPr="00DE5D68" w:rsidR="005C56D3">
        <w:rPr>
          <w:rFonts w:cs="Arial"/>
        </w:rPr>
        <w:t xml:space="preserve"> </w:t>
      </w:r>
      <w:r w:rsidRPr="00DE5D68" w:rsidR="008F4096">
        <w:rPr>
          <w:rFonts w:cs="Arial"/>
        </w:rPr>
        <w:t>Shares</w:t>
      </w:r>
      <w:r w:rsidRPr="00DE5D68" w:rsidR="00460D0E">
        <w:rPr>
          <w:rFonts w:cs="Arial"/>
        </w:rPr>
        <w:t xml:space="preserve"> to the public may be made at any time under the following exemptions under the </w:t>
      </w:r>
      <w:r w:rsidR="00BB2EEF">
        <w:rPr>
          <w:rFonts w:cs="Arial"/>
        </w:rPr>
        <w:t xml:space="preserve">EEA </w:t>
      </w:r>
      <w:r w:rsidRPr="00DE5D68" w:rsidR="00460D0E">
        <w:rPr>
          <w:rFonts w:cs="Arial"/>
        </w:rPr>
        <w:t xml:space="preserve">Prospectus </w:t>
      </w:r>
      <w:r w:rsidRPr="00DE5D68" w:rsidR="009E0622">
        <w:rPr>
          <w:rFonts w:cs="Arial"/>
        </w:rPr>
        <w:t>Regulation</w:t>
      </w:r>
      <w:r w:rsidRPr="00DE5D68" w:rsidR="00460D0E">
        <w:rPr>
          <w:rFonts w:cs="Arial"/>
        </w:rPr>
        <w:t>:</w:t>
      </w:r>
    </w:p>
    <w:p w:rsidRPr="00DE5D68" w:rsidR="00460D0E" w:rsidP="00C27D12" w:rsidRDefault="00460D0E" w14:paraId="1BBDA065" w14:textId="36C6871F">
      <w:pPr>
        <w:pStyle w:val="Bullet1"/>
        <w:rPr>
          <w:rFonts w:cs="Arial"/>
        </w:rPr>
      </w:pPr>
      <w:r w:rsidRPr="00DE5D68">
        <w:rPr>
          <w:rFonts w:cs="Arial"/>
        </w:rPr>
        <w:t xml:space="preserve">to any legal entity which is a "qualified investor" as defined </w:t>
      </w:r>
      <w:r w:rsidR="00BB2EEF">
        <w:rPr>
          <w:rFonts w:cs="Arial"/>
        </w:rPr>
        <w:t>under Article 2 of the</w:t>
      </w:r>
      <w:r w:rsidRPr="00DE5D68">
        <w:rPr>
          <w:rFonts w:cs="Arial"/>
        </w:rPr>
        <w:t xml:space="preserve"> </w:t>
      </w:r>
      <w:r w:rsidR="00BB2EEF">
        <w:rPr>
          <w:rFonts w:cs="Arial"/>
        </w:rPr>
        <w:t xml:space="preserve">EEA </w:t>
      </w:r>
      <w:r w:rsidRPr="00DE5D68">
        <w:rPr>
          <w:rFonts w:cs="Arial"/>
        </w:rPr>
        <w:t xml:space="preserve">Prospectus </w:t>
      </w:r>
      <w:r w:rsidRPr="00DE5D68" w:rsidR="009E0622">
        <w:rPr>
          <w:rFonts w:cs="Arial"/>
        </w:rPr>
        <w:t>Regulation</w:t>
      </w:r>
      <w:r w:rsidRPr="00DE5D68">
        <w:rPr>
          <w:rFonts w:cs="Arial"/>
        </w:rPr>
        <w:t>;</w:t>
      </w:r>
    </w:p>
    <w:p w:rsidRPr="00DE5D68" w:rsidR="00460D0E" w:rsidP="00C27D12" w:rsidRDefault="00460D0E" w14:paraId="54BF0AFF" w14:textId="3ECB458B">
      <w:pPr>
        <w:pStyle w:val="Bullet1"/>
        <w:rPr>
          <w:rFonts w:cs="Arial"/>
        </w:rPr>
      </w:pPr>
      <w:r w:rsidRPr="00DE5D68">
        <w:rPr>
          <w:rFonts w:cs="Arial"/>
        </w:rPr>
        <w:t>to fewer than 150 natural or legal persons (other than qualified investors as def</w:t>
      </w:r>
      <w:r w:rsidRPr="00DE5D68" w:rsidR="009E0622">
        <w:rPr>
          <w:rFonts w:cs="Arial"/>
        </w:rPr>
        <w:t xml:space="preserve">ined </w:t>
      </w:r>
      <w:r w:rsidR="00BB2EEF">
        <w:rPr>
          <w:rFonts w:cs="Arial"/>
        </w:rPr>
        <w:t>under Article 2 of the EEA</w:t>
      </w:r>
      <w:r w:rsidRPr="00DE5D68" w:rsidR="009E0622">
        <w:rPr>
          <w:rFonts w:cs="Arial"/>
        </w:rPr>
        <w:t xml:space="preserve"> Prospectus Regulation</w:t>
      </w:r>
      <w:r w:rsidRPr="00DE5D68" w:rsidR="0087651D">
        <w:rPr>
          <w:rFonts w:cs="Arial"/>
        </w:rPr>
        <w:t xml:space="preserve">) in such Relevant </w:t>
      </w:r>
      <w:r w:rsidRPr="00DE5D68">
        <w:rPr>
          <w:rFonts w:cs="Arial"/>
        </w:rPr>
        <w:t>State; or</w:t>
      </w:r>
    </w:p>
    <w:p w:rsidRPr="00DE5D68" w:rsidR="00460D0E" w:rsidP="00C27D12" w:rsidRDefault="00460D0E" w14:paraId="4015BD57" w14:textId="3F6DA658">
      <w:pPr>
        <w:pStyle w:val="Bullet1"/>
        <w:rPr>
          <w:rFonts w:cs="Arial"/>
        </w:rPr>
      </w:pPr>
      <w:r w:rsidRPr="00DE5D68">
        <w:rPr>
          <w:rFonts w:cs="Arial"/>
        </w:rPr>
        <w:t>in any other circumsta</w:t>
      </w:r>
      <w:r w:rsidRPr="00DE5D68" w:rsidR="009E0622">
        <w:rPr>
          <w:rFonts w:cs="Arial"/>
        </w:rPr>
        <w:t xml:space="preserve">nces falling within Article 1(4) of the </w:t>
      </w:r>
      <w:r w:rsidR="00BB2EEF">
        <w:rPr>
          <w:rFonts w:cs="Arial"/>
        </w:rPr>
        <w:t xml:space="preserve">EEA </w:t>
      </w:r>
      <w:r w:rsidRPr="00DE5D68" w:rsidR="009E0622">
        <w:rPr>
          <w:rFonts w:cs="Arial"/>
        </w:rPr>
        <w:t>Prospectus Regulation</w:t>
      </w:r>
      <w:r w:rsidRPr="00DE5D68" w:rsidR="008D0A2F">
        <w:rPr>
          <w:rFonts w:cs="Arial"/>
        </w:rPr>
        <w:t>,</w:t>
      </w:r>
    </w:p>
    <w:p w:rsidRPr="00DE5D68" w:rsidR="00460D0E" w:rsidP="00C27D12" w:rsidRDefault="00460D0E" w14:paraId="1D0D913E" w14:textId="14C8255E">
      <w:pPr>
        <w:rPr>
          <w:rFonts w:cs="Arial"/>
        </w:rPr>
      </w:pPr>
      <w:r w:rsidRPr="000149CD">
        <w:rPr>
          <w:rFonts w:cs="Arial"/>
        </w:rPr>
        <w:t xml:space="preserve">provided that no such offer of </w:t>
      </w:r>
      <w:r w:rsidR="005C56D3">
        <w:rPr>
          <w:rFonts w:cs="Arial"/>
        </w:rPr>
        <w:t>Ordinary</w:t>
      </w:r>
      <w:r w:rsidRPr="000149CD" w:rsidR="005C56D3">
        <w:rPr>
          <w:rFonts w:cs="Arial"/>
        </w:rPr>
        <w:t xml:space="preserve"> </w:t>
      </w:r>
      <w:r w:rsidRPr="000149CD" w:rsidR="008F4096">
        <w:rPr>
          <w:rFonts w:cs="Arial"/>
        </w:rPr>
        <w:t>Shares</w:t>
      </w:r>
      <w:r w:rsidRPr="000149CD">
        <w:rPr>
          <w:rFonts w:cs="Arial"/>
        </w:rPr>
        <w:t xml:space="preserve"> shall result in a requirement f</w:t>
      </w:r>
      <w:r w:rsidRPr="000149CD" w:rsidR="0087651D">
        <w:rPr>
          <w:rFonts w:cs="Arial"/>
        </w:rPr>
        <w:t>or the publication of a prospectus</w:t>
      </w:r>
      <w:r w:rsidRPr="000149CD">
        <w:rPr>
          <w:rFonts w:cs="Arial"/>
        </w:rPr>
        <w:t xml:space="preserve"> pursuant </w:t>
      </w:r>
      <w:r w:rsidRPr="000149CD" w:rsidR="009E0622">
        <w:rPr>
          <w:rFonts w:cs="Arial"/>
        </w:rPr>
        <w:t xml:space="preserve">to Article 3 of the </w:t>
      </w:r>
      <w:r w:rsidRPr="000149CD" w:rsidR="00BB2EEF">
        <w:rPr>
          <w:rFonts w:cs="Arial"/>
        </w:rPr>
        <w:t xml:space="preserve">EEA </w:t>
      </w:r>
      <w:r w:rsidRPr="000149CD" w:rsidR="009E0622">
        <w:rPr>
          <w:rFonts w:cs="Arial"/>
        </w:rPr>
        <w:t>Prospectus Regulation</w:t>
      </w:r>
      <w:r w:rsidRPr="000149CD">
        <w:rPr>
          <w:rFonts w:cs="Arial"/>
        </w:rPr>
        <w:t xml:space="preserve"> </w:t>
      </w:r>
      <w:r w:rsidRPr="000149CD" w:rsidR="008C21BA">
        <w:rPr>
          <w:rFonts w:cs="Arial"/>
        </w:rPr>
        <w:t>or a supplemental prospectus pursuant to Article 23 of the EEA Prospectus Regulation</w:t>
      </w:r>
      <w:r w:rsidR="000149CD">
        <w:rPr>
          <w:rFonts w:cs="Arial"/>
        </w:rPr>
        <w:t xml:space="preserve"> </w:t>
      </w:r>
      <w:r w:rsidRPr="000149CD">
        <w:rPr>
          <w:rFonts w:cs="Arial"/>
        </w:rPr>
        <w:t xml:space="preserve">and each person who initially acquires any </w:t>
      </w:r>
      <w:r w:rsidR="005C56D3">
        <w:rPr>
          <w:rFonts w:cs="Arial"/>
        </w:rPr>
        <w:t>Ordinary</w:t>
      </w:r>
      <w:r w:rsidRPr="000149CD" w:rsidR="005C56D3">
        <w:rPr>
          <w:rFonts w:cs="Arial"/>
        </w:rPr>
        <w:t xml:space="preserve"> </w:t>
      </w:r>
      <w:r w:rsidRPr="000149CD" w:rsidR="008F4096">
        <w:rPr>
          <w:rFonts w:cs="Arial"/>
        </w:rPr>
        <w:t>Shares</w:t>
      </w:r>
      <w:r w:rsidRPr="000149CD">
        <w:rPr>
          <w:rFonts w:cs="Arial"/>
        </w:rPr>
        <w:t xml:space="preserve"> or to whom any offer is made under the </w:t>
      </w:r>
      <w:r w:rsidR="00B97B41">
        <w:rPr>
          <w:rFonts w:cs="Arial"/>
        </w:rPr>
        <w:t xml:space="preserve">Initial </w:t>
      </w:r>
      <w:r w:rsidR="00CA5C6E">
        <w:rPr>
          <w:rFonts w:cs="Arial"/>
        </w:rPr>
        <w:t>Placing</w:t>
      </w:r>
      <w:r w:rsidRPr="000149CD">
        <w:rPr>
          <w:rFonts w:cs="Arial"/>
        </w:rPr>
        <w:t xml:space="preserve"> </w:t>
      </w:r>
      <w:r w:rsidRPr="000149CD" w:rsidR="00963906">
        <w:rPr>
          <w:rFonts w:cs="Arial"/>
        </w:rPr>
        <w:t xml:space="preserve">or the Placing Programme </w:t>
      </w:r>
      <w:r w:rsidRPr="000149CD">
        <w:rPr>
          <w:rFonts w:cs="Arial"/>
        </w:rPr>
        <w:t>will be deemed to have represented, acknowledged and agreed that it is a "qualified investor" wi</w:t>
      </w:r>
      <w:r w:rsidRPr="000149CD" w:rsidR="000A2D57">
        <w:rPr>
          <w:rFonts w:cs="Arial"/>
        </w:rPr>
        <w:t>thin the meaning of Article 2</w:t>
      </w:r>
      <w:r w:rsidRPr="000149CD" w:rsidR="0087651D">
        <w:rPr>
          <w:rFonts w:cs="Arial"/>
        </w:rPr>
        <w:t>(e)</w:t>
      </w:r>
      <w:r w:rsidRPr="000149CD">
        <w:rPr>
          <w:rFonts w:cs="Arial"/>
        </w:rPr>
        <w:t xml:space="preserve"> </w:t>
      </w:r>
      <w:r w:rsidRPr="000149CD" w:rsidR="009E0622">
        <w:rPr>
          <w:rFonts w:cs="Arial"/>
        </w:rPr>
        <w:t xml:space="preserve">of the </w:t>
      </w:r>
      <w:r w:rsidRPr="000149CD" w:rsidR="00BB2EEF">
        <w:rPr>
          <w:rFonts w:cs="Arial"/>
        </w:rPr>
        <w:t xml:space="preserve">EEA </w:t>
      </w:r>
      <w:r w:rsidRPr="000149CD" w:rsidR="009E0622">
        <w:rPr>
          <w:rFonts w:cs="Arial"/>
        </w:rPr>
        <w:t>Prospectus Regulation</w:t>
      </w:r>
      <w:r w:rsidRPr="000149CD">
        <w:rPr>
          <w:rFonts w:cs="Arial"/>
        </w:rPr>
        <w:t>.</w:t>
      </w:r>
      <w:r w:rsidRPr="00DE5D68">
        <w:rPr>
          <w:rFonts w:cs="Arial"/>
        </w:rPr>
        <w:t xml:space="preserve"> </w:t>
      </w:r>
    </w:p>
    <w:p w:rsidRPr="00DE5D68" w:rsidR="00460D0E" w:rsidP="00C27D12" w:rsidRDefault="00460D0E" w14:paraId="2C89BAD0" w14:textId="7E0FE6A9">
      <w:pPr>
        <w:rPr>
          <w:rFonts w:cs="Arial"/>
        </w:rPr>
      </w:pPr>
      <w:r w:rsidRPr="00DE5D68">
        <w:rPr>
          <w:rFonts w:cs="Arial"/>
        </w:rPr>
        <w:t xml:space="preserve">The expression an "offer to the public" in relation to any offer of </w:t>
      </w:r>
      <w:r w:rsidR="005C56D3">
        <w:rPr>
          <w:rFonts w:cs="Arial"/>
        </w:rPr>
        <w:t>Ordinary</w:t>
      </w:r>
      <w:r w:rsidRPr="00DE5D68" w:rsidR="005C56D3">
        <w:rPr>
          <w:rFonts w:cs="Arial"/>
        </w:rPr>
        <w:t xml:space="preserve"> </w:t>
      </w:r>
      <w:r w:rsidRPr="00DE5D68" w:rsidR="008F4096">
        <w:rPr>
          <w:rFonts w:cs="Arial"/>
        </w:rPr>
        <w:t>Shares</w:t>
      </w:r>
      <w:r w:rsidRPr="00DE5D68" w:rsidR="0087651D">
        <w:rPr>
          <w:rFonts w:cs="Arial"/>
        </w:rPr>
        <w:t xml:space="preserve"> in any Relevant</w:t>
      </w:r>
      <w:r w:rsidRPr="00DE5D68">
        <w:rPr>
          <w:rFonts w:cs="Arial"/>
        </w:rPr>
        <w:t xml:space="preserve"> State means a communication in any form and by any means presenting sufficient information on the terms of the offer and any </w:t>
      </w:r>
      <w:r w:rsidR="005C56D3">
        <w:rPr>
          <w:rFonts w:cs="Arial"/>
        </w:rPr>
        <w:t>Ordinary</w:t>
      </w:r>
      <w:r w:rsidRPr="00DE5D68" w:rsidR="005C56D3">
        <w:rPr>
          <w:rFonts w:cs="Arial"/>
        </w:rPr>
        <w:t xml:space="preserve"> </w:t>
      </w:r>
      <w:r w:rsidRPr="00DE5D68" w:rsidR="008F4096">
        <w:rPr>
          <w:rFonts w:cs="Arial"/>
        </w:rPr>
        <w:t>Shares</w:t>
      </w:r>
      <w:r w:rsidRPr="00DE5D68">
        <w:rPr>
          <w:rFonts w:cs="Arial"/>
        </w:rPr>
        <w:t xml:space="preserve"> to be offered so as to enable an investor to decide to purchase or subscribe for the </w:t>
      </w:r>
      <w:r w:rsidR="005C56D3">
        <w:rPr>
          <w:rFonts w:cs="Arial"/>
        </w:rPr>
        <w:t>Ordinary</w:t>
      </w:r>
      <w:r w:rsidRPr="00DE5D68" w:rsidR="005C56D3">
        <w:rPr>
          <w:rFonts w:cs="Arial"/>
        </w:rPr>
        <w:t xml:space="preserve"> </w:t>
      </w:r>
      <w:r w:rsidRPr="00DE5D68" w:rsidR="008F4096">
        <w:rPr>
          <w:rFonts w:cs="Arial"/>
        </w:rPr>
        <w:t>Shares</w:t>
      </w:r>
      <w:r w:rsidRPr="00DE5D68">
        <w:rPr>
          <w:rFonts w:cs="Arial"/>
        </w:rPr>
        <w:t>, and the expression "</w:t>
      </w:r>
      <w:r w:rsidRPr="000977F7" w:rsidR="00BB2EEF">
        <w:rPr>
          <w:rFonts w:cs="Arial"/>
          <w:b/>
        </w:rPr>
        <w:t xml:space="preserve">EEA </w:t>
      </w:r>
      <w:r w:rsidRPr="000977F7" w:rsidR="009E0622">
        <w:rPr>
          <w:rFonts w:cs="Arial"/>
          <w:b/>
        </w:rPr>
        <w:t>Prospectus Regulation</w:t>
      </w:r>
      <w:r w:rsidRPr="00DE5D68">
        <w:rPr>
          <w:rFonts w:cs="Arial"/>
        </w:rPr>
        <w:t>"</w:t>
      </w:r>
      <w:r w:rsidRPr="00DE5D68" w:rsidR="009E0622">
        <w:rPr>
          <w:rFonts w:cs="Arial"/>
        </w:rPr>
        <w:t xml:space="preserve"> means Regulation (EU) 2017/1129</w:t>
      </w:r>
      <w:r w:rsidRPr="00DE5D68">
        <w:rPr>
          <w:rFonts w:cs="Arial"/>
        </w:rPr>
        <w:t>.</w:t>
      </w:r>
    </w:p>
    <w:p w:rsidRPr="00DE5D68" w:rsidR="00460D0E" w:rsidP="00624E20" w:rsidRDefault="00460D0E" w14:paraId="3AD07562" w14:textId="13737EE7">
      <w:pPr>
        <w:rPr>
          <w:rFonts w:cs="Arial"/>
        </w:rPr>
      </w:pPr>
      <w:r w:rsidRPr="00DE5D68">
        <w:rPr>
          <w:rFonts w:cs="Arial"/>
        </w:rPr>
        <w:t xml:space="preserve">In addition, </w:t>
      </w:r>
      <w:r w:rsidR="005C56D3">
        <w:rPr>
          <w:rFonts w:cs="Arial"/>
        </w:rPr>
        <w:t>Ordinary</w:t>
      </w:r>
      <w:r w:rsidRPr="00DE5D68" w:rsidR="005C56D3">
        <w:rPr>
          <w:rFonts w:cs="Arial"/>
        </w:rPr>
        <w:t xml:space="preserve"> </w:t>
      </w:r>
      <w:r w:rsidRPr="00DE5D68" w:rsidR="008F4096">
        <w:rPr>
          <w:rFonts w:cs="Arial"/>
        </w:rPr>
        <w:t>Shares</w:t>
      </w:r>
      <w:r w:rsidRPr="00DE5D68">
        <w:rPr>
          <w:rFonts w:cs="Arial"/>
        </w:rPr>
        <w:t xml:space="preserve"> will only be offered to the extent that the</w:t>
      </w:r>
      <w:r w:rsidRPr="00DE5D68" w:rsidR="00B558AE">
        <w:rPr>
          <w:rFonts w:cs="Arial"/>
        </w:rPr>
        <w:t xml:space="preserve"> </w:t>
      </w:r>
      <w:r w:rsidR="005C56D3">
        <w:rPr>
          <w:rFonts w:cs="Arial"/>
        </w:rPr>
        <w:t>Ordinary</w:t>
      </w:r>
      <w:r w:rsidRPr="00DE5D68" w:rsidR="005C56D3">
        <w:rPr>
          <w:rFonts w:cs="Arial"/>
        </w:rPr>
        <w:t xml:space="preserve"> </w:t>
      </w:r>
      <w:r w:rsidRPr="00DE5D68" w:rsidR="008F4096">
        <w:rPr>
          <w:rFonts w:cs="Arial"/>
        </w:rPr>
        <w:t>Shares</w:t>
      </w:r>
      <w:r w:rsidRPr="00DE5D68">
        <w:rPr>
          <w:rFonts w:cs="Arial"/>
        </w:rPr>
        <w:t>: (</w:t>
      </w:r>
      <w:proofErr w:type="spellStart"/>
      <w:r w:rsidRPr="00DE5D68">
        <w:rPr>
          <w:rFonts w:cs="Arial"/>
        </w:rPr>
        <w:t>i</w:t>
      </w:r>
      <w:proofErr w:type="spellEnd"/>
      <w:r w:rsidRPr="00DE5D68">
        <w:rPr>
          <w:rFonts w:cs="Arial"/>
        </w:rPr>
        <w:t xml:space="preserve">) are permitted to be marketed into </w:t>
      </w:r>
      <w:r w:rsidRPr="00DE5D68" w:rsidR="00E879AC">
        <w:rPr>
          <w:rFonts w:cs="Arial"/>
        </w:rPr>
        <w:t xml:space="preserve">the </w:t>
      </w:r>
      <w:r w:rsidR="00BB2EEF">
        <w:rPr>
          <w:rFonts w:cs="Arial"/>
        </w:rPr>
        <w:t>R</w:t>
      </w:r>
      <w:r w:rsidRPr="00DE5D68">
        <w:rPr>
          <w:rFonts w:cs="Arial"/>
        </w:rPr>
        <w:t xml:space="preserve">elevant </w:t>
      </w:r>
      <w:r w:rsidR="00BB2EEF">
        <w:rPr>
          <w:rFonts w:cs="Arial"/>
        </w:rPr>
        <w:t>State</w:t>
      </w:r>
      <w:r w:rsidRPr="00DE5D68">
        <w:rPr>
          <w:rFonts w:cs="Arial"/>
        </w:rPr>
        <w:t xml:space="preserve"> pursuant to the</w:t>
      </w:r>
      <w:r w:rsidR="00BB2EEF">
        <w:rPr>
          <w:rFonts w:cs="Arial"/>
        </w:rPr>
        <w:t xml:space="preserve"> EU</w:t>
      </w:r>
      <w:r w:rsidRPr="00DE5D68">
        <w:rPr>
          <w:rFonts w:cs="Arial"/>
        </w:rPr>
        <w:t xml:space="preserve"> AIFM Directive; or (ii) can otherwise be lawfully offered or sold (including on the basis of an unsolicited reques</w:t>
      </w:r>
      <w:r w:rsidR="00624E20">
        <w:rPr>
          <w:rFonts w:cs="Arial"/>
        </w:rPr>
        <w:t>t from a professional investor) and</w:t>
      </w:r>
      <w:r w:rsidRPr="00DE5D68">
        <w:rPr>
          <w:rFonts w:cs="Arial"/>
        </w:rPr>
        <w:t xml:space="preserve"> </w:t>
      </w:r>
      <w:r w:rsidR="00624E20">
        <w:rPr>
          <w:rFonts w:cs="Arial"/>
        </w:rPr>
        <w:t>"</w:t>
      </w:r>
      <w:r w:rsidRPr="000D35A6" w:rsidR="00624E20">
        <w:rPr>
          <w:rFonts w:cs="Arial"/>
          <w:b/>
          <w:bCs/>
        </w:rPr>
        <w:t>EU AIFM Directive</w:t>
      </w:r>
      <w:r w:rsidR="00624E20">
        <w:rPr>
          <w:rFonts w:cs="Arial"/>
        </w:rPr>
        <w:t xml:space="preserve">" shall mean </w:t>
      </w:r>
      <w:r w:rsidRPr="00624E20" w:rsidR="00624E20">
        <w:rPr>
          <w:rFonts w:cs="Arial"/>
        </w:rPr>
        <w:t>Directive 2011/61/EU of the</w:t>
      </w:r>
      <w:r w:rsidR="00624E20">
        <w:rPr>
          <w:rFonts w:cs="Arial"/>
        </w:rPr>
        <w:t xml:space="preserve"> European Parliament and of the </w:t>
      </w:r>
      <w:r w:rsidRPr="00624E20" w:rsidR="00624E20">
        <w:rPr>
          <w:rFonts w:cs="Arial"/>
        </w:rPr>
        <w:t>Council on Alternative Inves</w:t>
      </w:r>
      <w:r w:rsidR="00624E20">
        <w:rPr>
          <w:rFonts w:cs="Arial"/>
        </w:rPr>
        <w:t xml:space="preserve">tment Fund Managers, as amended </w:t>
      </w:r>
      <w:r w:rsidRPr="00624E20" w:rsidR="00624E20">
        <w:rPr>
          <w:rFonts w:cs="Arial"/>
        </w:rPr>
        <w:t>from time to time</w:t>
      </w:r>
      <w:r w:rsidR="00624E20">
        <w:rPr>
          <w:rFonts w:cs="Arial"/>
        </w:rPr>
        <w:t>.</w:t>
      </w:r>
    </w:p>
    <w:p w:rsidRPr="000149CD" w:rsidR="00BB2EEF" w:rsidP="000149CD" w:rsidRDefault="00A40D1A" w14:paraId="3482FFB9" w14:textId="34844495">
      <w:pPr>
        <w:rPr>
          <w:rFonts w:cs="Arial"/>
        </w:rPr>
      </w:pPr>
      <w:r w:rsidRPr="00DE5D68">
        <w:rPr>
          <w:rFonts w:cs="Arial"/>
        </w:rPr>
        <w:t xml:space="preserve">Notwithstanding the foregoing, as the </w:t>
      </w:r>
      <w:r w:rsidR="005C56D3">
        <w:rPr>
          <w:rFonts w:cs="Arial"/>
        </w:rPr>
        <w:t>Ordinary</w:t>
      </w:r>
      <w:r w:rsidRPr="00DE5D68" w:rsidR="005C56D3">
        <w:rPr>
          <w:rFonts w:cs="Arial"/>
        </w:rPr>
        <w:t xml:space="preserve"> </w:t>
      </w:r>
      <w:r w:rsidRPr="00DE5D68" w:rsidR="008F4096">
        <w:rPr>
          <w:rFonts w:cs="Arial"/>
        </w:rPr>
        <w:t>Shares</w:t>
      </w:r>
      <w:r w:rsidRPr="00DE5D68">
        <w:rPr>
          <w:rFonts w:cs="Arial"/>
        </w:rPr>
        <w:t xml:space="preserve"> will be admitted to the Specialist Fund Segment, the </w:t>
      </w:r>
      <w:r w:rsidR="005C56D3">
        <w:rPr>
          <w:rFonts w:cs="Arial"/>
        </w:rPr>
        <w:t>Ordinary</w:t>
      </w:r>
      <w:r w:rsidRPr="00DE5D68" w:rsidR="005C56D3">
        <w:rPr>
          <w:rFonts w:cs="Arial"/>
        </w:rPr>
        <w:t xml:space="preserve"> </w:t>
      </w:r>
      <w:r w:rsidRPr="00DE5D68" w:rsidR="008F4096">
        <w:rPr>
          <w:rFonts w:cs="Arial"/>
        </w:rPr>
        <w:t>Shares</w:t>
      </w:r>
      <w:r w:rsidRPr="00DE5D68">
        <w:rPr>
          <w:rFonts w:cs="Arial"/>
        </w:rPr>
        <w:t xml:space="preserve"> are intended for institutional, professional, professionally advised and knowledgeable investors who understand, or who have been advised of, the potential risk from investing in companies admitted </w:t>
      </w:r>
      <w:r w:rsidR="000149CD">
        <w:rPr>
          <w:rFonts w:cs="Arial"/>
        </w:rPr>
        <w:t>to the Specialist Fund Segment.</w:t>
      </w:r>
    </w:p>
    <w:p w:rsidRPr="00DE5D68" w:rsidR="006558B5" w:rsidP="00C27D12" w:rsidRDefault="008A7C05" w14:paraId="23248169" w14:textId="711E5A81">
      <w:pPr>
        <w:keepNext/>
        <w:rPr>
          <w:rFonts w:eastAsia="Arial" w:cs="Arial"/>
          <w:b/>
          <w:i/>
        </w:rPr>
      </w:pPr>
      <w:r w:rsidRPr="00DE5D68">
        <w:rPr>
          <w:rFonts w:cs="Arial"/>
          <w:b/>
        </w:rPr>
        <w:t>NOTICE TO PROSPECTIVE INVESTORS IN GUERNSEY</w:t>
      </w:r>
    </w:p>
    <w:p w:rsidRPr="00DE5D68" w:rsidR="000B499E" w:rsidP="000B499E" w:rsidRDefault="000B499E" w14:paraId="55BDDF41" w14:textId="4A0D2591">
      <w:pPr>
        <w:keepNext/>
        <w:rPr>
          <w:rFonts w:cs="Arial"/>
        </w:rPr>
      </w:pPr>
      <w:r w:rsidRPr="00DE5D68">
        <w:rPr>
          <w:rFonts w:cs="Arial"/>
        </w:rPr>
        <w:t xml:space="preserve">The </w:t>
      </w:r>
      <w:r>
        <w:rPr>
          <w:rFonts w:cs="Arial"/>
        </w:rPr>
        <w:t xml:space="preserve">Initial </w:t>
      </w:r>
      <w:r w:rsidR="00CA5C6E">
        <w:rPr>
          <w:rFonts w:cs="Arial"/>
        </w:rPr>
        <w:t>Placing</w:t>
      </w:r>
      <w:r w:rsidRPr="00DE5D68">
        <w:rPr>
          <w:rFonts w:cs="Arial"/>
        </w:rPr>
        <w:t xml:space="preserve"> and </w:t>
      </w:r>
      <w:r>
        <w:rPr>
          <w:rFonts w:cs="Arial"/>
        </w:rPr>
        <w:t xml:space="preserve">the </w:t>
      </w:r>
      <w:r w:rsidRPr="00DE5D68">
        <w:rPr>
          <w:rFonts w:cs="Arial"/>
        </w:rPr>
        <w:t>Placing Programme</w:t>
      </w:r>
      <w:r>
        <w:rPr>
          <w:rFonts w:cs="Arial"/>
        </w:rPr>
        <w:t xml:space="preserve"> referred to in this document are available, and are and may be made, and are</w:t>
      </w:r>
      <w:r w:rsidRPr="00DE5D68">
        <w:rPr>
          <w:rFonts w:cs="Arial"/>
        </w:rPr>
        <w:t xml:space="preserve"> being provided in or from within the Bailiwick of Guernsey only:</w:t>
      </w:r>
    </w:p>
    <w:p w:rsidRPr="00DE5D68" w:rsidR="000B499E" w:rsidP="000B499E" w:rsidRDefault="000B499E" w14:paraId="702A9488" w14:textId="273979BD">
      <w:pPr>
        <w:pStyle w:val="Bullet1"/>
      </w:pPr>
      <w:r w:rsidRPr="00DE5D68">
        <w:t xml:space="preserve">by persons licensed to do so (or permitted by way of exemption granted) by the </w:t>
      </w:r>
      <w:r w:rsidR="004B118C">
        <w:t>GFSC</w:t>
      </w:r>
      <w:r w:rsidRPr="00DE5D68">
        <w:t xml:space="preserve"> under the </w:t>
      </w:r>
      <w:r w:rsidR="004B118C">
        <w:t>POI Law</w:t>
      </w:r>
      <w:r w:rsidRPr="00DE5D68">
        <w:t>; or</w:t>
      </w:r>
    </w:p>
    <w:p w:rsidRPr="00DE5D68" w:rsidR="000B499E" w:rsidP="000B499E" w:rsidRDefault="000B499E" w14:paraId="2C911008" w14:textId="71421DDC">
      <w:pPr>
        <w:pStyle w:val="Bullet1"/>
      </w:pPr>
      <w:r w:rsidRPr="00DE5D68">
        <w:t>by non-Guernsey bodies who</w:t>
      </w:r>
      <w:r>
        <w:t>,</w:t>
      </w:r>
      <w:r w:rsidRPr="00DE5D68">
        <w:t xml:space="preserve"> (</w:t>
      </w:r>
      <w:proofErr w:type="spellStart"/>
      <w:r w:rsidRPr="00DE5D68">
        <w:t>i</w:t>
      </w:r>
      <w:proofErr w:type="spellEnd"/>
      <w:r w:rsidRPr="00DE5D68">
        <w:t xml:space="preserve">) carry on such promotion in a manner in which they are permitted to carry on promotion in or from within, and under the law of certain designated countries or territories which, in the opinion of </w:t>
      </w:r>
      <w:r w:rsidR="004B118C">
        <w:t>the GFSC</w:t>
      </w:r>
      <w:r w:rsidRPr="00DE5D68">
        <w:t>, afford adequate protection to investors</w:t>
      </w:r>
      <w:r>
        <w:t>,</w:t>
      </w:r>
      <w:r w:rsidRPr="00DE5D68">
        <w:t xml:space="preserve"> and (ii) meet the criteria specified in section </w:t>
      </w:r>
      <w:r>
        <w:t>44(1)</w:t>
      </w:r>
      <w:r w:rsidRPr="00DE5D68">
        <w:t>(c) of the POI Law; or</w:t>
      </w:r>
    </w:p>
    <w:p w:rsidRPr="00DE5D68" w:rsidR="000B499E" w:rsidP="000B499E" w:rsidRDefault="000B499E" w14:paraId="5420C8AA" w14:textId="598F3C4C">
      <w:pPr>
        <w:pStyle w:val="Bullet1"/>
      </w:pPr>
      <w:r w:rsidRPr="00DE5D68">
        <w:t xml:space="preserve">to persons licensed under the POI Law, the Banking Supervision (Bailiwick of Guernsey) Law, </w:t>
      </w:r>
      <w:r>
        <w:t>2020</w:t>
      </w:r>
      <w:r w:rsidRPr="00DE5D68">
        <w:t>, the Insurance Business (Bailiwick of Guernsey) Law, 2002, the Insurance Managers and Insurance Intermediaries (Bailiwick of Guernsey) Law, 2002 or the Regulation of Fiduciaries, Administration Businesses and Company Directors, etc. (Bailiwick of Guernsey) Law, 20</w:t>
      </w:r>
      <w:r>
        <w:t>20</w:t>
      </w:r>
      <w:r w:rsidRPr="00DE5D68">
        <w:t xml:space="preserve"> by non-</w:t>
      </w:r>
      <w:r w:rsidRPr="00DE5D68">
        <w:lastRenderedPageBreak/>
        <w:t>Guernsey bodies who (</w:t>
      </w:r>
      <w:proofErr w:type="spellStart"/>
      <w:r w:rsidRPr="00DE5D68">
        <w:t>i</w:t>
      </w:r>
      <w:proofErr w:type="spellEnd"/>
      <w:r w:rsidRPr="00DE5D68">
        <w:t xml:space="preserve">) carry on such promotion in a manner in which they are permitted to carry on promotion in or from within, and under the law of certain designated countries or territories which, in the opinion of </w:t>
      </w:r>
      <w:r w:rsidR="004B118C">
        <w:t>the GFSC</w:t>
      </w:r>
      <w:r w:rsidRPr="00DE5D68">
        <w:t xml:space="preserve">, afford adequate protection to investors and (ii) meet the criteria specified in section </w:t>
      </w:r>
      <w:r>
        <w:t>41(d)</w:t>
      </w:r>
      <w:r w:rsidRPr="00DE5D68">
        <w:t xml:space="preserve"> of the POI Law; or</w:t>
      </w:r>
    </w:p>
    <w:p w:rsidRPr="00DE5D68" w:rsidR="000B499E" w:rsidP="000B499E" w:rsidRDefault="000B499E" w14:paraId="08BEFFB9" w14:textId="0A03D16F">
      <w:pPr>
        <w:pStyle w:val="Bullet1"/>
      </w:pPr>
      <w:r w:rsidRPr="00DE5D68">
        <w:t xml:space="preserve">as otherwise permitted by the </w:t>
      </w:r>
      <w:r w:rsidR="004B118C">
        <w:t>GFSC</w:t>
      </w:r>
      <w:r w:rsidRPr="00DE5D68">
        <w:t>.</w:t>
      </w:r>
    </w:p>
    <w:p w:rsidRPr="00DE5D68" w:rsidR="009B163B" w:rsidP="00C27D12" w:rsidRDefault="000B499E" w14:paraId="5546C1A0" w14:textId="592E951B">
      <w:pPr>
        <w:rPr>
          <w:rFonts w:cs="Arial"/>
        </w:rPr>
      </w:pPr>
      <w:r w:rsidRPr="00DE5D68">
        <w:rPr>
          <w:rFonts w:cs="Arial"/>
        </w:rPr>
        <w:t xml:space="preserve">The </w:t>
      </w:r>
      <w:r w:rsidR="004B118C">
        <w:rPr>
          <w:rFonts w:cs="Arial"/>
        </w:rPr>
        <w:t>GFSC</w:t>
      </w:r>
      <w:r w:rsidRPr="00DE5D68">
        <w:rPr>
          <w:rFonts w:cs="Arial"/>
        </w:rPr>
        <w:t xml:space="preserve"> takes no responsibility for the financial soundness of the Company or for the correctness of any of the statements made or opinions expressed with regard to it.</w:t>
      </w:r>
    </w:p>
    <w:p w:rsidRPr="00DE5D68" w:rsidR="009B163B" w:rsidP="00C27D12" w:rsidRDefault="009B163B" w14:paraId="167F0619" w14:textId="3A6EC4BF">
      <w:pPr>
        <w:rPr>
          <w:rFonts w:cs="Arial"/>
        </w:rPr>
      </w:pPr>
      <w:r w:rsidRPr="00DE5D68">
        <w:rPr>
          <w:rFonts w:cs="Arial"/>
        </w:rPr>
        <w:t xml:space="preserve">The </w:t>
      </w:r>
      <w:r w:rsidR="00B97B41">
        <w:rPr>
          <w:rFonts w:cs="Arial"/>
        </w:rPr>
        <w:t xml:space="preserve">Initial </w:t>
      </w:r>
      <w:r w:rsidR="00A848C6">
        <w:rPr>
          <w:rFonts w:cs="Arial"/>
        </w:rPr>
        <w:t>Placing</w:t>
      </w:r>
      <w:r w:rsidRPr="00DE5D68" w:rsidR="006558B5">
        <w:rPr>
          <w:rFonts w:cs="Arial"/>
        </w:rPr>
        <w:t xml:space="preserve"> and Placing Programme </w:t>
      </w:r>
      <w:r w:rsidRPr="00DE5D68">
        <w:rPr>
          <w:rFonts w:cs="Arial"/>
        </w:rPr>
        <w:t>referred to in this document and this document are not available in or from within the Bailiwick of Guernsey other than in accordance with the above paragraphs and must not be relied upon by any person unless made or received in accordance with such paragraphs.</w:t>
      </w:r>
    </w:p>
    <w:p w:rsidRPr="00DE5D68" w:rsidR="009B163B" w:rsidP="00C27D12" w:rsidRDefault="009B163B" w14:paraId="34D5F29B" w14:textId="4A0D2071">
      <w:pPr>
        <w:keepNext/>
        <w:rPr>
          <w:rFonts w:cs="Arial"/>
          <w:b/>
        </w:rPr>
      </w:pPr>
      <w:r w:rsidRPr="00DE5D68">
        <w:rPr>
          <w:rFonts w:cs="Arial"/>
          <w:b/>
        </w:rPr>
        <w:t>NOTICE TO PROSPECTIVE INVESTORS IN JERSEY</w:t>
      </w:r>
    </w:p>
    <w:p w:rsidRPr="00DE5D68" w:rsidR="009B163B" w:rsidP="00C27D12" w:rsidRDefault="009B163B" w14:paraId="2D02CC90" w14:textId="46B166FF">
      <w:pPr>
        <w:rPr>
          <w:rFonts w:cs="Arial"/>
        </w:rPr>
      </w:pPr>
      <w:r w:rsidRPr="00DE5D68">
        <w:rPr>
          <w:rFonts w:cs="Arial"/>
        </w:rPr>
        <w:t xml:space="preserve">The </w:t>
      </w:r>
      <w:r w:rsidR="00B97B41">
        <w:rPr>
          <w:rFonts w:cs="Arial"/>
        </w:rPr>
        <w:t xml:space="preserve">Initial </w:t>
      </w:r>
      <w:r w:rsidR="00A848C6">
        <w:rPr>
          <w:rFonts w:cs="Arial"/>
        </w:rPr>
        <w:t>Placing</w:t>
      </w:r>
      <w:r w:rsidRPr="00DE5D68" w:rsidR="006558B5">
        <w:rPr>
          <w:rFonts w:cs="Arial"/>
        </w:rPr>
        <w:t xml:space="preserve"> and Placing Programme</w:t>
      </w:r>
      <w:r w:rsidRPr="00DE5D68">
        <w:rPr>
          <w:rFonts w:cs="Arial"/>
        </w:rPr>
        <w:t xml:space="preserve"> that is the subject of this document may only be made in Jersey where the offer is valid in the United Kingdom or Guernsey and is circulated in Jersey only to persons similar to those to whom, and in a manner similar to that in which, it is for the time being circulated in the United Kingdom o</w:t>
      </w:r>
      <w:bookmarkStart w:name="_BPDCI_7" w:id="68"/>
      <w:r w:rsidRPr="00DE5D68">
        <w:rPr>
          <w:rFonts w:cs="Arial"/>
        </w:rPr>
        <w:t xml:space="preserve">r Guernsey as the case may be. Consent under the </w:t>
      </w:r>
      <w:r w:rsidR="00640CB6">
        <w:rPr>
          <w:rFonts w:cs="Arial"/>
        </w:rPr>
        <w:fldChar w:fldCharType="begin">
          <w:fldData xml:space="preserve">dgAxAHwAMQAwADAAMQAzAHwAQwBvAG4AdAByAG8AbAAgAG8AZgAgAEIAbwByAHIAbwB3AGkAbgBn
ACAAKABKAGUAcgBzAGUAeQApACAATwByAGQAZQByACAAMQA5ADUAOAB8AEEAbQBiAGkAZwAtADEA
MAAwADEAMwB8AHwA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 xml:space="preserve">Control of Borrowing (Jersey) Order 1958 has not been obtained for the circulation of this </w:t>
      </w:r>
      <w:bookmarkStart w:name="_BPDCI_8" w:id="69"/>
      <w:bookmarkEnd w:id="68"/>
      <w:r w:rsidRPr="00DE5D68">
        <w:rPr>
          <w:rFonts w:cs="Arial"/>
        </w:rPr>
        <w:t xml:space="preserve">offer and it must be distinctly understood that the Jersey Financial Services Commission does not accept any responsibility for the financial soundness of or any representations made in connection with the </w:t>
      </w:r>
      <w:bookmarkStart w:name="_BPDCI_10" w:id="70"/>
      <w:bookmarkEnd w:id="69"/>
      <w:r w:rsidRPr="00DE5D68">
        <w:rPr>
          <w:rFonts w:cs="Arial"/>
        </w:rPr>
        <w:t xml:space="preserve">Company. </w:t>
      </w:r>
      <w:bookmarkEnd w:id="70"/>
      <w:r w:rsidRPr="00DE5D68">
        <w:rPr>
          <w:rFonts w:cs="Arial"/>
        </w:rPr>
        <w:t>By accepting this offer each prospective investor in Jersey represents and warrants that he or she is in possession of sufficient information t</w:t>
      </w:r>
      <w:r w:rsidRPr="00DE5D68" w:rsidR="00120C37">
        <w:rPr>
          <w:rFonts w:cs="Arial"/>
        </w:rPr>
        <w:t xml:space="preserve">o be able to make a reasonable </w:t>
      </w:r>
      <w:r w:rsidRPr="00DE5D68">
        <w:rPr>
          <w:rFonts w:cs="Arial"/>
        </w:rPr>
        <w:t>valuation of the offer.</w:t>
      </w:r>
      <w:r w:rsidRPr="00DE5D68" w:rsidR="006558B5">
        <w:rPr>
          <w:rFonts w:cs="Arial"/>
        </w:rPr>
        <w:t xml:space="preserve"> </w:t>
      </w:r>
    </w:p>
    <w:p w:rsidRPr="00DE5D68" w:rsidR="009B163B" w:rsidP="00C27D12" w:rsidRDefault="009B163B" w14:paraId="5F6E7612" w14:textId="38F4B5C4">
      <w:pPr>
        <w:rPr>
          <w:rFonts w:cs="Arial"/>
        </w:rPr>
      </w:pPr>
      <w:r w:rsidRPr="00DE5D68">
        <w:rPr>
          <w:rFonts w:cs="Arial"/>
        </w:rPr>
        <w:t>Neither the Company nor the activities of any functionary with regard to the Company are subject to all the provisions of the Financial Services (Jersey) Law 1998.</w:t>
      </w:r>
    </w:p>
    <w:p w:rsidRPr="00DE5D68" w:rsidR="00FA0A86" w:rsidP="00C27D12" w:rsidRDefault="006F19DA" w14:paraId="37788EF6" w14:textId="77777777">
      <w:pPr>
        <w:keepNext/>
        <w:rPr>
          <w:rFonts w:cs="Arial"/>
          <w:b/>
        </w:rPr>
      </w:pPr>
      <w:r w:rsidRPr="00DE5D68">
        <w:rPr>
          <w:rFonts w:cs="Arial"/>
          <w:b/>
        </w:rPr>
        <w:t>NOTICE TO PROSPECTIVE INVESTORS IN OTHER JURISDICTIONS</w:t>
      </w:r>
    </w:p>
    <w:p w:rsidRPr="00DE5D68" w:rsidR="00FA0A86" w:rsidP="00C27D12" w:rsidRDefault="00FA0A86" w14:paraId="2711572C" w14:textId="787FF07A">
      <w:pPr>
        <w:rPr>
          <w:rFonts w:cs="Arial"/>
        </w:rPr>
      </w:pPr>
      <w:r w:rsidRPr="00DE5D68">
        <w:rPr>
          <w:rFonts w:cs="Arial"/>
        </w:rPr>
        <w:t>The distribution of this document in other jurisdictions may be restricted by law and therefore persons into whose possession this docu</w:t>
      </w:r>
      <w:r w:rsidR="004E6F2C">
        <w:rPr>
          <w:rFonts w:cs="Arial"/>
        </w:rPr>
        <w:t xml:space="preserve">ment comes should </w:t>
      </w:r>
      <w:r w:rsidRPr="00DE5D68">
        <w:rPr>
          <w:rFonts w:cs="Arial"/>
        </w:rPr>
        <w:t xml:space="preserve">inform themselves about and observe any such restrictions. </w:t>
      </w:r>
    </w:p>
    <w:p w:rsidRPr="00DE5D68" w:rsidR="007F4688" w:rsidP="00C27D12" w:rsidRDefault="007F4688" w14:paraId="5F4A0AB9" w14:textId="59E682FD">
      <w:pPr>
        <w:keepNext/>
        <w:rPr>
          <w:rFonts w:cs="Arial"/>
          <w:b/>
        </w:rPr>
      </w:pPr>
      <w:r w:rsidRPr="00DE5D68">
        <w:rPr>
          <w:rFonts w:cs="Arial"/>
          <w:b/>
        </w:rPr>
        <w:t>INFORMATION TO DISTRIBUTORS</w:t>
      </w:r>
    </w:p>
    <w:p w:rsidRPr="000C0D70" w:rsidR="000149CD" w:rsidP="000149CD" w:rsidRDefault="000149CD" w14:paraId="7CDDCB84" w14:textId="069DB69F">
      <w:pPr>
        <w:rPr>
          <w:rFonts w:cs="Arial"/>
        </w:rPr>
      </w:pPr>
      <w:r w:rsidRPr="000C0D70">
        <w:rPr>
          <w:rFonts w:cs="Arial"/>
        </w:rPr>
        <w:t>Solely for the purposes of the product governance</w:t>
      </w:r>
      <w:r>
        <w:rPr>
          <w:rFonts w:cs="Arial"/>
        </w:rPr>
        <w:t xml:space="preserve"> requirements contained within </w:t>
      </w:r>
      <w:r w:rsidRPr="00240EA2">
        <w:rPr>
          <w:rFonts w:cs="Arial"/>
        </w:rPr>
        <w:t xml:space="preserve">PROD 3 of the FCA's Product Intervention and Product Governance Sourcebook </w:t>
      </w:r>
      <w:r>
        <w:rPr>
          <w:rFonts w:cs="Arial"/>
        </w:rPr>
        <w:t>(</w:t>
      </w:r>
      <w:r w:rsidRPr="000C0D70">
        <w:rPr>
          <w:rFonts w:cs="Arial"/>
        </w:rPr>
        <w:t>the "</w:t>
      </w:r>
      <w:r w:rsidRPr="000C0D70">
        <w:rPr>
          <w:rFonts w:cs="Arial"/>
          <w:b/>
        </w:rPr>
        <w:t>Product Governance Requirements</w:t>
      </w:r>
      <w:r w:rsidRPr="000C0D70">
        <w:rPr>
          <w:rFonts w:cs="Arial"/>
        </w:rPr>
        <w:t>"), and disclaiming all and any liability, whether arising in tort, contract or otherwise, which any "manufacturer" (f</w:t>
      </w:r>
      <w:r>
        <w:rPr>
          <w:rFonts w:cs="Arial"/>
        </w:rPr>
        <w:t xml:space="preserve">or the purposes of the </w:t>
      </w:r>
      <w:r w:rsidRPr="000C0D70">
        <w:rPr>
          <w:rFonts w:cs="Arial"/>
        </w:rPr>
        <w:t xml:space="preserve">Product Governance Requirements) may otherwise have with respect thereto, the </w:t>
      </w:r>
      <w:r w:rsidR="005C56D3">
        <w:rPr>
          <w:rFonts w:cs="Arial"/>
        </w:rPr>
        <w:t>Ordinary</w:t>
      </w:r>
      <w:r w:rsidRPr="000C0D70" w:rsidR="005C56D3">
        <w:rPr>
          <w:rFonts w:cs="Arial"/>
        </w:rPr>
        <w:t xml:space="preserve"> </w:t>
      </w:r>
      <w:r w:rsidRPr="000C0D70">
        <w:rPr>
          <w:rFonts w:cs="Arial"/>
        </w:rPr>
        <w:t xml:space="preserve">Shares have been subject to a product approval process, which has determined that the </w:t>
      </w:r>
      <w:r w:rsidR="005C56D3">
        <w:rPr>
          <w:rFonts w:cs="Arial"/>
        </w:rPr>
        <w:t>Ordinary</w:t>
      </w:r>
      <w:r w:rsidRPr="000C0D70" w:rsidR="005C56D3">
        <w:rPr>
          <w:rFonts w:cs="Arial"/>
        </w:rPr>
        <w:t xml:space="preserve"> </w:t>
      </w:r>
      <w:r w:rsidRPr="000C0D70">
        <w:rPr>
          <w:rFonts w:cs="Arial"/>
        </w:rPr>
        <w:t xml:space="preserve">Shares to be issued pursuant to the </w:t>
      </w:r>
      <w:r w:rsidR="00B97B41">
        <w:rPr>
          <w:rFonts w:cs="Arial"/>
        </w:rPr>
        <w:t xml:space="preserve">Initial </w:t>
      </w:r>
      <w:r w:rsidR="00A848C6">
        <w:rPr>
          <w:rFonts w:cs="Arial"/>
        </w:rPr>
        <w:t>Placing</w:t>
      </w:r>
      <w:r w:rsidRPr="000C0D70">
        <w:rPr>
          <w:rFonts w:cs="Arial"/>
        </w:rPr>
        <w:t xml:space="preserve"> </w:t>
      </w:r>
      <w:r>
        <w:rPr>
          <w:rFonts w:cs="Arial"/>
        </w:rPr>
        <w:t xml:space="preserve">and Subsequent Placings </w:t>
      </w:r>
      <w:r w:rsidRPr="000C0D70">
        <w:rPr>
          <w:rFonts w:cs="Arial"/>
        </w:rPr>
        <w:t>are: (</w:t>
      </w:r>
      <w:proofErr w:type="spellStart"/>
      <w:r w:rsidRPr="000C0D70">
        <w:rPr>
          <w:rFonts w:cs="Arial"/>
        </w:rPr>
        <w:t>i</w:t>
      </w:r>
      <w:proofErr w:type="spellEnd"/>
      <w:r w:rsidRPr="000C0D70">
        <w:rPr>
          <w:rFonts w:cs="Arial"/>
        </w:rPr>
        <w:t xml:space="preserve">) compatible with an end target market of retail investors and investors who meet the criteria of professional clients and eligible counterparties, each as defined in </w:t>
      </w:r>
      <w:r w:rsidRPr="00240EA2">
        <w:rPr>
          <w:rFonts w:cs="Arial"/>
        </w:rPr>
        <w:t>COBS 3.5 and 3.6 of the FCA's Conduct of Business Sourcebook, respectively</w:t>
      </w:r>
      <w:r w:rsidRPr="000C0D70">
        <w:rPr>
          <w:rFonts w:cs="Arial"/>
        </w:rPr>
        <w:t>; and (ii) eligible for distribution through all distribution channels as are p</w:t>
      </w:r>
      <w:r>
        <w:rPr>
          <w:rFonts w:cs="Arial"/>
        </w:rPr>
        <w:t xml:space="preserve">ermitted by </w:t>
      </w:r>
      <w:r w:rsidRPr="00240EA2">
        <w:rPr>
          <w:rFonts w:cs="Arial"/>
        </w:rPr>
        <w:t>the Product Governance Requirements</w:t>
      </w:r>
      <w:r w:rsidRPr="000C0D70">
        <w:rPr>
          <w:rFonts w:cs="Arial"/>
        </w:rPr>
        <w:t xml:space="preserve"> (the "</w:t>
      </w:r>
      <w:r w:rsidRPr="000C0D70">
        <w:rPr>
          <w:rFonts w:cs="Arial"/>
          <w:b/>
        </w:rPr>
        <w:t>Target Market Assessment</w:t>
      </w:r>
      <w:r w:rsidRPr="000C0D70">
        <w:rPr>
          <w:rFonts w:cs="Arial"/>
        </w:rPr>
        <w:t xml:space="preserve">").  </w:t>
      </w:r>
    </w:p>
    <w:p w:rsidRPr="000C0D70" w:rsidR="000149CD" w:rsidP="000149CD" w:rsidRDefault="000149CD" w14:paraId="63D57B9D" w14:textId="2F101E1C">
      <w:pPr>
        <w:rPr>
          <w:rFonts w:cs="Arial"/>
        </w:rPr>
      </w:pPr>
      <w:r w:rsidRPr="000C0D70">
        <w:rPr>
          <w:rFonts w:cs="Arial"/>
        </w:rPr>
        <w:t xml:space="preserve">Notwithstanding the Target Market Assessment, distributors should note that: (a) the price of the </w:t>
      </w:r>
      <w:r w:rsidR="00C94685">
        <w:rPr>
          <w:rFonts w:cs="Arial"/>
        </w:rPr>
        <w:t>Ordinary</w:t>
      </w:r>
      <w:r w:rsidRPr="000C0D70" w:rsidR="00C94685">
        <w:rPr>
          <w:rFonts w:cs="Arial"/>
        </w:rPr>
        <w:t xml:space="preserve"> </w:t>
      </w:r>
      <w:r w:rsidRPr="000C0D70">
        <w:rPr>
          <w:rFonts w:cs="Arial"/>
        </w:rPr>
        <w:t xml:space="preserve">Shares may decline and investors could lose all or part of their investment; </w:t>
      </w:r>
      <w:r w:rsidR="008026CE">
        <w:rPr>
          <w:rFonts w:cs="Arial"/>
        </w:rPr>
        <w:t xml:space="preserve">(b) </w:t>
      </w:r>
      <w:r w:rsidRPr="000C0D70">
        <w:rPr>
          <w:rFonts w:cs="Arial"/>
        </w:rPr>
        <w:t xml:space="preserve">the </w:t>
      </w:r>
      <w:r w:rsidR="00C94685">
        <w:rPr>
          <w:rFonts w:cs="Arial"/>
        </w:rPr>
        <w:t>Ordinary</w:t>
      </w:r>
      <w:r w:rsidRPr="000C0D70" w:rsidR="00C94685">
        <w:rPr>
          <w:rFonts w:cs="Arial"/>
        </w:rPr>
        <w:t xml:space="preserve"> </w:t>
      </w:r>
      <w:r w:rsidRPr="000C0D70">
        <w:rPr>
          <w:rFonts w:cs="Arial"/>
        </w:rPr>
        <w:t>Shares offer no guaranteed inco</w:t>
      </w:r>
      <w:r w:rsidR="008026CE">
        <w:rPr>
          <w:rFonts w:cs="Arial"/>
        </w:rPr>
        <w:t>me and no capital protection; (c</w:t>
      </w:r>
      <w:r w:rsidRPr="000C0D70">
        <w:rPr>
          <w:rFonts w:cs="Arial"/>
        </w:rPr>
        <w:t xml:space="preserve">) an investment in the </w:t>
      </w:r>
      <w:r w:rsidR="00C94685">
        <w:rPr>
          <w:rFonts w:cs="Arial"/>
        </w:rPr>
        <w:t>Ordinary</w:t>
      </w:r>
      <w:r w:rsidRPr="000C0D70" w:rsidR="00C94685">
        <w:rPr>
          <w:rFonts w:cs="Arial"/>
        </w:rPr>
        <w:t xml:space="preserve"> </w:t>
      </w:r>
      <w:r w:rsidRPr="000C0D70">
        <w:rPr>
          <w:rFonts w:cs="Arial"/>
        </w:rPr>
        <w:t>Shares is compatible only with investors who do not need a guaranteed income or capital protection, who (either alone or in conjunction with an appropriate financial or other adviser) are capable of evaluating the merits and risks of such an investment and who have sufficient resources to be able to bear any losses t</w:t>
      </w:r>
      <w:r w:rsidR="008026CE">
        <w:rPr>
          <w:rFonts w:cs="Arial"/>
        </w:rPr>
        <w:t>hat may result therefrom, and (d</w:t>
      </w:r>
      <w:r w:rsidRPr="000C0D70">
        <w:rPr>
          <w:rFonts w:cs="Arial"/>
        </w:rPr>
        <w:t xml:space="preserve">) the </w:t>
      </w:r>
      <w:r w:rsidR="00C94685">
        <w:rPr>
          <w:rFonts w:cs="Arial"/>
        </w:rPr>
        <w:t>Ordinary</w:t>
      </w:r>
      <w:r w:rsidRPr="000C0D70" w:rsidR="00C94685">
        <w:rPr>
          <w:rFonts w:cs="Arial"/>
        </w:rPr>
        <w:t xml:space="preserve"> </w:t>
      </w:r>
      <w:r w:rsidRPr="000C0D70">
        <w:rPr>
          <w:rFonts w:cs="Arial"/>
        </w:rPr>
        <w:t>Shares will be admitted to the Specialist Fund Segment, which is intended for institutional, professional, professionally advised and knowledgeable investors who understand, or who have been advised of, the potential risk from investing in companies admitted to the Specialist Fund Segment. The Target Market Assessment is without prejudice to the requirements of any contractual, legal or regulatory selling r</w:t>
      </w:r>
      <w:r>
        <w:rPr>
          <w:rFonts w:cs="Arial"/>
        </w:rPr>
        <w:t xml:space="preserve">estrictions </w:t>
      </w:r>
      <w:r w:rsidR="00C94685">
        <w:rPr>
          <w:rFonts w:cs="Arial"/>
        </w:rPr>
        <w:t xml:space="preserve">in relation to the </w:t>
      </w:r>
      <w:r w:rsidR="00B97B41">
        <w:rPr>
          <w:rFonts w:cs="Arial"/>
        </w:rPr>
        <w:t xml:space="preserve">Initial </w:t>
      </w:r>
      <w:r w:rsidR="00A848C6">
        <w:rPr>
          <w:rFonts w:cs="Arial"/>
        </w:rPr>
        <w:t>Placing</w:t>
      </w:r>
      <w:r>
        <w:rPr>
          <w:rFonts w:cs="Arial"/>
        </w:rPr>
        <w:t xml:space="preserve"> and/or Subsequent Placings</w:t>
      </w:r>
      <w:r w:rsidRPr="000C0D70">
        <w:rPr>
          <w:rFonts w:cs="Arial"/>
        </w:rPr>
        <w:t>. Furthermore, it is noted that, notwithstanding the T</w:t>
      </w:r>
      <w:r>
        <w:rPr>
          <w:rFonts w:cs="Arial"/>
        </w:rPr>
        <w:t xml:space="preserve">arget </w:t>
      </w:r>
      <w:r w:rsidR="00C94685">
        <w:rPr>
          <w:rFonts w:cs="Arial"/>
        </w:rPr>
        <w:t xml:space="preserve">Market Assessment, </w:t>
      </w:r>
      <w:r w:rsidR="00DD0C05">
        <w:rPr>
          <w:rFonts w:cs="Arial"/>
        </w:rPr>
        <w:t>Singer Capital Markets</w:t>
      </w:r>
      <w:r w:rsidRPr="000C0D70">
        <w:rPr>
          <w:rFonts w:cs="Arial"/>
        </w:rPr>
        <w:t xml:space="preserve"> will only procure investors who meet the criteria of professional clients and eligible counterparties.</w:t>
      </w:r>
    </w:p>
    <w:p w:rsidRPr="000C0D70" w:rsidR="000149CD" w:rsidP="000149CD" w:rsidRDefault="000149CD" w14:paraId="0FF42F33" w14:textId="73EAA863">
      <w:pPr>
        <w:rPr>
          <w:rFonts w:cs="Arial"/>
        </w:rPr>
      </w:pPr>
      <w:r w:rsidRPr="000C0D70">
        <w:rPr>
          <w:rFonts w:cs="Arial"/>
        </w:rPr>
        <w:lastRenderedPageBreak/>
        <w:t>For the avoidance of doubt, the Target Market Assessment does not constitute: (a) an assessment of suitability or appropriateness for the purposes of</w:t>
      </w:r>
      <w:r w:rsidRPr="00240EA2">
        <w:t xml:space="preserve"> </w:t>
      </w:r>
      <w:r w:rsidRPr="00240EA2">
        <w:rPr>
          <w:rFonts w:cs="Arial"/>
        </w:rPr>
        <w:t>the FCA's Conduct of Business Sourcebook</w:t>
      </w:r>
      <w:r w:rsidRPr="000C0D70">
        <w:rPr>
          <w:rFonts w:cs="Arial"/>
        </w:rPr>
        <w:t xml:space="preserve">; or (b) a recommendation to any investor or group of investors to invest in, or purchase, or take any other action whatsoever with respect to the </w:t>
      </w:r>
      <w:r w:rsidR="00C94685">
        <w:rPr>
          <w:rFonts w:cs="Arial"/>
        </w:rPr>
        <w:t>Ordinary</w:t>
      </w:r>
      <w:r w:rsidRPr="000C0D70" w:rsidR="00C94685">
        <w:rPr>
          <w:rFonts w:cs="Arial"/>
        </w:rPr>
        <w:t xml:space="preserve"> </w:t>
      </w:r>
      <w:r w:rsidRPr="000C0D70">
        <w:rPr>
          <w:rFonts w:cs="Arial"/>
        </w:rPr>
        <w:t>Shares.</w:t>
      </w:r>
    </w:p>
    <w:p w:rsidRPr="00DE5D68" w:rsidR="00385FF3" w:rsidP="00C27D12" w:rsidRDefault="000149CD" w14:paraId="493A1DA1" w14:textId="737A5F48">
      <w:pPr>
        <w:rPr>
          <w:rFonts w:cs="Arial"/>
        </w:rPr>
      </w:pPr>
      <w:r w:rsidRPr="000C0D70">
        <w:rPr>
          <w:rFonts w:cs="Arial"/>
        </w:rPr>
        <w:t xml:space="preserve">Each distributor is responsible for undertaking its own </w:t>
      </w:r>
      <w:r w:rsidR="009F37EF">
        <w:rPr>
          <w:rFonts w:cs="Arial"/>
        </w:rPr>
        <w:t>t</w:t>
      </w:r>
      <w:r>
        <w:rPr>
          <w:rFonts w:cs="Arial"/>
        </w:rPr>
        <w:t xml:space="preserve">arget </w:t>
      </w:r>
      <w:r w:rsidR="009F37EF">
        <w:rPr>
          <w:rFonts w:cs="Arial"/>
        </w:rPr>
        <w:t>m</w:t>
      </w:r>
      <w:r>
        <w:rPr>
          <w:rFonts w:cs="Arial"/>
        </w:rPr>
        <w:t xml:space="preserve">arket </w:t>
      </w:r>
      <w:r w:rsidR="009F37EF">
        <w:rPr>
          <w:rFonts w:cs="Arial"/>
        </w:rPr>
        <w:t>a</w:t>
      </w:r>
      <w:r>
        <w:rPr>
          <w:rFonts w:cs="Arial"/>
        </w:rPr>
        <w:t>ssessment</w:t>
      </w:r>
      <w:r w:rsidRPr="000C0D70">
        <w:rPr>
          <w:rFonts w:cs="Arial"/>
        </w:rPr>
        <w:t xml:space="preserve"> in respect of the </w:t>
      </w:r>
      <w:r w:rsidR="00C94685">
        <w:rPr>
          <w:rFonts w:cs="Arial"/>
        </w:rPr>
        <w:t>Ordinary</w:t>
      </w:r>
      <w:r w:rsidRPr="000C0D70" w:rsidR="00C94685">
        <w:rPr>
          <w:rFonts w:cs="Arial"/>
        </w:rPr>
        <w:t xml:space="preserve"> </w:t>
      </w:r>
      <w:r w:rsidRPr="000C0D70">
        <w:rPr>
          <w:rFonts w:cs="Arial"/>
        </w:rPr>
        <w:t>Shares and determining appropriate distribution channels.</w:t>
      </w:r>
    </w:p>
    <w:p w:rsidRPr="00DE5D68" w:rsidR="000E269C" w:rsidP="00C27D12" w:rsidRDefault="008309F2" w14:paraId="672A8264" w14:textId="14F8B72A">
      <w:pPr>
        <w:keepNext/>
        <w:rPr>
          <w:rFonts w:cs="Arial"/>
          <w:b/>
        </w:rPr>
      </w:pPr>
      <w:r w:rsidRPr="00DE5D68">
        <w:rPr>
          <w:rFonts w:cs="Arial"/>
          <w:b/>
        </w:rPr>
        <w:t>DATA PROTECTION</w:t>
      </w:r>
    </w:p>
    <w:p w:rsidRPr="00DE5D68" w:rsidR="00CF1FAB" w:rsidP="00C27D12" w:rsidRDefault="00CE4B13" w14:paraId="64D91A35" w14:textId="62B5AC80">
      <w:pPr>
        <w:rPr>
          <w:rFonts w:cs="Arial"/>
        </w:rPr>
      </w:pPr>
      <w:r w:rsidRPr="00DE5D68">
        <w:rPr>
          <w:rFonts w:cs="Arial"/>
        </w:rPr>
        <w:t xml:space="preserve">The information that a prospective investor in the Company provides in documents in relation to a subscription for </w:t>
      </w:r>
      <w:r w:rsidR="00C94685">
        <w:rPr>
          <w:rFonts w:cs="Arial"/>
        </w:rPr>
        <w:t>Ordinary</w:t>
      </w:r>
      <w:r w:rsidRPr="00DE5D68" w:rsidR="00C94685">
        <w:rPr>
          <w:rFonts w:cs="Arial"/>
        </w:rPr>
        <w:t xml:space="preserve"> </w:t>
      </w:r>
      <w:r w:rsidRPr="00DE5D68" w:rsidR="008F4096">
        <w:rPr>
          <w:rFonts w:cs="Arial"/>
        </w:rPr>
        <w:t>Shares</w:t>
      </w:r>
      <w:r w:rsidRPr="00DE5D68" w:rsidR="00351CF3">
        <w:rPr>
          <w:rFonts w:cs="Arial"/>
        </w:rPr>
        <w:t xml:space="preserve"> </w:t>
      </w:r>
      <w:r w:rsidRPr="00DE5D68">
        <w:rPr>
          <w:rFonts w:cs="Arial"/>
        </w:rPr>
        <w:t>or subsequently by whatever means which relates to the prospective investor (if it is an individual) or a third party individual ("</w:t>
      </w:r>
      <w:r w:rsidRPr="00DE5D68">
        <w:rPr>
          <w:rFonts w:cs="Arial"/>
          <w:b/>
        </w:rPr>
        <w:t>personal data</w:t>
      </w:r>
      <w:r w:rsidRPr="00DE5D68">
        <w:rPr>
          <w:rFonts w:cs="Arial"/>
        </w:rPr>
        <w:t>") will be held and processed by the Company (and any third party in</w:t>
      </w:r>
      <w:r w:rsidRPr="00DE5D68" w:rsidR="00A84F14">
        <w:rPr>
          <w:rFonts w:cs="Arial"/>
        </w:rPr>
        <w:t xml:space="preserve"> Guernsey or</w:t>
      </w:r>
      <w:r w:rsidRPr="00DE5D68">
        <w:rPr>
          <w:rFonts w:cs="Arial"/>
        </w:rPr>
        <w:t xml:space="preserve"> the United Kingdom to whom it may delegate certain administrative functions in relation to the Company) in compliance with</w:t>
      </w:r>
      <w:r w:rsidRPr="00DE5D68" w:rsidR="00351CF3">
        <w:rPr>
          <w:rFonts w:cs="Arial"/>
        </w:rPr>
        <w:t>: (a)</w:t>
      </w:r>
      <w:r w:rsidRPr="00DE5D68">
        <w:rPr>
          <w:rFonts w:cs="Arial"/>
        </w:rPr>
        <w:t xml:space="preserve"> the relevant </w:t>
      </w:r>
      <w:r w:rsidRPr="00DE5D68" w:rsidR="00A84F14">
        <w:rPr>
          <w:rFonts w:cs="Arial"/>
        </w:rPr>
        <w:t xml:space="preserve">DP Legislation </w:t>
      </w:r>
      <w:r w:rsidRPr="00DE5D68">
        <w:rPr>
          <w:rFonts w:cs="Arial"/>
        </w:rPr>
        <w:t xml:space="preserve">and regulatory requirements </w:t>
      </w:r>
      <w:r w:rsidRPr="00DE5D68" w:rsidR="008E2DFE">
        <w:rPr>
          <w:rFonts w:cs="Arial"/>
        </w:rPr>
        <w:t>applicable in Guernsey and/or the United Kingdom as appropriate;</w:t>
      </w:r>
      <w:r w:rsidRPr="00DE5D68" w:rsidR="00351CF3">
        <w:rPr>
          <w:rFonts w:cs="Arial"/>
        </w:rPr>
        <w:t xml:space="preserve"> and (b) the Company's privacy notice, a copy of which is available for </w:t>
      </w:r>
      <w:r w:rsidRPr="00DE5D68" w:rsidR="00CF1FAB">
        <w:rPr>
          <w:rFonts w:cs="Arial"/>
        </w:rPr>
        <w:t xml:space="preserve">consultation </w:t>
      </w:r>
      <w:r w:rsidRPr="00DE5D68" w:rsidR="00351CF3">
        <w:rPr>
          <w:rFonts w:cs="Arial"/>
        </w:rPr>
        <w:t xml:space="preserve">on the Company's website </w:t>
      </w:r>
      <w:r w:rsidRPr="00DE5D68" w:rsidR="00CF1FAB">
        <w:rPr>
          <w:rFonts w:cs="Arial"/>
        </w:rPr>
        <w:t xml:space="preserve">at </w:t>
      </w:r>
      <w:r w:rsidR="00847680">
        <w:rPr>
          <w:rFonts w:cs="Arial"/>
          <w:u w:val="single"/>
        </w:rPr>
        <w:t>www.</w:t>
      </w:r>
      <w:r w:rsidR="00137B97">
        <w:rPr>
          <w:rFonts w:cs="Arial"/>
          <w:u w:val="single"/>
        </w:rPr>
        <w:t>achillesic.com</w:t>
      </w:r>
      <w:r w:rsidRPr="00DE5D68" w:rsidR="0019720C">
        <w:rPr>
          <w:rFonts w:cs="Arial"/>
        </w:rPr>
        <w:t xml:space="preserve"> </w:t>
      </w:r>
      <w:r w:rsidRPr="00DE5D68" w:rsidR="00351CF3">
        <w:rPr>
          <w:rFonts w:cs="Arial"/>
        </w:rPr>
        <w:t>("</w:t>
      </w:r>
      <w:r w:rsidRPr="00DE5D68" w:rsidR="00351CF3">
        <w:rPr>
          <w:rFonts w:cs="Arial"/>
          <w:b/>
        </w:rPr>
        <w:t>Privacy Notice</w:t>
      </w:r>
      <w:r w:rsidRPr="00DE5D68" w:rsidR="00351CF3">
        <w:rPr>
          <w:rFonts w:cs="Arial"/>
        </w:rPr>
        <w:t>")</w:t>
      </w:r>
      <w:r w:rsidRPr="00DE5D68" w:rsidR="00CF1FAB">
        <w:rPr>
          <w:rFonts w:cs="Arial"/>
        </w:rPr>
        <w:t xml:space="preserve"> (and if applicable any other third party delegate's privacy notice)</w:t>
      </w:r>
      <w:r w:rsidRPr="00DE5D68" w:rsidR="00351CF3">
        <w:rPr>
          <w:rFonts w:cs="Arial"/>
        </w:rPr>
        <w:t xml:space="preserve">. </w:t>
      </w:r>
    </w:p>
    <w:p w:rsidRPr="00DE5D68" w:rsidR="00CE4B13" w:rsidP="00C27D12" w:rsidRDefault="00351CF3" w14:paraId="77CF41F6" w14:textId="77777777">
      <w:pPr>
        <w:keepNext/>
        <w:rPr>
          <w:rFonts w:cs="Arial"/>
        </w:rPr>
      </w:pPr>
      <w:r w:rsidRPr="00DE5D68">
        <w:rPr>
          <w:rFonts w:cs="Arial"/>
        </w:rPr>
        <w:t xml:space="preserve">Without limitation to the foregoing, each </w:t>
      </w:r>
      <w:r w:rsidRPr="00DE5D68" w:rsidR="00CE4B13">
        <w:rPr>
          <w:rFonts w:cs="Arial"/>
        </w:rPr>
        <w:t>prospective investor acknowledges that</w:t>
      </w:r>
      <w:r w:rsidRPr="00DE5D68">
        <w:rPr>
          <w:rFonts w:cs="Arial"/>
        </w:rPr>
        <w:t xml:space="preserve"> it has been informed that</w:t>
      </w:r>
      <w:r w:rsidRPr="00DE5D68" w:rsidR="00CE4B13">
        <w:rPr>
          <w:rFonts w:cs="Arial"/>
        </w:rPr>
        <w:t xml:space="preserve"> such information will be held and processed by the Company (or any third party, functionary, or agent appointed by the Company, which may include, without limitation, the Registrar)</w:t>
      </w:r>
      <w:r w:rsidRPr="00DE5D68">
        <w:rPr>
          <w:rFonts w:cs="Arial"/>
        </w:rPr>
        <w:t xml:space="preserve"> in accordance with </w:t>
      </w:r>
      <w:r w:rsidRPr="00DE5D68" w:rsidR="00AF574D">
        <w:rPr>
          <w:rFonts w:cs="Arial"/>
        </w:rPr>
        <w:t>and for the purposes set out in the</w:t>
      </w:r>
      <w:r w:rsidRPr="00DE5D68">
        <w:rPr>
          <w:rFonts w:cs="Arial"/>
        </w:rPr>
        <w:t xml:space="preserve"> Company's Privacy Notice</w:t>
      </w:r>
      <w:r w:rsidRPr="00DE5D68" w:rsidR="00CE4B13">
        <w:rPr>
          <w:rFonts w:cs="Arial"/>
        </w:rPr>
        <w:t xml:space="preserve"> </w:t>
      </w:r>
      <w:r w:rsidRPr="00DE5D68" w:rsidR="00CF1FAB">
        <w:rPr>
          <w:rFonts w:cs="Arial"/>
        </w:rPr>
        <w:t>which include</w:t>
      </w:r>
      <w:r w:rsidRPr="00DE5D68" w:rsidR="00CE4B13">
        <w:rPr>
          <w:rFonts w:cs="Arial"/>
        </w:rPr>
        <w:t>:</w:t>
      </w:r>
    </w:p>
    <w:p w:rsidRPr="00DE5D68" w:rsidR="009E7507" w:rsidP="00C27D12" w:rsidRDefault="00CE4B13" w14:paraId="6FA4E288" w14:textId="77777777">
      <w:pPr>
        <w:pStyle w:val="Bullet1"/>
        <w:rPr>
          <w:rFonts w:cs="Arial"/>
        </w:rPr>
      </w:pPr>
      <w:r w:rsidRPr="00DE5D68">
        <w:rPr>
          <w:rFonts w:cs="Arial"/>
        </w:rPr>
        <w:t>verifying the identity of the prospective investor to comply with statutory and regulatory requirements in relation to anti-money laundering procedures;</w:t>
      </w:r>
    </w:p>
    <w:p w:rsidR="004800A4" w:rsidP="00C27D12" w:rsidRDefault="00CE4B13" w14:paraId="784B8939" w14:textId="77777777">
      <w:pPr>
        <w:pStyle w:val="Bullet1"/>
        <w:rPr>
          <w:rFonts w:cs="Arial"/>
        </w:rPr>
      </w:pPr>
      <w:r w:rsidRPr="00DE5D68">
        <w:rPr>
          <w:rFonts w:cs="Arial"/>
        </w:rPr>
        <w:t>carrying out the business of the Company and the administering of interests in the Company;</w:t>
      </w:r>
      <w:r w:rsidRPr="00DE5D68" w:rsidR="00351CF3">
        <w:rPr>
          <w:rFonts w:cs="Arial"/>
        </w:rPr>
        <w:t xml:space="preserve"> </w:t>
      </w:r>
    </w:p>
    <w:p w:rsidRPr="004800A4" w:rsidR="009E7507" w:rsidP="004800A4" w:rsidRDefault="004800A4" w14:paraId="4784F564" w14:textId="172793E5">
      <w:pPr>
        <w:pStyle w:val="Bullet1"/>
        <w:rPr>
          <w:rFonts w:cs="Arial"/>
        </w:rPr>
      </w:pPr>
      <w:r w:rsidRPr="004800A4">
        <w:rPr>
          <w:rFonts w:cs="Arial"/>
        </w:rPr>
        <w:t>effecting the payment of redemption proceeds to Shareholders (in each</w:t>
      </w:r>
      <w:r>
        <w:rPr>
          <w:rFonts w:cs="Arial"/>
        </w:rPr>
        <w:t xml:space="preserve"> </w:t>
      </w:r>
      <w:r w:rsidRPr="004800A4">
        <w:rPr>
          <w:rFonts w:cs="Arial"/>
        </w:rPr>
        <w:t>case, where applicable)</w:t>
      </w:r>
      <w:r>
        <w:rPr>
          <w:rFonts w:cs="Arial"/>
        </w:rPr>
        <w:t>;</w:t>
      </w:r>
      <w:r w:rsidRPr="004800A4">
        <w:rPr>
          <w:rFonts w:cs="Arial"/>
        </w:rPr>
        <w:t xml:space="preserve"> </w:t>
      </w:r>
      <w:r w:rsidRPr="004800A4" w:rsidR="00351CF3">
        <w:rPr>
          <w:rFonts w:cs="Arial"/>
        </w:rPr>
        <w:t>and</w:t>
      </w:r>
    </w:p>
    <w:p w:rsidRPr="00DE5D68" w:rsidR="009E7507" w:rsidP="00C27D12" w:rsidRDefault="00CE4B13" w14:paraId="63AD10A4" w14:textId="3C464409">
      <w:pPr>
        <w:pStyle w:val="Bullet1"/>
        <w:rPr>
          <w:rFonts w:cs="Arial"/>
        </w:rPr>
      </w:pPr>
      <w:r w:rsidRPr="00DE5D68">
        <w:rPr>
          <w:rFonts w:cs="Arial"/>
        </w:rPr>
        <w:t>meeting the legal, regulatory, reporting and/or financial obligations of the Company in</w:t>
      </w:r>
      <w:r w:rsidRPr="00DE5D68" w:rsidR="008E2DFE">
        <w:rPr>
          <w:rFonts w:cs="Arial"/>
        </w:rPr>
        <w:t xml:space="preserve"> Guernsey,</w:t>
      </w:r>
      <w:r w:rsidRPr="00DE5D68">
        <w:rPr>
          <w:rFonts w:cs="Arial"/>
        </w:rPr>
        <w:t xml:space="preserve"> the </w:t>
      </w:r>
      <w:r w:rsidRPr="00DE5D68" w:rsidR="00CF1FAB">
        <w:rPr>
          <w:rFonts w:cs="Arial"/>
        </w:rPr>
        <w:t xml:space="preserve">United Kingdom </w:t>
      </w:r>
      <w:r w:rsidRPr="00DE5D68">
        <w:rPr>
          <w:rFonts w:cs="Arial"/>
        </w:rPr>
        <w:t>or elsewhere</w:t>
      </w:r>
      <w:r w:rsidRPr="00DE5D68" w:rsidR="00351CF3">
        <w:rPr>
          <w:rFonts w:cs="Arial"/>
        </w:rPr>
        <w:t xml:space="preserve"> or any third party functionary or agent appointed by the Company.</w:t>
      </w:r>
    </w:p>
    <w:p w:rsidRPr="00DE5D68" w:rsidR="00CE4B13" w:rsidP="00C27D12" w:rsidRDefault="00CF1FAB" w14:paraId="5E36F051" w14:textId="77777777">
      <w:pPr>
        <w:keepNext/>
        <w:rPr>
          <w:rFonts w:cs="Arial"/>
        </w:rPr>
      </w:pPr>
      <w:r w:rsidRPr="00DE5D68">
        <w:rPr>
          <w:rFonts w:cs="Arial"/>
        </w:rPr>
        <w:t>Where</w:t>
      </w:r>
      <w:r w:rsidRPr="00DE5D68" w:rsidR="00CE4B13">
        <w:rPr>
          <w:rFonts w:cs="Arial"/>
        </w:rPr>
        <w:t xml:space="preserve"> necessary </w:t>
      </w:r>
      <w:r w:rsidRPr="00DE5D68">
        <w:rPr>
          <w:rFonts w:cs="Arial"/>
        </w:rPr>
        <w:t xml:space="preserve">to fulfil the purposes set out above and in the Company's Privacy Notice, </w:t>
      </w:r>
      <w:r w:rsidRPr="00DE5D68" w:rsidR="00CE4B13">
        <w:rPr>
          <w:rFonts w:cs="Arial"/>
        </w:rPr>
        <w:t xml:space="preserve">the Company (or any third party, functionary, or agent appointed by the Company, which may include, without limitation, the Registrar) </w:t>
      </w:r>
      <w:r w:rsidRPr="00DE5D68">
        <w:rPr>
          <w:rFonts w:cs="Arial"/>
        </w:rPr>
        <w:t>will</w:t>
      </w:r>
      <w:r w:rsidRPr="00DE5D68" w:rsidR="00CE4B13">
        <w:rPr>
          <w:rFonts w:cs="Arial"/>
        </w:rPr>
        <w:t>:</w:t>
      </w:r>
    </w:p>
    <w:p w:rsidRPr="00DE5D68" w:rsidR="00CE4B13" w:rsidP="00C27D12" w:rsidRDefault="00CE4B13" w14:paraId="7CAE3115" w14:textId="5E39C0B0">
      <w:pPr>
        <w:pStyle w:val="Bullet1"/>
        <w:rPr>
          <w:rFonts w:cs="Arial"/>
        </w:rPr>
      </w:pPr>
      <w:r w:rsidRPr="00DE5D68">
        <w:rPr>
          <w:rFonts w:cs="Arial"/>
        </w:rPr>
        <w:t xml:space="preserve">disclose personal data to third party service providers, affiliates, agents or functionaries appointed by the Company or its agents to </w:t>
      </w:r>
      <w:r w:rsidRPr="00DE5D68" w:rsidR="00CF1FAB">
        <w:rPr>
          <w:rFonts w:cs="Arial"/>
        </w:rPr>
        <w:t>operate and administer the Company</w:t>
      </w:r>
      <w:r w:rsidRPr="00DE5D68">
        <w:rPr>
          <w:rFonts w:cs="Arial"/>
        </w:rPr>
        <w:t>; and</w:t>
      </w:r>
    </w:p>
    <w:p w:rsidRPr="00DE5D68" w:rsidR="00CE4B13" w:rsidP="00C27D12" w:rsidRDefault="00CE4B13" w14:paraId="419DF4C8" w14:textId="6ABE68D9">
      <w:pPr>
        <w:pStyle w:val="Bullet1"/>
        <w:rPr>
          <w:rFonts w:cs="Arial"/>
        </w:rPr>
      </w:pPr>
      <w:r w:rsidRPr="00DE5D68">
        <w:rPr>
          <w:rFonts w:cs="Arial"/>
        </w:rPr>
        <w:t xml:space="preserve">transfer personal data outside of </w:t>
      </w:r>
      <w:r w:rsidRPr="00DE5D68" w:rsidR="008E2DFE">
        <w:rPr>
          <w:rFonts w:cs="Arial"/>
        </w:rPr>
        <w:t>Guernsey</w:t>
      </w:r>
      <w:r w:rsidRPr="00DE5D68">
        <w:rPr>
          <w:rFonts w:cs="Arial"/>
        </w:rPr>
        <w:t xml:space="preserve"> to countries or territories which do not offer the same level of protection for the rights and freedoms of prospective investors</w:t>
      </w:r>
      <w:r w:rsidRPr="00DE5D68" w:rsidR="008E2DFE">
        <w:rPr>
          <w:rFonts w:cs="Arial"/>
        </w:rPr>
        <w:t xml:space="preserve"> in Guernsey,</w:t>
      </w:r>
      <w:r w:rsidRPr="00DE5D68" w:rsidR="00CF1FAB">
        <w:rPr>
          <w:rFonts w:cs="Arial"/>
        </w:rPr>
        <w:t xml:space="preserve"> provided that suitable safeguards are in place for the protection of such personal data, details of which shall be set out in the Privacy Notice or otherwise notified from time to time. </w:t>
      </w:r>
    </w:p>
    <w:p w:rsidRPr="00DE5D68" w:rsidR="00351CF3" w:rsidP="00C27D12" w:rsidRDefault="00351CF3" w14:paraId="63C463C3" w14:textId="65A3D73A">
      <w:pPr>
        <w:rPr>
          <w:rFonts w:cs="Arial"/>
        </w:rPr>
      </w:pPr>
      <w:r w:rsidRPr="00DE5D68">
        <w:rPr>
          <w:rFonts w:cs="Arial"/>
        </w:rPr>
        <w:t>The foregoing processing of personal data is required in order to perform the contract with the prospective investor</w:t>
      </w:r>
      <w:r w:rsidRPr="00DE5D68" w:rsidR="00CF1FAB">
        <w:rPr>
          <w:rFonts w:cs="Arial"/>
        </w:rPr>
        <w:t>,</w:t>
      </w:r>
      <w:r w:rsidRPr="00DE5D68">
        <w:rPr>
          <w:rFonts w:cs="Arial"/>
        </w:rPr>
        <w:t xml:space="preserve"> to comply with the legal and regulatory obligations of the Company or otherwise is necessary for the legitimate interests of the Company. </w:t>
      </w:r>
    </w:p>
    <w:p w:rsidRPr="00DE5D68" w:rsidR="00CF1FAB" w:rsidP="00C27D12" w:rsidRDefault="00CE4B13" w14:paraId="00341825" w14:textId="77777777">
      <w:pPr>
        <w:rPr>
          <w:rFonts w:cs="Arial"/>
        </w:rPr>
      </w:pPr>
      <w:r w:rsidRPr="00DE5D68">
        <w:rPr>
          <w:rFonts w:cs="Arial"/>
        </w:rPr>
        <w:t xml:space="preserve">If the Company (or any third party, functionary or agent appointed by the Company, which may include, without limitation, the Registrar) discloses personal data to such a third party, agent or functionary and/or makes such a transfer of personal data it will ensure that </w:t>
      </w:r>
      <w:r w:rsidRPr="00DE5D68" w:rsidR="00CF1FAB">
        <w:rPr>
          <w:rFonts w:cs="Arial"/>
        </w:rPr>
        <w:t xml:space="preserve">adequate safeguards are in place for the protection of such personal data, details of which shall be set out in the Privacy Notice or otherwise notified from time to time. </w:t>
      </w:r>
    </w:p>
    <w:p w:rsidRPr="00DE5D68" w:rsidR="00385FF3" w:rsidP="00C27D12" w:rsidRDefault="00CE4B13" w14:paraId="698EF0EC" w14:textId="6B1F1DA3">
      <w:pPr>
        <w:rPr>
          <w:rFonts w:cs="Arial"/>
        </w:rPr>
      </w:pPr>
      <w:r w:rsidRPr="00DE5D68">
        <w:rPr>
          <w:rFonts w:cs="Arial"/>
        </w:rPr>
        <w:t xml:space="preserve">Prospective investors are responsible for informing any </w:t>
      </w:r>
      <w:r w:rsidRPr="00DE5D68" w:rsidR="00BD55B5">
        <w:rPr>
          <w:rFonts w:cs="Arial"/>
        </w:rPr>
        <w:t>third-party</w:t>
      </w:r>
      <w:r w:rsidRPr="00DE5D68">
        <w:rPr>
          <w:rFonts w:cs="Arial"/>
        </w:rPr>
        <w:t xml:space="preserve"> individual to whom the personal data relates </w:t>
      </w:r>
      <w:r w:rsidRPr="00DE5D68" w:rsidR="00CF1FAB">
        <w:rPr>
          <w:rFonts w:cs="Arial"/>
        </w:rPr>
        <w:t xml:space="preserve">of </w:t>
      </w:r>
      <w:r w:rsidRPr="00DE5D68">
        <w:rPr>
          <w:rFonts w:cs="Arial"/>
        </w:rPr>
        <w:t>the disclosure and use of such data in accordance with these provisions.</w:t>
      </w:r>
      <w:r w:rsidRPr="00DE5D68" w:rsidR="00CF1FAB">
        <w:rPr>
          <w:rFonts w:cs="Arial"/>
        </w:rPr>
        <w:t xml:space="preserve"> </w:t>
      </w:r>
      <w:r w:rsidRPr="00DE5D68" w:rsidR="00FA179E">
        <w:rPr>
          <w:rFonts w:cs="Arial"/>
        </w:rPr>
        <w:t xml:space="preserve">Individuals have certain rights in relation to their personal data; such rights and the manner in which they can be exercised are set out in the Company's Privacy Notice. </w:t>
      </w:r>
    </w:p>
    <w:p w:rsidRPr="00DE5D68" w:rsidR="00072079" w:rsidP="00C27D12" w:rsidRDefault="00072079" w14:paraId="7E1C7B30" w14:textId="77777777">
      <w:pPr>
        <w:keepNext/>
        <w:rPr>
          <w:rFonts w:cs="Arial"/>
          <w:b/>
        </w:rPr>
      </w:pPr>
      <w:r w:rsidRPr="00DE5D68">
        <w:rPr>
          <w:rFonts w:cs="Arial"/>
          <w:b/>
        </w:rPr>
        <w:lastRenderedPageBreak/>
        <w:t>DEFINITIONS</w:t>
      </w:r>
    </w:p>
    <w:p w:rsidRPr="00DE5D68" w:rsidR="00072079" w:rsidP="00C27D12" w:rsidRDefault="00072079" w14:paraId="25AEED74" w14:textId="4F9AAE61">
      <w:pPr>
        <w:rPr>
          <w:rFonts w:cs="Arial"/>
        </w:rPr>
      </w:pPr>
      <w:r w:rsidRPr="00DE5D68">
        <w:rPr>
          <w:rFonts w:cs="Arial"/>
        </w:rPr>
        <w:t xml:space="preserve">A list of defined terms used in this document is set out </w:t>
      </w:r>
      <w:r w:rsidRPr="00DE5D68" w:rsidR="00F77153">
        <w:rPr>
          <w:rFonts w:cs="Arial"/>
        </w:rPr>
        <w:t xml:space="preserve">in </w:t>
      </w:r>
      <w:r w:rsidR="00637905">
        <w:rPr>
          <w:rFonts w:cs="Arial"/>
        </w:rPr>
        <w:fldChar w:fldCharType="begin" w:fldLock="1"/>
      </w:r>
      <w:r w:rsidR="00637905">
        <w:rPr>
          <w:rFonts w:cs="Arial"/>
        </w:rPr>
        <w:instrText xml:space="preserve"> REF _Ref65764821 \n \h </w:instrText>
      </w:r>
      <w:r w:rsidR="00637905">
        <w:rPr>
          <w:rFonts w:cs="Arial"/>
        </w:rPr>
      </w:r>
      <w:r w:rsidR="00637905">
        <w:rPr>
          <w:rFonts w:cs="Arial"/>
        </w:rPr>
        <w:fldChar w:fldCharType="separate"/>
      </w:r>
      <w:r w:rsidR="00DA4048">
        <w:rPr>
          <w:rFonts w:cs="Arial"/>
        </w:rPr>
        <w:t>Part 7</w:t>
      </w:r>
      <w:r w:rsidR="00637905">
        <w:rPr>
          <w:rFonts w:cs="Arial"/>
        </w:rPr>
        <w:fldChar w:fldCharType="end"/>
      </w:r>
      <w:r w:rsidRPr="00DE5D68">
        <w:rPr>
          <w:rFonts w:cs="Arial"/>
        </w:rPr>
        <w:t>.</w:t>
      </w:r>
    </w:p>
    <w:p w:rsidRPr="00DE5D68" w:rsidR="00DC3A5C" w:rsidP="00C27D12" w:rsidRDefault="00DC3A5C" w14:paraId="19CA2543" w14:textId="1C5BFC9C">
      <w:pPr>
        <w:keepNext/>
        <w:rPr>
          <w:rFonts w:cs="Arial"/>
          <w:b/>
        </w:rPr>
      </w:pPr>
      <w:r w:rsidRPr="00DE5D68">
        <w:rPr>
          <w:rFonts w:cs="Arial"/>
          <w:b/>
        </w:rPr>
        <w:t>WEBSITES</w:t>
      </w:r>
    </w:p>
    <w:p w:rsidRPr="00DE5D68" w:rsidR="00DC3A5C" w:rsidP="00C27D12" w:rsidRDefault="00DC3A5C" w14:paraId="7B042D2A" w14:textId="232AC166">
      <w:pPr>
        <w:rPr>
          <w:rFonts w:cs="Arial"/>
        </w:rPr>
      </w:pPr>
      <w:r w:rsidRPr="00DE5D68">
        <w:rPr>
          <w:rFonts w:cs="Arial"/>
        </w:rPr>
        <w:t xml:space="preserve">Without limitation, neither the contents of the Company’s or the Investment Manager's website (or any other website) nor the content of any website accessible from hyperlinks on the Company's or the Investment Manager's website (or any other website) is incorporated into, or forms part of this document, or has been approved by the FCA. Investors should base their decision whether or not to invest in the </w:t>
      </w:r>
      <w:r w:rsidR="00C94685">
        <w:rPr>
          <w:rFonts w:cs="Arial"/>
        </w:rPr>
        <w:t>Ordinary</w:t>
      </w:r>
      <w:r w:rsidRPr="00DE5D68" w:rsidR="00C94685">
        <w:rPr>
          <w:rFonts w:cs="Arial"/>
        </w:rPr>
        <w:t xml:space="preserve"> </w:t>
      </w:r>
      <w:r w:rsidRPr="00DE5D68" w:rsidR="008F4096">
        <w:rPr>
          <w:rFonts w:cs="Arial"/>
        </w:rPr>
        <w:t>Shares</w:t>
      </w:r>
      <w:r w:rsidRPr="00DE5D68">
        <w:rPr>
          <w:rFonts w:cs="Arial"/>
        </w:rPr>
        <w:t xml:space="preserve"> on the contents of this document alone.</w:t>
      </w:r>
      <w:r w:rsidRPr="00DE5D68" w:rsidR="00086D06">
        <w:rPr>
          <w:rFonts w:cs="Arial"/>
          <w:b/>
        </w:rPr>
        <w:t xml:space="preserve"> </w:t>
      </w:r>
    </w:p>
    <w:p w:rsidRPr="00DE5D68" w:rsidR="00397AE6" w:rsidP="00C27D12" w:rsidRDefault="00397AE6" w14:paraId="6A459C71" w14:textId="77777777">
      <w:pPr>
        <w:keepNext/>
        <w:rPr>
          <w:rFonts w:cs="Arial"/>
          <w:b/>
        </w:rPr>
      </w:pPr>
      <w:r w:rsidRPr="00DE5D68">
        <w:rPr>
          <w:rFonts w:cs="Arial"/>
          <w:b/>
        </w:rPr>
        <w:t>GOVERNING LAW</w:t>
      </w:r>
    </w:p>
    <w:p w:rsidRPr="00DE5D68" w:rsidR="00397AE6" w:rsidP="00C27D12" w:rsidRDefault="00397AE6" w14:paraId="0B8F8261" w14:textId="1EA6EE8A">
      <w:pPr>
        <w:rPr>
          <w:rFonts w:cs="Arial"/>
        </w:rPr>
      </w:pPr>
      <w:r w:rsidRPr="00DE5D68">
        <w:rPr>
          <w:rFonts w:cs="Arial"/>
        </w:rPr>
        <w:t>Unless otherwise stated, statements made in this document are based on the law and practice currently in force in England and Wales</w:t>
      </w:r>
      <w:r w:rsidRPr="00DE5D68" w:rsidR="009F4FD3">
        <w:rPr>
          <w:rFonts w:cs="Arial"/>
        </w:rPr>
        <w:t xml:space="preserve"> and/or the law and practice of Guernsey </w:t>
      </w:r>
      <w:r w:rsidR="00624E20">
        <w:rPr>
          <w:rFonts w:cs="Arial"/>
        </w:rPr>
        <w:t>(as relevant) and are subject to change</w:t>
      </w:r>
      <w:r w:rsidRPr="00DE5D68">
        <w:rPr>
          <w:rFonts w:cs="Arial"/>
        </w:rPr>
        <w:t xml:space="preserve">. </w:t>
      </w:r>
    </w:p>
    <w:p w:rsidRPr="00DE5D68" w:rsidR="00E6111E" w:rsidP="00C27D12" w:rsidRDefault="001777B4" w14:paraId="1B898939" w14:textId="77777777">
      <w:pPr>
        <w:keepNext/>
        <w:rPr>
          <w:rFonts w:cs="Arial"/>
          <w:b/>
        </w:rPr>
      </w:pPr>
      <w:r w:rsidRPr="00DE5D68">
        <w:rPr>
          <w:rFonts w:cs="Arial"/>
          <w:b/>
        </w:rPr>
        <w:t>FORWARD LOOKING STATEMENTS</w:t>
      </w:r>
    </w:p>
    <w:p w:rsidRPr="00DE5D68" w:rsidR="001777B4" w:rsidP="00C27D12" w:rsidRDefault="001777B4" w14:paraId="06621C36" w14:textId="7D6D4809">
      <w:pPr>
        <w:rPr>
          <w:rFonts w:cs="Arial"/>
        </w:rPr>
      </w:pPr>
      <w:r w:rsidRPr="00DE5D68">
        <w:rPr>
          <w:rFonts w:cs="Arial"/>
        </w:rPr>
        <w:t xml:space="preserve">This document contains forward looking statements, including, without limitation, statements containing the words </w:t>
      </w:r>
      <w:r w:rsidRPr="00DE5D68" w:rsidR="00170F35">
        <w:rPr>
          <w:rFonts w:cs="Arial"/>
        </w:rPr>
        <w:t>"</w:t>
      </w:r>
      <w:r w:rsidRPr="00DE5D68">
        <w:rPr>
          <w:rFonts w:cs="Arial"/>
        </w:rPr>
        <w:t>believes</w:t>
      </w:r>
      <w:r w:rsidRPr="00DE5D68" w:rsidR="00170F35">
        <w:rPr>
          <w:rFonts w:cs="Arial"/>
        </w:rPr>
        <w:t>"</w:t>
      </w:r>
      <w:r w:rsidRPr="00DE5D68" w:rsidR="00004B81">
        <w:rPr>
          <w:rFonts w:cs="Arial"/>
        </w:rPr>
        <w:t>,</w:t>
      </w:r>
      <w:r w:rsidRPr="00DE5D68" w:rsidR="00640203">
        <w:rPr>
          <w:rFonts w:cs="Arial"/>
        </w:rPr>
        <w:t xml:space="preserve"> </w:t>
      </w:r>
      <w:r w:rsidRPr="00DE5D68" w:rsidR="00170F35">
        <w:rPr>
          <w:rFonts w:cs="Arial"/>
        </w:rPr>
        <w:t>"</w:t>
      </w:r>
      <w:r w:rsidRPr="00DE5D68">
        <w:rPr>
          <w:rFonts w:cs="Arial"/>
        </w:rPr>
        <w:t>estimates</w:t>
      </w:r>
      <w:r w:rsidRPr="00DE5D68" w:rsidR="00170F35">
        <w:rPr>
          <w:rFonts w:cs="Arial"/>
        </w:rPr>
        <w:t>"</w:t>
      </w:r>
      <w:r w:rsidRPr="00DE5D68" w:rsidR="00004B81">
        <w:rPr>
          <w:rFonts w:cs="Arial"/>
        </w:rPr>
        <w:t>,</w:t>
      </w:r>
      <w:r w:rsidRPr="00DE5D68">
        <w:rPr>
          <w:rFonts w:cs="Arial"/>
        </w:rPr>
        <w:t xml:space="preserve"> </w:t>
      </w:r>
      <w:r w:rsidRPr="00DE5D68" w:rsidR="00170F35">
        <w:rPr>
          <w:rFonts w:cs="Arial"/>
        </w:rPr>
        <w:t>"</w:t>
      </w:r>
      <w:r w:rsidRPr="00DE5D68">
        <w:rPr>
          <w:rFonts w:cs="Arial"/>
        </w:rPr>
        <w:t>anticipates</w:t>
      </w:r>
      <w:r w:rsidRPr="00DE5D68" w:rsidR="00170F35">
        <w:rPr>
          <w:rFonts w:cs="Arial"/>
        </w:rPr>
        <w:t>"</w:t>
      </w:r>
      <w:r w:rsidRPr="00DE5D68" w:rsidR="00004B81">
        <w:rPr>
          <w:rFonts w:cs="Arial"/>
        </w:rPr>
        <w:t>,</w:t>
      </w:r>
      <w:r w:rsidRPr="00DE5D68">
        <w:rPr>
          <w:rFonts w:cs="Arial"/>
        </w:rPr>
        <w:t xml:space="preserve"> </w:t>
      </w:r>
      <w:r w:rsidRPr="00DE5D68" w:rsidR="00170F35">
        <w:rPr>
          <w:rFonts w:cs="Arial"/>
          <w:spacing w:val="14"/>
        </w:rPr>
        <w:t>"</w:t>
      </w:r>
      <w:r w:rsidRPr="00DE5D68">
        <w:rPr>
          <w:rFonts w:cs="Arial"/>
        </w:rPr>
        <w:t>expects</w:t>
      </w:r>
      <w:r w:rsidRPr="00DE5D68" w:rsidR="00170F35">
        <w:rPr>
          <w:rFonts w:cs="Arial"/>
        </w:rPr>
        <w:t>"</w:t>
      </w:r>
      <w:r w:rsidRPr="00DE5D68" w:rsidR="00004B81">
        <w:rPr>
          <w:rFonts w:cs="Arial"/>
        </w:rPr>
        <w:t>,</w:t>
      </w:r>
      <w:r w:rsidRPr="00DE5D68" w:rsidR="00640203">
        <w:rPr>
          <w:rFonts w:cs="Arial"/>
        </w:rPr>
        <w:t xml:space="preserve"> </w:t>
      </w:r>
      <w:r w:rsidRPr="00DE5D68" w:rsidR="00170F35">
        <w:rPr>
          <w:rFonts w:cs="Arial"/>
        </w:rPr>
        <w:t>"</w:t>
      </w:r>
      <w:r w:rsidRPr="00DE5D68">
        <w:rPr>
          <w:rFonts w:cs="Arial"/>
        </w:rPr>
        <w:t>intends</w:t>
      </w:r>
      <w:r w:rsidRPr="00DE5D68" w:rsidR="00170F35">
        <w:rPr>
          <w:rFonts w:cs="Arial"/>
          <w:spacing w:val="14"/>
        </w:rPr>
        <w:t>"</w:t>
      </w:r>
      <w:r w:rsidRPr="00DE5D68" w:rsidR="00004B81">
        <w:rPr>
          <w:rFonts w:cs="Arial"/>
          <w:spacing w:val="14"/>
        </w:rPr>
        <w:t>,</w:t>
      </w:r>
      <w:r w:rsidRPr="00DE5D68">
        <w:rPr>
          <w:rFonts w:cs="Arial"/>
        </w:rPr>
        <w:t xml:space="preserve"> </w:t>
      </w:r>
      <w:r w:rsidRPr="00DE5D68" w:rsidR="00170F35">
        <w:rPr>
          <w:rFonts w:cs="Arial"/>
        </w:rPr>
        <w:t>"</w:t>
      </w:r>
      <w:r w:rsidRPr="00DE5D68">
        <w:rPr>
          <w:rFonts w:cs="Arial"/>
        </w:rPr>
        <w:t>may</w:t>
      </w:r>
      <w:r w:rsidRPr="00DE5D68" w:rsidR="00170F35">
        <w:rPr>
          <w:rFonts w:cs="Arial"/>
        </w:rPr>
        <w:t>"</w:t>
      </w:r>
      <w:r w:rsidRPr="00DE5D68" w:rsidR="00004B81">
        <w:rPr>
          <w:rFonts w:cs="Arial"/>
        </w:rPr>
        <w:t>,</w:t>
      </w:r>
      <w:r w:rsidRPr="00DE5D68" w:rsidR="008A4117">
        <w:rPr>
          <w:rFonts w:cs="Arial"/>
        </w:rPr>
        <w:t xml:space="preserve"> "might", </w:t>
      </w:r>
      <w:r w:rsidRPr="00DE5D68" w:rsidR="00170F35">
        <w:rPr>
          <w:rFonts w:cs="Arial"/>
        </w:rPr>
        <w:t>"</w:t>
      </w:r>
      <w:r w:rsidRPr="00DE5D68">
        <w:rPr>
          <w:rFonts w:cs="Arial"/>
        </w:rPr>
        <w:t>will</w:t>
      </w:r>
      <w:r w:rsidRPr="00DE5D68" w:rsidR="00170F35">
        <w:rPr>
          <w:rFonts w:cs="Arial"/>
        </w:rPr>
        <w:t>"</w:t>
      </w:r>
      <w:r w:rsidRPr="00DE5D68">
        <w:rPr>
          <w:rFonts w:cs="Arial"/>
        </w:rPr>
        <w:t xml:space="preserve"> or </w:t>
      </w:r>
      <w:r w:rsidRPr="00DE5D68" w:rsidR="00170F35">
        <w:rPr>
          <w:rFonts w:cs="Arial"/>
        </w:rPr>
        <w:t>"</w:t>
      </w:r>
      <w:r w:rsidRPr="00DE5D68">
        <w:rPr>
          <w:rFonts w:cs="Arial"/>
        </w:rPr>
        <w:t>should</w:t>
      </w:r>
      <w:r w:rsidRPr="00DE5D68" w:rsidR="00170F35">
        <w:rPr>
          <w:rFonts w:cs="Arial"/>
        </w:rPr>
        <w:t>"</w:t>
      </w:r>
      <w:r w:rsidRPr="00DE5D68">
        <w:rPr>
          <w:rFonts w:cs="Arial"/>
        </w:rPr>
        <w:t xml:space="preserve"> or, in each case, their negative </w:t>
      </w:r>
      <w:r w:rsidRPr="00DE5D68">
        <w:rPr>
          <w:rFonts w:cs="Arial"/>
          <w:spacing w:val="6"/>
        </w:rPr>
        <w:t>or other variations or similar expressions. Such forward looking statements involve unknown risks, uncertainties and</w:t>
      </w:r>
      <w:r w:rsidRPr="00DE5D68">
        <w:rPr>
          <w:rFonts w:cs="Arial"/>
        </w:rPr>
        <w:t xml:space="preserve"> other factors which may cause the actual results, financial condition, performance or achievement of the Company, or industry results, to be materially different from any future results, performance or achievements expressed or implied by such forward looking statements.</w:t>
      </w:r>
    </w:p>
    <w:p w:rsidRPr="00DE5D68" w:rsidR="001777B4" w:rsidP="00C27D12" w:rsidRDefault="001777B4" w14:paraId="7CE1088C" w14:textId="7E153B7C">
      <w:pPr>
        <w:rPr>
          <w:rFonts w:cs="Arial"/>
          <w:spacing w:val="8"/>
        </w:rPr>
      </w:pPr>
      <w:r w:rsidRPr="00DE5D68">
        <w:rPr>
          <w:rFonts w:cs="Arial"/>
        </w:rPr>
        <w:t xml:space="preserve">Given these uncertainties, prospective investors are cautioned not to place any undue reliance on such </w:t>
      </w:r>
      <w:r w:rsidRPr="00DE5D68" w:rsidR="009467FC">
        <w:rPr>
          <w:rFonts w:cs="Arial"/>
        </w:rPr>
        <w:t>forward</w:t>
      </w:r>
      <w:r w:rsidR="009467FC">
        <w:rPr>
          <w:rFonts w:cs="Arial"/>
        </w:rPr>
        <w:t xml:space="preserve"> </w:t>
      </w:r>
      <w:r w:rsidRPr="00DE5D68" w:rsidR="009467FC">
        <w:rPr>
          <w:rFonts w:cs="Arial"/>
        </w:rPr>
        <w:t>looking</w:t>
      </w:r>
      <w:r w:rsidRPr="00DE5D68">
        <w:rPr>
          <w:rFonts w:cs="Arial"/>
        </w:rPr>
        <w:t xml:space="preserve"> statements. These </w:t>
      </w:r>
      <w:r w:rsidRPr="00DE5D68" w:rsidR="009467FC">
        <w:rPr>
          <w:rFonts w:cs="Arial"/>
        </w:rPr>
        <w:t>forward</w:t>
      </w:r>
      <w:r w:rsidR="009467FC">
        <w:rPr>
          <w:rFonts w:cs="Arial"/>
        </w:rPr>
        <w:t xml:space="preserve"> </w:t>
      </w:r>
      <w:r w:rsidRPr="00DE5D68" w:rsidR="009467FC">
        <w:rPr>
          <w:rFonts w:cs="Arial"/>
        </w:rPr>
        <w:t>looking</w:t>
      </w:r>
      <w:r w:rsidRPr="00DE5D68">
        <w:rPr>
          <w:rFonts w:cs="Arial"/>
        </w:rPr>
        <w:t xml:space="preserve"> statements speak only as at the date of this document. Subject to its legal and regulatory obligations (including under the </w:t>
      </w:r>
      <w:r w:rsidRPr="00DE5D68" w:rsidR="007A5701">
        <w:rPr>
          <w:rFonts w:cs="Arial"/>
          <w:szCs w:val="20"/>
        </w:rPr>
        <w:t>Prospectus Regulation Rules</w:t>
      </w:r>
      <w:r w:rsidRPr="00DE5D68">
        <w:rPr>
          <w:rFonts w:cs="Arial"/>
        </w:rPr>
        <w:t>), the Company expressly disclaims any obligations to update or revise any forward looking statement contained herein to reflect any change in expectations with regard thereto or any change in events, conditions or circumstances on which any such statement is based unless required to do so by law or any appropriate regulatory authority, inc</w:t>
      </w:r>
      <w:r w:rsidRPr="00DE5D68" w:rsidR="00E879AC">
        <w:rPr>
          <w:rFonts w:cs="Arial"/>
        </w:rPr>
        <w:t xml:space="preserve">luding </w:t>
      </w:r>
      <w:r w:rsidR="00640CB6">
        <w:rPr>
          <w:rFonts w:cs="Arial"/>
        </w:rPr>
        <w:fldChar w:fldCharType="begin">
          <w:fldData xml:space="preserve">dgAxAHwAMQAwADAAMQA0AHwARgBTAE0AQQB8AEIARQBTAFQAQgBMAFQASQBUAEwARQA2ADUAMwA3
ADIANQB8AHwA
</w:fldData>
        </w:fldChar>
      </w:r>
      <w:r w:rsidR="00640CB6">
        <w:rPr>
          <w:rFonts w:cs="Arial"/>
        </w:rPr>
        <w:instrText xml:space="preserve"> ADDIN CiteCheck Marker </w:instrText>
      </w:r>
      <w:r w:rsidR="00640CB6">
        <w:rPr>
          <w:rFonts w:cs="Arial"/>
        </w:rPr>
      </w:r>
      <w:r w:rsidR="00640CB6">
        <w:rPr>
          <w:rFonts w:cs="Arial"/>
        </w:rPr>
        <w:fldChar w:fldCharType="end"/>
      </w:r>
      <w:r w:rsidRPr="00DE5D68" w:rsidR="00E879AC">
        <w:rPr>
          <w:rFonts w:cs="Arial"/>
        </w:rPr>
        <w:t xml:space="preserve">FSMA, </w:t>
      </w:r>
      <w:r w:rsidRPr="00DE5D68">
        <w:rPr>
          <w:rFonts w:cs="Arial"/>
        </w:rPr>
        <w:t xml:space="preserve">the </w:t>
      </w:r>
      <w:r w:rsidRPr="00DE5D68" w:rsidR="007A5701">
        <w:rPr>
          <w:rFonts w:cs="Arial"/>
          <w:szCs w:val="20"/>
        </w:rPr>
        <w:t>Prospectus Regulation Rules</w:t>
      </w:r>
      <w:r w:rsidRPr="00DE5D68" w:rsidR="006F5C4F">
        <w:rPr>
          <w:rFonts w:cs="Arial"/>
        </w:rPr>
        <w:t xml:space="preserve">, </w:t>
      </w:r>
      <w:r w:rsidRPr="00DE5D68">
        <w:rPr>
          <w:rFonts w:cs="Arial"/>
        </w:rPr>
        <w:t xml:space="preserve">the Disclosure </w:t>
      </w:r>
      <w:r w:rsidRPr="00DE5D68" w:rsidR="00DF09D6">
        <w:rPr>
          <w:rFonts w:cs="Arial"/>
        </w:rPr>
        <w:t xml:space="preserve">Guidance </w:t>
      </w:r>
      <w:r w:rsidRPr="00DE5D68">
        <w:rPr>
          <w:rFonts w:cs="Arial"/>
        </w:rPr>
        <w:t>and Transparency Rules</w:t>
      </w:r>
      <w:r w:rsidRPr="00DE5D68" w:rsidR="00FE36B8">
        <w:rPr>
          <w:rFonts w:cs="Arial"/>
        </w:rPr>
        <w:t>, the Prospectus Regulation</w:t>
      </w:r>
      <w:r w:rsidRPr="00DE5D68" w:rsidR="009D5D31">
        <w:rPr>
          <w:rFonts w:cs="Arial"/>
        </w:rPr>
        <w:t xml:space="preserve"> and MAR</w:t>
      </w:r>
      <w:r w:rsidRPr="00DE5D68">
        <w:rPr>
          <w:rFonts w:cs="Arial"/>
        </w:rPr>
        <w:t>.</w:t>
      </w:r>
    </w:p>
    <w:p w:rsidRPr="00DE5D68" w:rsidR="00A57A57" w:rsidP="00C27D12" w:rsidRDefault="001777B4" w14:paraId="29E1A752" w14:textId="15088BD5">
      <w:pPr>
        <w:rPr>
          <w:rFonts w:cs="Arial"/>
          <w:spacing w:val="8"/>
        </w:rPr>
      </w:pPr>
      <w:r w:rsidRPr="00DE5D68">
        <w:rPr>
          <w:rFonts w:cs="Arial"/>
        </w:rPr>
        <w:t xml:space="preserve">Nothing in the preceding two paragraphs should be taken as limiting the working capital statement in </w:t>
      </w:r>
      <w:bookmarkStart w:name="DocXTextRef37" w:id="71"/>
      <w:r w:rsidRPr="00DE5D68">
        <w:rPr>
          <w:rFonts w:cs="Arial"/>
        </w:rPr>
        <w:t xml:space="preserve">paragraph </w:t>
      </w:r>
      <w:bookmarkEnd w:id="71"/>
      <w:r w:rsidR="00577D1F">
        <w:rPr>
          <w:rFonts w:cs="Arial"/>
        </w:rPr>
        <w:fldChar w:fldCharType="begin" w:fldLock="1"/>
      </w:r>
      <w:r w:rsidR="00577D1F">
        <w:rPr>
          <w:rFonts w:cs="Arial"/>
        </w:rPr>
        <w:instrText xml:space="preserve"> REF _Ref329161315 \r \h </w:instrText>
      </w:r>
      <w:r w:rsidR="00577D1F">
        <w:rPr>
          <w:rFonts w:cs="Arial"/>
        </w:rPr>
      </w:r>
      <w:r w:rsidR="00577D1F">
        <w:rPr>
          <w:rFonts w:cs="Arial"/>
        </w:rPr>
        <w:fldChar w:fldCharType="separate"/>
      </w:r>
      <w:r w:rsidR="00DA4048">
        <w:rPr>
          <w:rFonts w:cs="Arial"/>
        </w:rPr>
        <w:t>8</w:t>
      </w:r>
      <w:r w:rsidR="00577D1F">
        <w:rPr>
          <w:rFonts w:cs="Arial"/>
        </w:rPr>
        <w:fldChar w:fldCharType="end"/>
      </w:r>
      <w:r w:rsidRPr="00DE5D68" w:rsidR="00362F06">
        <w:rPr>
          <w:rFonts w:cs="Arial"/>
        </w:rPr>
        <w:t xml:space="preserve"> </w:t>
      </w:r>
      <w:r w:rsidRPr="00DE5D68">
        <w:rPr>
          <w:rFonts w:cs="Arial"/>
        </w:rPr>
        <w:t xml:space="preserve">of </w:t>
      </w:r>
      <w:bookmarkStart w:name="DocXTextRef38" w:id="72"/>
      <w:r w:rsidR="00577D1F">
        <w:rPr>
          <w:rFonts w:cs="Arial"/>
        </w:rPr>
        <w:fldChar w:fldCharType="begin" w:fldLock="1"/>
      </w:r>
      <w:r w:rsidR="00577D1F">
        <w:rPr>
          <w:rFonts w:cs="Arial"/>
        </w:rPr>
        <w:instrText xml:space="preserve"> REF _Ref65762141 \r \h </w:instrText>
      </w:r>
      <w:r w:rsidR="00577D1F">
        <w:rPr>
          <w:rFonts w:cs="Arial"/>
        </w:rPr>
      </w:r>
      <w:r w:rsidR="00577D1F">
        <w:rPr>
          <w:rFonts w:cs="Arial"/>
        </w:rPr>
        <w:fldChar w:fldCharType="separate"/>
      </w:r>
      <w:r w:rsidR="00DA4048">
        <w:rPr>
          <w:rFonts w:cs="Arial"/>
        </w:rPr>
        <w:t>Part 6</w:t>
      </w:r>
      <w:r w:rsidR="00577D1F">
        <w:rPr>
          <w:rFonts w:cs="Arial"/>
        </w:rPr>
        <w:fldChar w:fldCharType="end"/>
      </w:r>
      <w:bookmarkEnd w:id="72"/>
      <w:r w:rsidRPr="00DE5D68" w:rsidR="00362F06">
        <w:rPr>
          <w:rFonts w:cs="Arial"/>
        </w:rPr>
        <w:t xml:space="preserve"> </w:t>
      </w:r>
      <w:r w:rsidRPr="00DE5D68">
        <w:rPr>
          <w:rFonts w:cs="Arial"/>
        </w:rPr>
        <w:t>of this document</w:t>
      </w:r>
      <w:r w:rsidRPr="00DE5D68">
        <w:rPr>
          <w:rFonts w:cs="Arial"/>
          <w:spacing w:val="8"/>
        </w:rPr>
        <w:t>.</w:t>
      </w:r>
      <w:r w:rsidRPr="00DE5D68" w:rsidR="00A57A57">
        <w:rPr>
          <w:rFonts w:cs="Arial"/>
          <w:spacing w:val="8"/>
        </w:rPr>
        <w:br w:type="page"/>
      </w:r>
    </w:p>
    <w:p w:rsidRPr="00DE5D68" w:rsidR="004D3ACA" w:rsidP="00C27D12" w:rsidRDefault="004D3ACA" w14:paraId="50DCAE2F" w14:textId="54085650">
      <w:pPr>
        <w:jc w:val="center"/>
        <w:rPr>
          <w:rFonts w:cs="Arial"/>
          <w:b/>
        </w:rPr>
      </w:pPr>
      <w:r w:rsidRPr="00DE5D68">
        <w:rPr>
          <w:rFonts w:cs="Arial"/>
          <w:b/>
        </w:rPr>
        <w:lastRenderedPageBreak/>
        <w:t>EXPECTED TIMETABLE</w:t>
      </w:r>
      <w:r w:rsidRPr="00DE5D68" w:rsidR="00003777">
        <w:rPr>
          <w:rFonts w:cs="Arial"/>
          <w:b/>
        </w:rPr>
        <w:fldChar w:fldCharType="begin"/>
      </w:r>
      <w:r w:rsidRPr="00DE5D68">
        <w:rPr>
          <w:rFonts w:cs="Arial"/>
        </w:rPr>
        <w:instrText xml:space="preserve"> TC </w:instrText>
      </w:r>
      <w:r w:rsidRPr="00DE5D68" w:rsidR="00170F35">
        <w:rPr>
          <w:rFonts w:cs="Arial"/>
        </w:rPr>
        <w:instrText>"</w:instrText>
      </w:r>
      <w:bookmarkStart w:name="_Toc329599165" w:id="73"/>
      <w:bookmarkStart w:name="_Toc405805320" w:id="74"/>
      <w:bookmarkStart w:name="_Toc493520575" w:id="75"/>
      <w:bookmarkStart w:name="_Toc78485967" w:id="76"/>
      <w:bookmarkStart w:name="_Toc190288026" w:id="77"/>
      <w:r w:rsidRPr="00DE5D68">
        <w:rPr>
          <w:rFonts w:cs="Arial"/>
        </w:rPr>
        <w:instrText>EXPECTED TIMETABLE</w:instrText>
      </w:r>
      <w:bookmarkEnd w:id="73"/>
      <w:bookmarkEnd w:id="74"/>
      <w:bookmarkEnd w:id="75"/>
      <w:bookmarkEnd w:id="76"/>
      <w:bookmarkEnd w:id="77"/>
      <w:r w:rsidRPr="00DE5D68" w:rsidR="00170F35">
        <w:rPr>
          <w:rFonts w:cs="Arial"/>
        </w:rPr>
        <w:instrText>"</w:instrText>
      </w:r>
      <w:r w:rsidRPr="00DE5D68">
        <w:rPr>
          <w:rFonts w:cs="Arial"/>
        </w:rPr>
        <w:instrText xml:space="preserve"> \f C \l </w:instrText>
      </w:r>
      <w:r w:rsidRPr="00DE5D68" w:rsidR="00170F35">
        <w:rPr>
          <w:rFonts w:cs="Arial"/>
        </w:rPr>
        <w:instrText>"</w:instrText>
      </w:r>
      <w:r w:rsidRPr="00DE5D68">
        <w:rPr>
          <w:rFonts w:cs="Arial"/>
        </w:rPr>
        <w:instrText>1</w:instrText>
      </w:r>
      <w:r w:rsidRPr="00DE5D68" w:rsidR="00170F35">
        <w:rPr>
          <w:rFonts w:cs="Arial"/>
        </w:rPr>
        <w:instrText>"</w:instrText>
      </w:r>
      <w:r w:rsidRPr="00DE5D68">
        <w:rPr>
          <w:rFonts w:cs="Arial"/>
        </w:rPr>
        <w:instrText xml:space="preserve"> </w:instrText>
      </w:r>
      <w:r w:rsidRPr="00DE5D68" w:rsidR="00003777">
        <w:rPr>
          <w:rFonts w:cs="Arial"/>
          <w:b/>
        </w:rPr>
        <w:fldChar w:fldCharType="end"/>
      </w:r>
    </w:p>
    <w:p w:rsidRPr="00DE5D68" w:rsidR="00675025" w:rsidP="00C27D12" w:rsidRDefault="00675025" w14:paraId="679BC631" w14:textId="77777777">
      <w:pPr>
        <w:rPr>
          <w:rFonts w:cs="Arial"/>
        </w:rPr>
      </w:pPr>
    </w:p>
    <w:p w:rsidRPr="00DE5D68" w:rsidR="004A3A54" w:rsidP="00C27D12" w:rsidRDefault="00775340" w14:paraId="21C58BA1" w14:textId="0FF6AC24">
      <w:pPr>
        <w:rPr>
          <w:rFonts w:cs="Arial"/>
          <w:b/>
        </w:rPr>
      </w:pPr>
      <w:r w:rsidRPr="00DE5D68">
        <w:rPr>
          <w:rFonts w:cs="Arial"/>
          <w:b/>
        </w:rPr>
        <w:t xml:space="preserve">Expected </w:t>
      </w:r>
      <w:r w:rsidR="00E64580">
        <w:rPr>
          <w:rFonts w:cs="Arial"/>
          <w:b/>
        </w:rPr>
        <w:t>Initial Placing</w:t>
      </w:r>
      <w:r w:rsidRPr="00DE5D68">
        <w:rPr>
          <w:rFonts w:cs="Arial"/>
          <w:b/>
        </w:rPr>
        <w:t xml:space="preserve"> Timetable</w:t>
      </w: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95"/>
        <w:gridCol w:w="236"/>
        <w:gridCol w:w="3591"/>
      </w:tblGrid>
      <w:tr w:rsidRPr="00DE5D68" w:rsidR="008E0DEF" w:rsidTr="001F2768" w14:paraId="0D0A2C2E" w14:textId="77777777">
        <w:tc>
          <w:tcPr>
            <w:tcW w:w="5495" w:type="dxa"/>
          </w:tcPr>
          <w:p w:rsidRPr="00DE5D68" w:rsidR="008E0DEF" w:rsidP="00C27D12" w:rsidRDefault="00EF5538" w14:paraId="3A108FC9" w14:textId="2EF1FADE">
            <w:pPr>
              <w:jc w:val="left"/>
              <w:rPr>
                <w:rFonts w:cs="Arial"/>
              </w:rPr>
            </w:pPr>
            <w:r>
              <w:rPr>
                <w:rFonts w:cs="Arial"/>
              </w:rPr>
              <w:t xml:space="preserve">Publication of this document </w:t>
            </w:r>
            <w:r w:rsidR="00301A97">
              <w:rPr>
                <w:rFonts w:cs="Arial"/>
              </w:rPr>
              <w:t>and announcement of the results of the Initial Placing</w:t>
            </w:r>
          </w:p>
        </w:tc>
        <w:tc>
          <w:tcPr>
            <w:tcW w:w="236" w:type="dxa"/>
          </w:tcPr>
          <w:p w:rsidRPr="00DE5D68" w:rsidR="008E0DEF" w:rsidP="00C27D12" w:rsidRDefault="008E0DEF" w14:paraId="2868D4DB" w14:textId="77777777">
            <w:pPr>
              <w:jc w:val="right"/>
              <w:rPr>
                <w:rFonts w:cs="Arial"/>
              </w:rPr>
            </w:pPr>
          </w:p>
        </w:tc>
        <w:tc>
          <w:tcPr>
            <w:tcW w:w="3591" w:type="dxa"/>
          </w:tcPr>
          <w:p w:rsidRPr="00DE5D68" w:rsidR="008E0DEF" w:rsidP="00C27D12" w:rsidRDefault="007D3786" w14:paraId="58BAB04C" w14:textId="6FB2B5E0">
            <w:pPr>
              <w:jc w:val="right"/>
              <w:rPr>
                <w:rFonts w:cs="Arial"/>
              </w:rPr>
            </w:pPr>
            <w:r>
              <w:rPr>
                <w:rFonts w:cs="Arial"/>
              </w:rPr>
              <w:t>20</w:t>
            </w:r>
            <w:r w:rsidRPr="00DE5D68" w:rsidR="008E0DEF">
              <w:rPr>
                <w:rFonts w:cs="Arial"/>
              </w:rPr>
              <w:t xml:space="preserve"> </w:t>
            </w:r>
            <w:r w:rsidR="004F0EF4">
              <w:rPr>
                <w:rFonts w:cs="Arial"/>
              </w:rPr>
              <w:t xml:space="preserve">February </w:t>
            </w:r>
            <w:r w:rsidR="004138DC">
              <w:rPr>
                <w:rFonts w:cs="Arial"/>
              </w:rPr>
              <w:t>202</w:t>
            </w:r>
            <w:r w:rsidR="00A848C6">
              <w:rPr>
                <w:rFonts w:cs="Arial"/>
              </w:rPr>
              <w:t>5</w:t>
            </w:r>
          </w:p>
        </w:tc>
      </w:tr>
      <w:tr w:rsidRPr="00DE5D68" w:rsidR="008E0DEF" w:rsidTr="001F2768" w14:paraId="1D1E6164" w14:textId="77777777">
        <w:tc>
          <w:tcPr>
            <w:tcW w:w="5495" w:type="dxa"/>
          </w:tcPr>
          <w:p w:rsidRPr="00DE5D68" w:rsidR="008E0DEF" w:rsidP="009E77E6" w:rsidRDefault="00246246" w14:paraId="5A4D88A5" w14:textId="4C801BC4">
            <w:pPr>
              <w:jc w:val="left"/>
              <w:rPr>
                <w:rFonts w:cs="Arial"/>
              </w:rPr>
            </w:pPr>
            <w:r>
              <w:rPr>
                <w:rFonts w:cs="Arial"/>
              </w:rPr>
              <w:t xml:space="preserve">Initial </w:t>
            </w:r>
            <w:r w:rsidRPr="00DE5D68" w:rsidR="008E0DEF">
              <w:rPr>
                <w:rFonts w:cs="Arial"/>
              </w:rPr>
              <w:t xml:space="preserve">Admission </w:t>
            </w:r>
            <w:r w:rsidRPr="00DE5D68" w:rsidR="00591C40">
              <w:rPr>
                <w:rFonts w:cs="Arial"/>
              </w:rPr>
              <w:t xml:space="preserve">and </w:t>
            </w:r>
            <w:r w:rsidRPr="00DE5D68" w:rsidR="008E0DEF">
              <w:rPr>
                <w:rFonts w:cs="Arial"/>
              </w:rPr>
              <w:t xml:space="preserve">dealings in the </w:t>
            </w:r>
            <w:r w:rsidRPr="00DE5D68" w:rsidR="007472EB">
              <w:rPr>
                <w:rFonts w:cs="Arial"/>
              </w:rPr>
              <w:t xml:space="preserve">Ordinary </w:t>
            </w:r>
            <w:r w:rsidRPr="00DE5D68" w:rsidR="008E0DEF">
              <w:rPr>
                <w:rFonts w:cs="Arial"/>
              </w:rPr>
              <w:t>Shares</w:t>
            </w:r>
            <w:r w:rsidRPr="00DE5D68" w:rsidR="00591C40">
              <w:rPr>
                <w:rFonts w:cs="Arial"/>
              </w:rPr>
              <w:t xml:space="preserve"> </w:t>
            </w:r>
            <w:r w:rsidRPr="00DE5D68" w:rsidR="00026DC5">
              <w:rPr>
                <w:rFonts w:cs="Arial"/>
              </w:rPr>
              <w:t>issued</w:t>
            </w:r>
            <w:r w:rsidRPr="00DE5D68" w:rsidR="00315295">
              <w:rPr>
                <w:rFonts w:cs="Arial"/>
              </w:rPr>
              <w:t xml:space="preserve"> pursuant to the </w:t>
            </w:r>
            <w:r w:rsidRPr="00DE5D68" w:rsidR="004741F4">
              <w:rPr>
                <w:rFonts w:cs="Arial"/>
              </w:rPr>
              <w:t xml:space="preserve">Initial </w:t>
            </w:r>
            <w:r w:rsidR="00A848C6">
              <w:rPr>
                <w:rFonts w:cs="Arial"/>
              </w:rPr>
              <w:t>Placing</w:t>
            </w:r>
            <w:r w:rsidRPr="00DE5D68" w:rsidR="00026DC5">
              <w:rPr>
                <w:rFonts w:cs="Arial"/>
              </w:rPr>
              <w:t xml:space="preserve"> </w:t>
            </w:r>
            <w:r w:rsidRPr="00DE5D68" w:rsidR="00170F35">
              <w:rPr>
                <w:rFonts w:cs="Arial"/>
              </w:rPr>
              <w:t>commence</w:t>
            </w:r>
          </w:p>
        </w:tc>
        <w:tc>
          <w:tcPr>
            <w:tcW w:w="236" w:type="dxa"/>
          </w:tcPr>
          <w:p w:rsidRPr="00DE5D68" w:rsidR="008E0DEF" w:rsidP="00C27D12" w:rsidRDefault="008E0DEF" w14:paraId="6B801B06" w14:textId="77777777">
            <w:pPr>
              <w:jc w:val="right"/>
              <w:rPr>
                <w:rFonts w:cs="Arial"/>
              </w:rPr>
            </w:pPr>
          </w:p>
        </w:tc>
        <w:tc>
          <w:tcPr>
            <w:tcW w:w="3591" w:type="dxa"/>
          </w:tcPr>
          <w:p w:rsidRPr="00DE5D68" w:rsidR="008E0DEF" w:rsidP="00C27D12" w:rsidRDefault="008E0DEF" w14:paraId="2C99A367" w14:textId="113198C7">
            <w:pPr>
              <w:jc w:val="right"/>
              <w:rPr>
                <w:rFonts w:cs="Arial"/>
              </w:rPr>
            </w:pPr>
            <w:r w:rsidRPr="00DE5D68">
              <w:rPr>
                <w:rFonts w:cs="Arial"/>
              </w:rPr>
              <w:t xml:space="preserve">8.00 a.m. on </w:t>
            </w:r>
            <w:r w:rsidR="0055680D">
              <w:rPr>
                <w:rFonts w:cs="Arial"/>
              </w:rPr>
              <w:t>2</w:t>
            </w:r>
            <w:r w:rsidR="007D3786">
              <w:rPr>
                <w:rFonts w:cs="Arial"/>
              </w:rPr>
              <w:t>5</w:t>
            </w:r>
            <w:r w:rsidRPr="00DE5D68" w:rsidR="004741F4">
              <w:rPr>
                <w:rFonts w:cs="Arial"/>
              </w:rPr>
              <w:t xml:space="preserve"> </w:t>
            </w:r>
            <w:r w:rsidR="004F0EF4">
              <w:rPr>
                <w:rFonts w:cs="Arial"/>
              </w:rPr>
              <w:t xml:space="preserve">February </w:t>
            </w:r>
            <w:r w:rsidR="004138DC">
              <w:rPr>
                <w:rFonts w:cs="Arial"/>
              </w:rPr>
              <w:t>202</w:t>
            </w:r>
            <w:r w:rsidR="00A848C6">
              <w:rPr>
                <w:rFonts w:cs="Arial"/>
              </w:rPr>
              <w:t>5</w:t>
            </w:r>
          </w:p>
        </w:tc>
      </w:tr>
      <w:tr w:rsidRPr="00DE5D68" w:rsidR="008E0DEF" w:rsidTr="001F2768" w14:paraId="5A3AF68E" w14:textId="77777777">
        <w:tc>
          <w:tcPr>
            <w:tcW w:w="5495" w:type="dxa"/>
          </w:tcPr>
          <w:p w:rsidRPr="00DE5D68" w:rsidR="008E0DEF" w:rsidP="009E77E6" w:rsidRDefault="008E0DEF" w14:paraId="318AEAEF" w14:textId="503B291D">
            <w:pPr>
              <w:jc w:val="left"/>
              <w:rPr>
                <w:rFonts w:cs="Arial"/>
              </w:rPr>
            </w:pPr>
            <w:r w:rsidRPr="00DE5D68">
              <w:rPr>
                <w:rFonts w:cs="Arial"/>
              </w:rPr>
              <w:t xml:space="preserve">Crediting of CREST stock accounts in respect of the </w:t>
            </w:r>
            <w:r w:rsidRPr="00DE5D68" w:rsidR="007472EB">
              <w:rPr>
                <w:rFonts w:cs="Arial"/>
              </w:rPr>
              <w:t xml:space="preserve">Ordinary </w:t>
            </w:r>
            <w:r w:rsidRPr="00DE5D68">
              <w:rPr>
                <w:rFonts w:cs="Arial"/>
              </w:rPr>
              <w:t>Shares</w:t>
            </w:r>
            <w:r w:rsidRPr="00DE5D68" w:rsidR="00315295">
              <w:rPr>
                <w:rFonts w:cs="Arial"/>
              </w:rPr>
              <w:t xml:space="preserve"> issued pursuant to the</w:t>
            </w:r>
            <w:r w:rsidRPr="00DE5D68" w:rsidR="004741F4">
              <w:rPr>
                <w:rFonts w:cs="Arial"/>
              </w:rPr>
              <w:t xml:space="preserve"> Initial</w:t>
            </w:r>
            <w:r w:rsidR="00B97B41">
              <w:rPr>
                <w:rFonts w:cs="Arial"/>
              </w:rPr>
              <w:t xml:space="preserve"> </w:t>
            </w:r>
            <w:r w:rsidR="00A848C6">
              <w:rPr>
                <w:rFonts w:cs="Arial"/>
              </w:rPr>
              <w:t>Placing</w:t>
            </w:r>
          </w:p>
        </w:tc>
        <w:tc>
          <w:tcPr>
            <w:tcW w:w="236" w:type="dxa"/>
          </w:tcPr>
          <w:p w:rsidRPr="00DE5D68" w:rsidR="008E0DEF" w:rsidP="00C27D12" w:rsidRDefault="008E0DEF" w14:paraId="39638FBE" w14:textId="77777777">
            <w:pPr>
              <w:jc w:val="right"/>
              <w:rPr>
                <w:rFonts w:cs="Arial"/>
              </w:rPr>
            </w:pPr>
          </w:p>
        </w:tc>
        <w:tc>
          <w:tcPr>
            <w:tcW w:w="3591" w:type="dxa"/>
          </w:tcPr>
          <w:p w:rsidRPr="00DE5D68" w:rsidR="008E0DEF" w:rsidP="00F04594" w:rsidRDefault="00F04594" w14:paraId="3B8E395A" w14:textId="4D9FEA74">
            <w:pPr>
              <w:jc w:val="right"/>
              <w:rPr>
                <w:rFonts w:cs="Arial"/>
              </w:rPr>
            </w:pPr>
            <w:r>
              <w:rPr>
                <w:rFonts w:cs="Arial"/>
              </w:rPr>
              <w:t xml:space="preserve">as soon as reasonably practicable on </w:t>
            </w:r>
            <w:r w:rsidR="0055680D">
              <w:rPr>
                <w:rFonts w:cs="Arial"/>
              </w:rPr>
              <w:t>2</w:t>
            </w:r>
            <w:r w:rsidR="007D3786">
              <w:rPr>
                <w:rFonts w:cs="Arial"/>
              </w:rPr>
              <w:t>5</w:t>
            </w:r>
            <w:r w:rsidRPr="00DE5D68" w:rsidR="008E0DEF">
              <w:rPr>
                <w:rFonts w:cs="Arial"/>
              </w:rPr>
              <w:t xml:space="preserve"> </w:t>
            </w:r>
            <w:r w:rsidR="004F0EF4">
              <w:rPr>
                <w:rFonts w:cs="Arial"/>
              </w:rPr>
              <w:t xml:space="preserve">February </w:t>
            </w:r>
            <w:r w:rsidR="004138DC">
              <w:rPr>
                <w:rFonts w:cs="Arial"/>
              </w:rPr>
              <w:t>202</w:t>
            </w:r>
            <w:r w:rsidR="00A848C6">
              <w:rPr>
                <w:rFonts w:cs="Arial"/>
              </w:rPr>
              <w:t>5</w:t>
            </w:r>
          </w:p>
        </w:tc>
      </w:tr>
      <w:tr w:rsidRPr="00DE5D68" w:rsidR="008E0DEF" w:rsidTr="001F2768" w14:paraId="59E1493A" w14:textId="77777777">
        <w:tc>
          <w:tcPr>
            <w:tcW w:w="5495" w:type="dxa"/>
          </w:tcPr>
          <w:p w:rsidRPr="00DE5D68" w:rsidR="008E0DEF" w:rsidP="00C27D12" w:rsidRDefault="00315295" w14:paraId="23117CA8" w14:textId="6C0F9ABE">
            <w:pPr>
              <w:jc w:val="left"/>
              <w:rPr>
                <w:rFonts w:cs="Arial"/>
              </w:rPr>
            </w:pPr>
            <w:r w:rsidRPr="00DE5D68">
              <w:rPr>
                <w:rFonts w:cs="Arial"/>
              </w:rPr>
              <w:t>Where applicable, definitive s</w:t>
            </w:r>
            <w:r w:rsidRPr="00DE5D68" w:rsidR="008E0DEF">
              <w:rPr>
                <w:rFonts w:cs="Arial"/>
              </w:rPr>
              <w:t xml:space="preserve">hare certificates despatched in respect of the </w:t>
            </w:r>
            <w:r w:rsidRPr="00DE5D68" w:rsidR="007472EB">
              <w:rPr>
                <w:rFonts w:cs="Arial"/>
              </w:rPr>
              <w:t xml:space="preserve">Ordinary </w:t>
            </w:r>
            <w:r w:rsidRPr="00DE5D68" w:rsidR="008E0DEF">
              <w:rPr>
                <w:rFonts w:cs="Arial"/>
              </w:rPr>
              <w:t>Shares</w:t>
            </w:r>
          </w:p>
        </w:tc>
        <w:tc>
          <w:tcPr>
            <w:tcW w:w="236" w:type="dxa"/>
          </w:tcPr>
          <w:p w:rsidRPr="00DE5D68" w:rsidR="008E0DEF" w:rsidP="00C27D12" w:rsidRDefault="008E0DEF" w14:paraId="70E7EF0D" w14:textId="77777777">
            <w:pPr>
              <w:jc w:val="right"/>
              <w:rPr>
                <w:rFonts w:cs="Arial"/>
              </w:rPr>
            </w:pPr>
          </w:p>
        </w:tc>
        <w:tc>
          <w:tcPr>
            <w:tcW w:w="3591" w:type="dxa"/>
          </w:tcPr>
          <w:p w:rsidRPr="00DE5D68" w:rsidR="008E0DEF" w:rsidP="00F04594" w:rsidRDefault="00F04594" w14:paraId="0CCAC481" w14:textId="31BF0A44">
            <w:pPr>
              <w:jc w:val="right"/>
              <w:rPr>
                <w:rFonts w:cs="Arial"/>
              </w:rPr>
            </w:pPr>
            <w:r>
              <w:rPr>
                <w:rFonts w:cs="Arial"/>
              </w:rPr>
              <w:t xml:space="preserve">within 10 Business Days of </w:t>
            </w:r>
            <w:r w:rsidR="00246246">
              <w:rPr>
                <w:rFonts w:cs="Arial"/>
              </w:rPr>
              <w:t xml:space="preserve">Initial </w:t>
            </w:r>
            <w:r>
              <w:rPr>
                <w:rFonts w:cs="Arial"/>
              </w:rPr>
              <w:t>Admission</w:t>
            </w:r>
          </w:p>
        </w:tc>
      </w:tr>
    </w:tbl>
    <w:p w:rsidRPr="00DE5D68" w:rsidR="00775340" w:rsidP="00C27D12" w:rsidRDefault="00775340" w14:paraId="32C31109" w14:textId="481E9FB8">
      <w:pPr>
        <w:rPr>
          <w:rFonts w:cs="Arial"/>
          <w:sz w:val="16"/>
          <w:szCs w:val="16"/>
        </w:rPr>
      </w:pPr>
    </w:p>
    <w:p w:rsidRPr="00DE5D68" w:rsidR="004741F4" w:rsidP="00C27D12" w:rsidRDefault="004741F4" w14:paraId="2983DDED" w14:textId="05368ECA">
      <w:pPr>
        <w:rPr>
          <w:rFonts w:cs="Arial"/>
          <w:b/>
        </w:rPr>
      </w:pPr>
      <w:r w:rsidRPr="00DE5D68">
        <w:rPr>
          <w:rFonts w:cs="Arial"/>
          <w:b/>
        </w:rPr>
        <w:t>Expected Placing Programme Timetable</w:t>
      </w: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95"/>
        <w:gridCol w:w="236"/>
        <w:gridCol w:w="3591"/>
      </w:tblGrid>
      <w:tr w:rsidRPr="00DE5D68" w:rsidR="004741F4" w:rsidTr="004741F4" w14:paraId="429D8C35" w14:textId="77777777">
        <w:trPr>
          <w:trHeight w:val="516"/>
        </w:trPr>
        <w:tc>
          <w:tcPr>
            <w:tcW w:w="5495" w:type="dxa"/>
          </w:tcPr>
          <w:p w:rsidRPr="00DE5D68" w:rsidR="004741F4" w:rsidP="00C27D12" w:rsidRDefault="004741F4" w14:paraId="42E5A61D" w14:textId="40239EA8">
            <w:pPr>
              <w:jc w:val="left"/>
              <w:rPr>
                <w:rFonts w:cs="Arial"/>
              </w:rPr>
            </w:pPr>
            <w:r w:rsidRPr="00DE5D68">
              <w:rPr>
                <w:rFonts w:cs="Arial"/>
              </w:rPr>
              <w:t xml:space="preserve">Placing Programme opens </w:t>
            </w:r>
          </w:p>
        </w:tc>
        <w:tc>
          <w:tcPr>
            <w:tcW w:w="236" w:type="dxa"/>
          </w:tcPr>
          <w:p w:rsidRPr="00DE5D68" w:rsidR="004741F4" w:rsidP="00C27D12" w:rsidRDefault="004741F4" w14:paraId="7F227847" w14:textId="77777777">
            <w:pPr>
              <w:jc w:val="right"/>
              <w:rPr>
                <w:rFonts w:cs="Arial"/>
              </w:rPr>
            </w:pPr>
          </w:p>
        </w:tc>
        <w:tc>
          <w:tcPr>
            <w:tcW w:w="3591" w:type="dxa"/>
          </w:tcPr>
          <w:p w:rsidRPr="00DE5D68" w:rsidR="004741F4" w:rsidP="00C27D12" w:rsidRDefault="00301A97" w14:paraId="686D4283" w14:textId="0CFB186F">
            <w:pPr>
              <w:jc w:val="right"/>
              <w:rPr>
                <w:rFonts w:cs="Arial"/>
              </w:rPr>
            </w:pPr>
            <w:r>
              <w:rPr>
                <w:rFonts w:cs="Arial"/>
              </w:rPr>
              <w:t>2</w:t>
            </w:r>
            <w:r w:rsidR="007D3786">
              <w:rPr>
                <w:rFonts w:cs="Arial"/>
              </w:rPr>
              <w:t>6</w:t>
            </w:r>
            <w:r w:rsidRPr="00DE5D68" w:rsidR="004741F4">
              <w:rPr>
                <w:rFonts w:cs="Arial"/>
              </w:rPr>
              <w:t xml:space="preserve"> </w:t>
            </w:r>
            <w:r w:rsidR="004F0EF4">
              <w:rPr>
                <w:rFonts w:cs="Arial"/>
              </w:rPr>
              <w:t xml:space="preserve">February </w:t>
            </w:r>
            <w:r w:rsidR="004138DC">
              <w:rPr>
                <w:rFonts w:cs="Arial"/>
              </w:rPr>
              <w:t>202</w:t>
            </w:r>
            <w:r w:rsidR="00A848C6">
              <w:rPr>
                <w:rFonts w:cs="Arial"/>
              </w:rPr>
              <w:t>5</w:t>
            </w:r>
          </w:p>
        </w:tc>
      </w:tr>
      <w:tr w:rsidRPr="00DE5D68" w:rsidR="004741F4" w:rsidTr="004741F4" w14:paraId="70E02FAD" w14:textId="77777777">
        <w:tc>
          <w:tcPr>
            <w:tcW w:w="5495" w:type="dxa"/>
          </w:tcPr>
          <w:p w:rsidRPr="00DE5D68" w:rsidR="004741F4" w:rsidP="00C27D12" w:rsidRDefault="004741F4" w14:paraId="3118A752" w14:textId="536E6613">
            <w:pPr>
              <w:jc w:val="left"/>
              <w:rPr>
                <w:rFonts w:cs="Arial"/>
              </w:rPr>
            </w:pPr>
            <w:r w:rsidRPr="00DE5D68">
              <w:rPr>
                <w:rFonts w:cs="Arial"/>
              </w:rPr>
              <w:t xml:space="preserve">Announcement of the results of each Subsequent Placing </w:t>
            </w:r>
          </w:p>
        </w:tc>
        <w:tc>
          <w:tcPr>
            <w:tcW w:w="236" w:type="dxa"/>
          </w:tcPr>
          <w:p w:rsidRPr="00DE5D68" w:rsidR="004741F4" w:rsidP="00C27D12" w:rsidRDefault="004741F4" w14:paraId="19D7B501" w14:textId="77777777">
            <w:pPr>
              <w:jc w:val="right"/>
              <w:rPr>
                <w:rFonts w:cs="Arial"/>
              </w:rPr>
            </w:pPr>
          </w:p>
        </w:tc>
        <w:tc>
          <w:tcPr>
            <w:tcW w:w="3591" w:type="dxa"/>
          </w:tcPr>
          <w:p w:rsidRPr="00DE5D68" w:rsidR="004741F4" w:rsidP="00C27D12" w:rsidRDefault="004741F4" w14:paraId="0347B465" w14:textId="015E0DA1">
            <w:pPr>
              <w:jc w:val="right"/>
              <w:rPr>
                <w:rFonts w:cs="Arial"/>
              </w:rPr>
            </w:pPr>
            <w:r w:rsidRPr="00DE5D68">
              <w:rPr>
                <w:rFonts w:cs="Arial"/>
                <w:szCs w:val="20"/>
              </w:rPr>
              <w:t>as soon as practicable after the closing of each Subsequent Placing pursuant to the Placing Programme</w:t>
            </w:r>
          </w:p>
        </w:tc>
      </w:tr>
      <w:tr w:rsidRPr="00DE5D68" w:rsidR="004741F4" w:rsidTr="004741F4" w14:paraId="6E6CB777" w14:textId="77777777">
        <w:tc>
          <w:tcPr>
            <w:tcW w:w="5495" w:type="dxa"/>
          </w:tcPr>
          <w:p w:rsidRPr="00DE5D68" w:rsidR="004741F4" w:rsidP="00C27D12" w:rsidRDefault="009E27D4" w14:paraId="6391E766" w14:textId="3760FA46">
            <w:pPr>
              <w:jc w:val="left"/>
              <w:rPr>
                <w:rFonts w:cs="Arial"/>
              </w:rPr>
            </w:pPr>
            <w:r w:rsidRPr="00DE5D68">
              <w:rPr>
                <w:rFonts w:cs="Arial"/>
              </w:rPr>
              <w:t>Admission and crediting of CREST stock accounts in respect of each Subsequent Placing</w:t>
            </w:r>
          </w:p>
        </w:tc>
        <w:tc>
          <w:tcPr>
            <w:tcW w:w="236" w:type="dxa"/>
          </w:tcPr>
          <w:p w:rsidRPr="00DE5D68" w:rsidR="004741F4" w:rsidP="00C27D12" w:rsidRDefault="004741F4" w14:paraId="6F672605" w14:textId="77777777">
            <w:pPr>
              <w:jc w:val="right"/>
              <w:rPr>
                <w:rFonts w:cs="Arial"/>
              </w:rPr>
            </w:pPr>
          </w:p>
        </w:tc>
        <w:tc>
          <w:tcPr>
            <w:tcW w:w="3591" w:type="dxa"/>
          </w:tcPr>
          <w:p w:rsidRPr="00DE5D68" w:rsidR="004741F4" w:rsidP="00C27D12" w:rsidRDefault="009E27D4" w14:paraId="632A7238" w14:textId="781FA9B8">
            <w:pPr>
              <w:jc w:val="right"/>
              <w:rPr>
                <w:rFonts w:cs="Arial"/>
                <w:szCs w:val="20"/>
              </w:rPr>
            </w:pPr>
            <w:r w:rsidRPr="00DE5D68">
              <w:rPr>
                <w:rFonts w:cs="Arial"/>
                <w:szCs w:val="20"/>
              </w:rPr>
              <w:t>as soon as practicable after the closing of each Subsequent Placing pursuant to the Placing Programme</w:t>
            </w:r>
          </w:p>
        </w:tc>
      </w:tr>
      <w:tr w:rsidRPr="00DE5D68" w:rsidR="004741F4" w:rsidTr="004741F4" w14:paraId="28CCF921" w14:textId="77777777">
        <w:tc>
          <w:tcPr>
            <w:tcW w:w="5495" w:type="dxa"/>
          </w:tcPr>
          <w:p w:rsidRPr="00DE5D68" w:rsidR="004741F4" w:rsidP="00C27D12" w:rsidRDefault="009E27D4" w14:paraId="5BC74A5D" w14:textId="61A69A91">
            <w:pPr>
              <w:jc w:val="left"/>
              <w:rPr>
                <w:rFonts w:cs="Arial"/>
              </w:rPr>
            </w:pPr>
            <w:r w:rsidRPr="00DE5D68">
              <w:rPr>
                <w:rFonts w:cs="Arial"/>
              </w:rPr>
              <w:t>Share certificates d</w:t>
            </w:r>
            <w:r w:rsidRPr="00DE5D68" w:rsidR="000B5E3C">
              <w:rPr>
                <w:rFonts w:cs="Arial"/>
              </w:rPr>
              <w:t xml:space="preserve">espatched in respect of </w:t>
            </w:r>
            <w:r w:rsidR="004138DC">
              <w:rPr>
                <w:rFonts w:cs="Arial"/>
              </w:rPr>
              <w:t xml:space="preserve">Ordinary </w:t>
            </w:r>
            <w:r w:rsidRPr="00DE5D68">
              <w:rPr>
                <w:rFonts w:cs="Arial"/>
              </w:rPr>
              <w:t>Shares issued pursuant to each Subsequent Placing (if applicable)</w:t>
            </w:r>
          </w:p>
        </w:tc>
        <w:tc>
          <w:tcPr>
            <w:tcW w:w="236" w:type="dxa"/>
          </w:tcPr>
          <w:p w:rsidRPr="00DE5D68" w:rsidR="004741F4" w:rsidP="00C27D12" w:rsidRDefault="004741F4" w14:paraId="077CAEA0" w14:textId="77777777">
            <w:pPr>
              <w:jc w:val="right"/>
              <w:rPr>
                <w:rFonts w:cs="Arial"/>
              </w:rPr>
            </w:pPr>
          </w:p>
        </w:tc>
        <w:tc>
          <w:tcPr>
            <w:tcW w:w="3591" w:type="dxa"/>
          </w:tcPr>
          <w:p w:rsidRPr="00DE5D68" w:rsidR="004741F4" w:rsidP="00F04594" w:rsidRDefault="00F04594" w14:paraId="5543E59F" w14:textId="3E9831B2">
            <w:pPr>
              <w:jc w:val="right"/>
              <w:rPr>
                <w:rFonts w:cs="Arial"/>
              </w:rPr>
            </w:pPr>
            <w:r>
              <w:rPr>
                <w:rFonts w:cs="Arial"/>
              </w:rPr>
              <w:t xml:space="preserve">within 10 Business Days of </w:t>
            </w:r>
            <w:r w:rsidRPr="00DE5D68" w:rsidR="009E27D4">
              <w:rPr>
                <w:rFonts w:cs="Arial"/>
              </w:rPr>
              <w:t>the Admissio</w:t>
            </w:r>
            <w:r w:rsidRPr="00DE5D68" w:rsidR="000B5E3C">
              <w:rPr>
                <w:rFonts w:cs="Arial"/>
              </w:rPr>
              <w:t xml:space="preserve">n of </w:t>
            </w:r>
            <w:r w:rsidRPr="00DE5D68" w:rsidR="009E27D4">
              <w:rPr>
                <w:rFonts w:cs="Arial"/>
              </w:rPr>
              <w:t>Shares pursuant to a Subsequent Placing</w:t>
            </w:r>
          </w:p>
        </w:tc>
      </w:tr>
      <w:tr w:rsidRPr="00DE5D68" w:rsidR="004741F4" w:rsidTr="004741F4" w14:paraId="17CFD10D" w14:textId="77777777">
        <w:tc>
          <w:tcPr>
            <w:tcW w:w="5495" w:type="dxa"/>
          </w:tcPr>
          <w:p w:rsidRPr="00DE5D68" w:rsidR="004741F4" w:rsidP="00C27D12" w:rsidRDefault="009E27D4" w14:paraId="5A7E1DD6" w14:textId="2657993E">
            <w:pPr>
              <w:jc w:val="left"/>
              <w:rPr>
                <w:rFonts w:cs="Arial"/>
              </w:rPr>
            </w:pPr>
            <w:r w:rsidRPr="00DE5D68">
              <w:rPr>
                <w:rFonts w:cs="Arial"/>
              </w:rPr>
              <w:t>Placing Programme cl</w:t>
            </w:r>
            <w:r w:rsidRPr="00DE5D68" w:rsidR="000B5E3C">
              <w:rPr>
                <w:rFonts w:cs="Arial"/>
              </w:rPr>
              <w:t xml:space="preserve">oses and last date for </w:t>
            </w:r>
            <w:r w:rsidR="004138DC">
              <w:rPr>
                <w:rFonts w:cs="Arial"/>
              </w:rPr>
              <w:t xml:space="preserve">Ordinary </w:t>
            </w:r>
            <w:r w:rsidRPr="00DE5D68">
              <w:rPr>
                <w:rFonts w:cs="Arial"/>
              </w:rPr>
              <w:t>Share</w:t>
            </w:r>
            <w:r w:rsidRPr="00DE5D68" w:rsidR="00A34599">
              <w:rPr>
                <w:rFonts w:cs="Arial"/>
              </w:rPr>
              <w:t xml:space="preserve">s to be issued pursuant to the </w:t>
            </w:r>
            <w:r w:rsidRPr="00DE5D68">
              <w:rPr>
                <w:rFonts w:cs="Arial"/>
              </w:rPr>
              <w:t xml:space="preserve">Placing Programme </w:t>
            </w:r>
          </w:p>
        </w:tc>
        <w:tc>
          <w:tcPr>
            <w:tcW w:w="236" w:type="dxa"/>
          </w:tcPr>
          <w:p w:rsidRPr="00DE5D68" w:rsidR="004741F4" w:rsidP="00C27D12" w:rsidRDefault="004741F4" w14:paraId="334B7315" w14:textId="77777777">
            <w:pPr>
              <w:jc w:val="right"/>
              <w:rPr>
                <w:rFonts w:cs="Arial"/>
              </w:rPr>
            </w:pPr>
          </w:p>
        </w:tc>
        <w:tc>
          <w:tcPr>
            <w:tcW w:w="3591" w:type="dxa"/>
          </w:tcPr>
          <w:p w:rsidRPr="00DE5D68" w:rsidR="004741F4" w:rsidP="00C27D12" w:rsidRDefault="004741F4" w14:paraId="708ACC62" w14:textId="48A5AAC6">
            <w:pPr>
              <w:jc w:val="right"/>
              <w:rPr>
                <w:rFonts w:cs="Arial"/>
              </w:rPr>
            </w:pPr>
            <w:r w:rsidRPr="00DE5D68">
              <w:rPr>
                <w:rFonts w:cs="Arial"/>
              </w:rPr>
              <w:t xml:space="preserve"> </w:t>
            </w:r>
            <w:r w:rsidR="00301A97">
              <w:rPr>
                <w:rFonts w:cs="Arial"/>
              </w:rPr>
              <w:t>1</w:t>
            </w:r>
            <w:r w:rsidR="007D3786">
              <w:rPr>
                <w:rFonts w:cs="Arial"/>
              </w:rPr>
              <w:t>9</w:t>
            </w:r>
            <w:r w:rsidRPr="00DE5D68">
              <w:rPr>
                <w:rFonts w:cs="Arial"/>
              </w:rPr>
              <w:t xml:space="preserve"> </w:t>
            </w:r>
            <w:r w:rsidR="004F0EF4">
              <w:rPr>
                <w:rFonts w:cs="Arial"/>
              </w:rPr>
              <w:t xml:space="preserve">February </w:t>
            </w:r>
            <w:r w:rsidRPr="00DE5D68">
              <w:rPr>
                <w:rFonts w:cs="Arial"/>
              </w:rPr>
              <w:t>20</w:t>
            </w:r>
            <w:r w:rsidR="000C761B">
              <w:rPr>
                <w:rFonts w:cs="Arial"/>
              </w:rPr>
              <w:t>2</w:t>
            </w:r>
            <w:r w:rsidR="00A848C6">
              <w:rPr>
                <w:rFonts w:cs="Arial"/>
              </w:rPr>
              <w:t>6</w:t>
            </w:r>
          </w:p>
        </w:tc>
      </w:tr>
    </w:tbl>
    <w:p w:rsidRPr="00DE5D68" w:rsidR="00F00D7C" w:rsidP="00C27D12" w:rsidRDefault="004D3ACA" w14:paraId="00714D61" w14:textId="2829B801">
      <w:pPr>
        <w:rPr>
          <w:rFonts w:cs="Arial"/>
          <w:i/>
          <w:sz w:val="16"/>
          <w:szCs w:val="16"/>
        </w:rPr>
      </w:pPr>
      <w:r w:rsidRPr="00DE5D68">
        <w:rPr>
          <w:rFonts w:cs="Arial"/>
          <w:i/>
          <w:sz w:val="16"/>
          <w:szCs w:val="16"/>
        </w:rPr>
        <w:t xml:space="preserve">The dates and times specified are subject to change </w:t>
      </w:r>
      <w:r w:rsidRPr="00DE5D68" w:rsidR="00291017">
        <w:rPr>
          <w:rFonts w:cs="Arial"/>
          <w:i/>
          <w:sz w:val="16"/>
          <w:szCs w:val="16"/>
        </w:rPr>
        <w:t xml:space="preserve">subject to agreement between the Company and </w:t>
      </w:r>
      <w:r w:rsidR="004138DC">
        <w:rPr>
          <w:rFonts w:cs="Arial"/>
          <w:i/>
          <w:sz w:val="16"/>
          <w:szCs w:val="16"/>
        </w:rPr>
        <w:t>Singer Capital Markets</w:t>
      </w:r>
      <w:r w:rsidRPr="00DE5D68" w:rsidR="000437B5">
        <w:rPr>
          <w:rFonts w:cs="Arial"/>
          <w:i/>
          <w:sz w:val="16"/>
          <w:szCs w:val="16"/>
        </w:rPr>
        <w:t>.</w:t>
      </w:r>
      <w:r w:rsidRPr="00DE5D68" w:rsidR="005636F8">
        <w:rPr>
          <w:rFonts w:cs="Arial"/>
          <w:i/>
          <w:sz w:val="16"/>
          <w:szCs w:val="16"/>
        </w:rPr>
        <w:t xml:space="preserve"> </w:t>
      </w:r>
      <w:r w:rsidRPr="00DE5D68">
        <w:rPr>
          <w:rFonts w:cs="Arial"/>
          <w:i/>
          <w:sz w:val="16"/>
          <w:szCs w:val="16"/>
        </w:rPr>
        <w:t>All references to times in this document are to London</w:t>
      </w:r>
      <w:r w:rsidRPr="00DE5D68" w:rsidR="00FD12FB">
        <w:rPr>
          <w:rFonts w:cs="Arial"/>
          <w:i/>
          <w:sz w:val="16"/>
          <w:szCs w:val="16"/>
        </w:rPr>
        <w:t xml:space="preserve"> time unless otherwise stated. </w:t>
      </w:r>
      <w:r w:rsidRPr="00DE5D68" w:rsidR="00F00D7C">
        <w:rPr>
          <w:rFonts w:cs="Arial"/>
          <w:i/>
          <w:sz w:val="16"/>
          <w:szCs w:val="16"/>
        </w:rPr>
        <w:t xml:space="preserve">Any changes to the expected timetable will be notified by the Company via a Regulatory Information Service. </w:t>
      </w:r>
    </w:p>
    <w:p w:rsidR="00F32BF2" w:rsidRDefault="00F32BF2" w14:paraId="73B3357E" w14:textId="77777777">
      <w:pPr>
        <w:spacing w:after="0"/>
        <w:jc w:val="left"/>
        <w:rPr>
          <w:rFonts w:cs="Arial"/>
          <w:b/>
        </w:rPr>
      </w:pPr>
      <w:r>
        <w:rPr>
          <w:rFonts w:cs="Arial"/>
          <w:b/>
        </w:rPr>
        <w:br w:type="page"/>
      </w:r>
    </w:p>
    <w:p w:rsidRPr="00DE5D68" w:rsidR="004D3ACA" w:rsidP="00C27D12" w:rsidRDefault="0022430A" w14:paraId="3A07B4F5" w14:textId="37488215">
      <w:pPr>
        <w:jc w:val="center"/>
        <w:rPr>
          <w:rFonts w:cs="Arial"/>
          <w:b/>
        </w:rPr>
      </w:pPr>
      <w:r w:rsidRPr="00DE5D68">
        <w:rPr>
          <w:rFonts w:cs="Arial"/>
          <w:b/>
        </w:rPr>
        <w:lastRenderedPageBreak/>
        <w:t xml:space="preserve">INITIAL </w:t>
      </w:r>
      <w:r w:rsidR="00A848C6">
        <w:rPr>
          <w:rFonts w:cs="Arial"/>
          <w:b/>
        </w:rPr>
        <w:t>PLACING</w:t>
      </w:r>
      <w:r w:rsidRPr="00DE5D68">
        <w:rPr>
          <w:rFonts w:cs="Arial"/>
          <w:b/>
        </w:rPr>
        <w:t xml:space="preserve"> AND PLACING PROGRAMME </w:t>
      </w:r>
      <w:r w:rsidRPr="00DE5D68" w:rsidR="004D3ACA">
        <w:rPr>
          <w:rFonts w:cs="Arial"/>
          <w:b/>
        </w:rPr>
        <w:t>STATISTICS</w:t>
      </w:r>
      <w:r w:rsidRPr="00DE5D68" w:rsidR="00003777">
        <w:rPr>
          <w:rFonts w:cs="Arial"/>
          <w:b/>
        </w:rPr>
        <w:fldChar w:fldCharType="begin"/>
      </w:r>
      <w:r w:rsidRPr="00DE5D68" w:rsidR="004D3ACA">
        <w:rPr>
          <w:rFonts w:cs="Arial"/>
        </w:rPr>
        <w:instrText xml:space="preserve"> TC </w:instrText>
      </w:r>
      <w:r w:rsidRPr="00DE5D68" w:rsidR="00170F35">
        <w:rPr>
          <w:rFonts w:cs="Arial"/>
        </w:rPr>
        <w:instrText>"</w:instrText>
      </w:r>
      <w:bookmarkStart w:name="_Toc329599166" w:id="78"/>
      <w:bookmarkStart w:name="_Toc405805321" w:id="79"/>
      <w:bookmarkStart w:name="_Toc493520576" w:id="80"/>
      <w:bookmarkStart w:name="_Toc78485968" w:id="81"/>
      <w:bookmarkStart w:name="_Toc190288027" w:id="82"/>
      <w:r w:rsidRPr="00DE5D68" w:rsidR="009F4122">
        <w:rPr>
          <w:rFonts w:cs="Arial"/>
        </w:rPr>
        <w:instrText>I</w:instrText>
      </w:r>
      <w:r w:rsidRPr="00DE5D68" w:rsidR="004D3ACA">
        <w:rPr>
          <w:rFonts w:cs="Arial"/>
        </w:rPr>
        <w:instrText>SSUE STATISTICS</w:instrText>
      </w:r>
      <w:bookmarkEnd w:id="78"/>
      <w:bookmarkEnd w:id="79"/>
      <w:bookmarkEnd w:id="80"/>
      <w:bookmarkEnd w:id="81"/>
      <w:bookmarkEnd w:id="82"/>
      <w:r w:rsidRPr="00DE5D68" w:rsidR="00170F35">
        <w:rPr>
          <w:rFonts w:cs="Arial"/>
        </w:rPr>
        <w:instrText>"</w:instrText>
      </w:r>
      <w:r w:rsidRPr="00DE5D68" w:rsidR="004D3ACA">
        <w:rPr>
          <w:rFonts w:cs="Arial"/>
        </w:rPr>
        <w:instrText xml:space="preserve"> \f C \l </w:instrText>
      </w:r>
      <w:r w:rsidRPr="00DE5D68" w:rsidR="00170F35">
        <w:rPr>
          <w:rFonts w:cs="Arial"/>
        </w:rPr>
        <w:instrText>"</w:instrText>
      </w:r>
      <w:r w:rsidRPr="00DE5D68" w:rsidR="004D3ACA">
        <w:rPr>
          <w:rFonts w:cs="Arial"/>
        </w:rPr>
        <w:instrText>1</w:instrText>
      </w:r>
      <w:r w:rsidRPr="00DE5D68" w:rsidR="00170F35">
        <w:rPr>
          <w:rFonts w:cs="Arial"/>
        </w:rPr>
        <w:instrText>"</w:instrText>
      </w:r>
      <w:r w:rsidRPr="00DE5D68" w:rsidR="004D3ACA">
        <w:rPr>
          <w:rFonts w:cs="Arial"/>
        </w:rPr>
        <w:instrText xml:space="preserve"> </w:instrText>
      </w:r>
      <w:r w:rsidRPr="00DE5D68" w:rsidR="00003777">
        <w:rPr>
          <w:rFonts w:cs="Arial"/>
          <w:b/>
        </w:rPr>
        <w:fldChar w:fldCharType="end"/>
      </w:r>
    </w:p>
    <w:p w:rsidRPr="00DE5D68" w:rsidR="00675025" w:rsidP="00C27D12" w:rsidRDefault="00675025" w14:paraId="3DA55555" w14:textId="77777777">
      <w:pPr>
        <w:jc w:val="center"/>
        <w:rPr>
          <w:rFonts w:cs="Arial"/>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67"/>
        <w:gridCol w:w="3087"/>
      </w:tblGrid>
      <w:tr w:rsidRPr="00DE5D68" w:rsidR="004D3ACA" w:rsidTr="0022430A" w14:paraId="57AE202B" w14:textId="77777777">
        <w:trPr>
          <w:trHeight w:val="375"/>
        </w:trPr>
        <w:tc>
          <w:tcPr>
            <w:tcW w:w="6267" w:type="dxa"/>
          </w:tcPr>
          <w:p w:rsidRPr="00DE5D68" w:rsidR="004D3ACA" w:rsidP="00C27D12" w:rsidRDefault="0022430A" w14:paraId="634B1677" w14:textId="19108738">
            <w:pPr>
              <w:rPr>
                <w:rFonts w:cs="Arial"/>
              </w:rPr>
            </w:pPr>
            <w:r w:rsidRPr="00DE5D68">
              <w:rPr>
                <w:rFonts w:cs="Arial"/>
                <w:b/>
              </w:rPr>
              <w:t xml:space="preserve">Initial </w:t>
            </w:r>
            <w:r w:rsidR="00A848C6">
              <w:rPr>
                <w:rFonts w:cs="Arial"/>
                <w:b/>
              </w:rPr>
              <w:t>Placing</w:t>
            </w:r>
            <w:r w:rsidRPr="00DE5D68" w:rsidR="002F7654">
              <w:rPr>
                <w:rFonts w:cs="Arial"/>
                <w:b/>
              </w:rPr>
              <w:t xml:space="preserve"> Statistics </w:t>
            </w:r>
          </w:p>
        </w:tc>
        <w:tc>
          <w:tcPr>
            <w:tcW w:w="3087" w:type="dxa"/>
          </w:tcPr>
          <w:p w:rsidRPr="00DE5D68" w:rsidR="008D6D77" w:rsidP="00C27D12" w:rsidRDefault="008D6D77" w14:paraId="52A9D06F" w14:textId="77777777">
            <w:pPr>
              <w:jc w:val="right"/>
              <w:rPr>
                <w:rFonts w:cs="Arial"/>
              </w:rPr>
            </w:pPr>
          </w:p>
        </w:tc>
      </w:tr>
      <w:tr w:rsidRPr="00DE5D68" w:rsidR="00591C40" w:rsidTr="0022430A" w14:paraId="7549EE8E" w14:textId="77777777">
        <w:trPr>
          <w:trHeight w:val="570"/>
        </w:trPr>
        <w:tc>
          <w:tcPr>
            <w:tcW w:w="6267" w:type="dxa"/>
          </w:tcPr>
          <w:p w:rsidRPr="00DE5D68" w:rsidR="00591C40" w:rsidP="00C27D12" w:rsidRDefault="009F4122" w14:paraId="4E14F666" w14:textId="5EB7612C">
            <w:pPr>
              <w:rPr>
                <w:rFonts w:cs="Arial"/>
                <w:b/>
              </w:rPr>
            </w:pPr>
            <w:r w:rsidRPr="00DE5D68">
              <w:rPr>
                <w:rFonts w:cs="Arial"/>
              </w:rPr>
              <w:t>I</w:t>
            </w:r>
            <w:r w:rsidRPr="00DE5D68" w:rsidR="00591C40">
              <w:rPr>
                <w:rFonts w:cs="Arial"/>
              </w:rPr>
              <w:t>ssue Price</w:t>
            </w:r>
          </w:p>
        </w:tc>
        <w:tc>
          <w:tcPr>
            <w:tcW w:w="3087" w:type="dxa"/>
          </w:tcPr>
          <w:p w:rsidRPr="00DE5D68" w:rsidR="00591C40" w:rsidP="00C27D12" w:rsidRDefault="004138DC" w14:paraId="153D8CA9" w14:textId="679FB475">
            <w:pPr>
              <w:jc w:val="right"/>
              <w:rPr>
                <w:rFonts w:cs="Arial"/>
              </w:rPr>
            </w:pPr>
            <w:r>
              <w:rPr>
                <w:rFonts w:cs="Arial"/>
              </w:rPr>
              <w:t>100 pence</w:t>
            </w:r>
          </w:p>
        </w:tc>
      </w:tr>
      <w:tr w:rsidRPr="00DE5D68" w:rsidR="00020CC9" w:rsidTr="0022430A" w14:paraId="370DE270" w14:textId="77777777">
        <w:trPr>
          <w:trHeight w:val="570"/>
        </w:trPr>
        <w:tc>
          <w:tcPr>
            <w:tcW w:w="6267" w:type="dxa"/>
          </w:tcPr>
          <w:p w:rsidRPr="00DE5D68" w:rsidR="00020CC9" w:rsidP="00C27D12" w:rsidRDefault="004138DC" w14:paraId="34E077D8" w14:textId="54334B4B">
            <w:pPr>
              <w:rPr>
                <w:rFonts w:cs="Arial"/>
              </w:rPr>
            </w:pPr>
            <w:bookmarkStart w:name="_Hlk190172230" w:id="83"/>
            <w:r>
              <w:rPr>
                <w:rFonts w:cs="Arial"/>
              </w:rPr>
              <w:t xml:space="preserve">Ordinary Shares </w:t>
            </w:r>
            <w:r w:rsidR="00296CEA">
              <w:rPr>
                <w:rFonts w:cs="Arial"/>
              </w:rPr>
              <w:t>the subject of the Initial Placing</w:t>
            </w:r>
          </w:p>
        </w:tc>
        <w:tc>
          <w:tcPr>
            <w:tcW w:w="3087" w:type="dxa"/>
          </w:tcPr>
          <w:p w:rsidRPr="00DE5D68" w:rsidR="00020CC9" w:rsidP="00C27D12" w:rsidRDefault="00893EA6" w14:paraId="22627ACD" w14:textId="379FE8A6">
            <w:pPr>
              <w:jc w:val="right"/>
              <w:rPr>
                <w:rFonts w:cs="Arial"/>
              </w:rPr>
            </w:pPr>
            <w:r>
              <w:rPr>
                <w:rFonts w:cs="Arial"/>
                <w:spacing w:val="6"/>
              </w:rPr>
              <w:t>54</w:t>
            </w:r>
            <w:r w:rsidR="00572F6E">
              <w:rPr>
                <w:rFonts w:cs="Arial"/>
                <w:spacing w:val="6"/>
              </w:rPr>
              <w:t xml:space="preserve"> million</w:t>
            </w:r>
          </w:p>
        </w:tc>
      </w:tr>
      <w:tr w:rsidRPr="00DE5D68" w:rsidR="004B10DE" w:rsidTr="0022430A" w14:paraId="6E2FC279" w14:textId="77777777">
        <w:tc>
          <w:tcPr>
            <w:tcW w:w="6267" w:type="dxa"/>
          </w:tcPr>
          <w:p w:rsidRPr="00DE5D68" w:rsidR="004B10DE" w:rsidP="00C27D12" w:rsidRDefault="004B10DE" w14:paraId="1AFFDC27" w14:textId="1F5AA148">
            <w:pPr>
              <w:rPr>
                <w:rFonts w:cs="Arial"/>
              </w:rPr>
            </w:pPr>
            <w:r>
              <w:rPr>
                <w:rFonts w:cs="Arial"/>
              </w:rPr>
              <w:t>Initial Gross Proceeds</w:t>
            </w:r>
            <w:r w:rsidR="00DD7F23">
              <w:rPr>
                <w:rFonts w:cs="Arial"/>
              </w:rPr>
              <w:t>*</w:t>
            </w:r>
          </w:p>
        </w:tc>
        <w:tc>
          <w:tcPr>
            <w:tcW w:w="3087" w:type="dxa"/>
          </w:tcPr>
          <w:p w:rsidRPr="00DE5D68" w:rsidR="004B10DE" w:rsidP="00C27D12" w:rsidRDefault="004B10DE" w14:paraId="64AD7A0A" w14:textId="1F8A7CDE">
            <w:pPr>
              <w:jc w:val="right"/>
              <w:rPr>
                <w:rFonts w:cs="Arial"/>
              </w:rPr>
            </w:pPr>
            <w:r w:rsidRPr="00DE5D68">
              <w:rPr>
                <w:rFonts w:cs="Arial"/>
              </w:rPr>
              <w:t>£</w:t>
            </w:r>
            <w:r w:rsidR="00893EA6">
              <w:rPr>
                <w:rFonts w:cs="Arial"/>
              </w:rPr>
              <w:t>54</w:t>
            </w:r>
            <w:r w:rsidRPr="00DE5D68">
              <w:rPr>
                <w:rFonts w:cs="Arial"/>
              </w:rPr>
              <w:t xml:space="preserve"> million</w:t>
            </w:r>
          </w:p>
        </w:tc>
      </w:tr>
      <w:tr w:rsidRPr="00DE5D68" w:rsidR="00C501FB" w:rsidTr="0022430A" w14:paraId="0BE6148D" w14:textId="77777777">
        <w:tc>
          <w:tcPr>
            <w:tcW w:w="6267" w:type="dxa"/>
          </w:tcPr>
          <w:p w:rsidRPr="00DE5D68" w:rsidR="00C501FB" w:rsidP="00C27D12" w:rsidRDefault="004F1DAC" w14:paraId="4BB70DDB" w14:textId="7CCE121A">
            <w:pPr>
              <w:tabs>
                <w:tab w:val="left" w:pos="4950"/>
              </w:tabs>
              <w:rPr>
                <w:rFonts w:cs="Arial"/>
              </w:rPr>
            </w:pPr>
            <w:r w:rsidRPr="00DE5D68">
              <w:rPr>
                <w:rFonts w:cs="Arial"/>
              </w:rPr>
              <w:t xml:space="preserve">Estimated </w:t>
            </w:r>
            <w:r w:rsidR="00E81510">
              <w:rPr>
                <w:rFonts w:cs="Arial"/>
              </w:rPr>
              <w:t xml:space="preserve">Net Asset Value per </w:t>
            </w:r>
            <w:r w:rsidR="004B10DE">
              <w:rPr>
                <w:rFonts w:cs="Arial"/>
              </w:rPr>
              <w:t xml:space="preserve">Ordinary </w:t>
            </w:r>
            <w:r w:rsidR="00E81510">
              <w:rPr>
                <w:rFonts w:cs="Arial"/>
              </w:rPr>
              <w:t>Share</w:t>
            </w:r>
            <w:r w:rsidRPr="00DE5D68" w:rsidR="003C1AB9">
              <w:rPr>
                <w:rFonts w:cs="Arial"/>
              </w:rPr>
              <w:t xml:space="preserve"> </w:t>
            </w:r>
            <w:r w:rsidRPr="00DE5D68" w:rsidR="009179B2">
              <w:rPr>
                <w:rFonts w:cs="Arial"/>
              </w:rPr>
              <w:t xml:space="preserve">at </w:t>
            </w:r>
            <w:r w:rsidRPr="00DE5D68" w:rsidR="0022430A">
              <w:rPr>
                <w:rFonts w:cs="Arial"/>
              </w:rPr>
              <w:t xml:space="preserve">Initial </w:t>
            </w:r>
            <w:r w:rsidRPr="00DE5D68" w:rsidR="00C501FB">
              <w:rPr>
                <w:rFonts w:cs="Arial"/>
              </w:rPr>
              <w:t>Admission</w:t>
            </w:r>
            <w:r w:rsidRPr="00DE5D68" w:rsidR="0022430A">
              <w:rPr>
                <w:rFonts w:cs="Arial"/>
              </w:rPr>
              <w:t>*</w:t>
            </w:r>
          </w:p>
        </w:tc>
        <w:tc>
          <w:tcPr>
            <w:tcW w:w="3087" w:type="dxa"/>
          </w:tcPr>
          <w:p w:rsidRPr="00DE5D68" w:rsidR="00C501FB" w:rsidP="00C27D12" w:rsidRDefault="00C501FB" w14:paraId="489B6107" w14:textId="2098D150">
            <w:pPr>
              <w:jc w:val="right"/>
              <w:rPr>
                <w:rFonts w:cs="Arial"/>
                <w:szCs w:val="22"/>
              </w:rPr>
            </w:pPr>
            <w:r w:rsidRPr="00DE5D68">
              <w:rPr>
                <w:rFonts w:cs="Arial"/>
              </w:rPr>
              <w:t xml:space="preserve"> </w:t>
            </w:r>
            <w:r w:rsidR="00D63488">
              <w:rPr>
                <w:rFonts w:cs="Arial"/>
              </w:rPr>
              <w:t xml:space="preserve">Approximately </w:t>
            </w:r>
            <w:r w:rsidRPr="007E14AC" w:rsidR="00A848C6">
              <w:rPr>
                <w:rFonts w:cs="Arial"/>
              </w:rPr>
              <w:t>98.5</w:t>
            </w:r>
            <w:r w:rsidRPr="00DE5D68" w:rsidR="00621E99">
              <w:rPr>
                <w:rFonts w:cs="Arial"/>
              </w:rPr>
              <w:t xml:space="preserve"> </w:t>
            </w:r>
            <w:r w:rsidRPr="00DE5D68" w:rsidR="0072414B">
              <w:rPr>
                <w:rFonts w:cs="Arial"/>
              </w:rPr>
              <w:t>pence</w:t>
            </w:r>
          </w:p>
        </w:tc>
      </w:tr>
    </w:tbl>
    <w:bookmarkEnd w:id="83"/>
    <w:p w:rsidRPr="00DE5D68" w:rsidR="0072414B" w:rsidP="00C27D12" w:rsidRDefault="0072414B" w14:paraId="5E05D9D8" w14:textId="3C6DE859">
      <w:pPr>
        <w:rPr>
          <w:rFonts w:cs="Arial"/>
          <w:i/>
          <w:sz w:val="16"/>
          <w:szCs w:val="16"/>
        </w:rPr>
      </w:pPr>
      <w:r w:rsidRPr="00DE5D68">
        <w:rPr>
          <w:rFonts w:cs="Arial"/>
          <w:i/>
          <w:sz w:val="16"/>
          <w:szCs w:val="16"/>
        </w:rPr>
        <w:t xml:space="preserve">* </w:t>
      </w:r>
      <w:r w:rsidRPr="00DE5D68" w:rsidR="00621E99">
        <w:rPr>
          <w:rFonts w:cs="Arial"/>
          <w:i/>
          <w:sz w:val="16"/>
          <w:szCs w:val="16"/>
        </w:rPr>
        <w:t xml:space="preserve">The Company </w:t>
      </w:r>
      <w:bookmarkStart w:name="_Hlk190172241" w:id="84"/>
      <w:r w:rsidR="004177A2">
        <w:rPr>
          <w:rFonts w:cs="Arial"/>
          <w:i/>
          <w:sz w:val="16"/>
          <w:szCs w:val="16"/>
        </w:rPr>
        <w:t>will raise</w:t>
      </w:r>
      <w:r w:rsidRPr="00DE5D68">
        <w:rPr>
          <w:rFonts w:cs="Arial"/>
          <w:i/>
          <w:sz w:val="16"/>
          <w:szCs w:val="16"/>
        </w:rPr>
        <w:t xml:space="preserve"> Initial</w:t>
      </w:r>
      <w:r w:rsidRPr="00DE5D68" w:rsidR="00621E99">
        <w:rPr>
          <w:rFonts w:cs="Arial"/>
          <w:i/>
          <w:sz w:val="16"/>
          <w:szCs w:val="16"/>
        </w:rPr>
        <w:t xml:space="preserve"> Gross Proceeds</w:t>
      </w:r>
      <w:r w:rsidRPr="00DE5D68" w:rsidR="00F8362D">
        <w:rPr>
          <w:rFonts w:cs="Arial"/>
          <w:i/>
          <w:sz w:val="16"/>
          <w:szCs w:val="16"/>
        </w:rPr>
        <w:t xml:space="preserve"> </w:t>
      </w:r>
      <w:r w:rsidRPr="00DE5D68" w:rsidR="00020CC9">
        <w:rPr>
          <w:rFonts w:cs="Arial"/>
          <w:i/>
          <w:sz w:val="16"/>
          <w:szCs w:val="16"/>
        </w:rPr>
        <w:t>of £</w:t>
      </w:r>
      <w:r w:rsidR="00893EA6">
        <w:rPr>
          <w:rFonts w:cs="Arial"/>
          <w:i/>
          <w:sz w:val="16"/>
          <w:szCs w:val="16"/>
        </w:rPr>
        <w:t>54</w:t>
      </w:r>
      <w:r w:rsidRPr="00DE5D68" w:rsidR="00A8284D">
        <w:rPr>
          <w:rFonts w:cs="Arial"/>
          <w:i/>
          <w:sz w:val="16"/>
          <w:szCs w:val="16"/>
        </w:rPr>
        <w:t xml:space="preserve"> million</w:t>
      </w:r>
      <w:r w:rsidR="00DD7F23">
        <w:rPr>
          <w:rFonts w:cs="Arial"/>
          <w:i/>
          <w:sz w:val="16"/>
          <w:szCs w:val="16"/>
        </w:rPr>
        <w:t xml:space="preserve"> (t</w:t>
      </w:r>
      <w:r w:rsidRPr="00DE5D68" w:rsidR="00621E99">
        <w:rPr>
          <w:rFonts w:cs="Arial"/>
          <w:i/>
          <w:sz w:val="16"/>
          <w:szCs w:val="16"/>
        </w:rPr>
        <w:t xml:space="preserve">he Minimum </w:t>
      </w:r>
      <w:r w:rsidRPr="00DE5D68" w:rsidR="00C42326">
        <w:rPr>
          <w:rFonts w:cs="Arial"/>
          <w:i/>
          <w:sz w:val="16"/>
          <w:szCs w:val="16"/>
        </w:rPr>
        <w:t xml:space="preserve">Gross </w:t>
      </w:r>
      <w:r w:rsidRPr="00DE5D68" w:rsidR="00CC4616">
        <w:rPr>
          <w:rFonts w:cs="Arial"/>
          <w:i/>
          <w:sz w:val="16"/>
          <w:szCs w:val="16"/>
        </w:rPr>
        <w:t>Proceeds are</w:t>
      </w:r>
      <w:r w:rsidR="00301A97">
        <w:rPr>
          <w:rFonts w:cs="Arial"/>
          <w:i/>
          <w:sz w:val="16"/>
          <w:szCs w:val="16"/>
        </w:rPr>
        <w:t xml:space="preserve"> also</w:t>
      </w:r>
      <w:r w:rsidRPr="00DE5D68" w:rsidR="00CC4616">
        <w:rPr>
          <w:rFonts w:cs="Arial"/>
          <w:i/>
          <w:sz w:val="16"/>
          <w:szCs w:val="16"/>
        </w:rPr>
        <w:t xml:space="preserve"> </w:t>
      </w:r>
      <w:r w:rsidRPr="00DE5D68" w:rsidR="00020CC9">
        <w:rPr>
          <w:rFonts w:cs="Arial"/>
          <w:i/>
          <w:sz w:val="16"/>
          <w:szCs w:val="16"/>
        </w:rPr>
        <w:t>£</w:t>
      </w:r>
      <w:r w:rsidR="00893EA6">
        <w:rPr>
          <w:rFonts w:cs="Arial"/>
          <w:i/>
          <w:sz w:val="16"/>
          <w:szCs w:val="16"/>
        </w:rPr>
        <w:t>54</w:t>
      </w:r>
      <w:r w:rsidRPr="00DE5D68" w:rsidR="00EA0057">
        <w:rPr>
          <w:rFonts w:cs="Arial"/>
          <w:i/>
          <w:sz w:val="16"/>
          <w:szCs w:val="16"/>
        </w:rPr>
        <w:t xml:space="preserve"> </w:t>
      </w:r>
      <w:r w:rsidRPr="00DE5D68" w:rsidR="00B942EA">
        <w:rPr>
          <w:rFonts w:cs="Arial"/>
          <w:i/>
          <w:sz w:val="16"/>
          <w:szCs w:val="16"/>
        </w:rPr>
        <w:t>million</w:t>
      </w:r>
      <w:bookmarkEnd w:id="84"/>
      <w:r w:rsidR="00DD7F23">
        <w:rPr>
          <w:rFonts w:cs="Arial"/>
          <w:i/>
          <w:sz w:val="16"/>
          <w:szCs w:val="16"/>
        </w:rPr>
        <w:t>)</w:t>
      </w:r>
      <w:r w:rsidRPr="00DE5D68" w:rsidR="00B942EA">
        <w:rPr>
          <w:rFonts w:cs="Arial"/>
          <w:i/>
          <w:sz w:val="16"/>
          <w:szCs w:val="16"/>
        </w:rPr>
        <w:t>.</w:t>
      </w:r>
      <w:r w:rsidRPr="00DE5D68" w:rsidR="00A8284D">
        <w:rPr>
          <w:rFonts w:cs="Arial"/>
          <w:i/>
          <w:sz w:val="16"/>
          <w:szCs w:val="16"/>
        </w:rPr>
        <w:t xml:space="preserve"> If the</w:t>
      </w:r>
      <w:r w:rsidRPr="00DE5D68">
        <w:rPr>
          <w:rFonts w:cs="Arial"/>
          <w:i/>
          <w:sz w:val="16"/>
          <w:szCs w:val="16"/>
        </w:rPr>
        <w:t xml:space="preserve"> </w:t>
      </w:r>
      <w:r w:rsidR="00B97B41">
        <w:rPr>
          <w:rFonts w:cs="Arial"/>
          <w:i/>
          <w:sz w:val="16"/>
          <w:szCs w:val="16"/>
        </w:rPr>
        <w:t xml:space="preserve">Initial </w:t>
      </w:r>
      <w:r w:rsidR="00A848C6">
        <w:rPr>
          <w:rFonts w:cs="Arial"/>
          <w:i/>
          <w:sz w:val="16"/>
          <w:szCs w:val="16"/>
        </w:rPr>
        <w:t>Placing</w:t>
      </w:r>
      <w:r w:rsidRPr="00DE5D68" w:rsidR="00621E99">
        <w:rPr>
          <w:rFonts w:cs="Arial"/>
          <w:i/>
          <w:sz w:val="16"/>
          <w:szCs w:val="16"/>
        </w:rPr>
        <w:t xml:space="preserve"> does not proceed (because the Minimum </w:t>
      </w:r>
      <w:r w:rsidRPr="00DE5D68" w:rsidR="00C42326">
        <w:rPr>
          <w:rFonts w:cs="Arial"/>
          <w:i/>
          <w:sz w:val="16"/>
          <w:szCs w:val="16"/>
        </w:rPr>
        <w:t xml:space="preserve">Gross </w:t>
      </w:r>
      <w:r w:rsidRPr="00DE5D68" w:rsidR="00621E99">
        <w:rPr>
          <w:rFonts w:cs="Arial"/>
          <w:i/>
          <w:sz w:val="16"/>
          <w:szCs w:val="16"/>
        </w:rPr>
        <w:t xml:space="preserve">Proceeds </w:t>
      </w:r>
      <w:r w:rsidRPr="00DE5D68" w:rsidR="00F8362D">
        <w:rPr>
          <w:rFonts w:cs="Arial"/>
          <w:i/>
          <w:sz w:val="16"/>
          <w:szCs w:val="16"/>
        </w:rPr>
        <w:t xml:space="preserve">(or such lesser amount as the Company and </w:t>
      </w:r>
      <w:r w:rsidR="004B10DE">
        <w:rPr>
          <w:rFonts w:cs="Arial"/>
          <w:i/>
          <w:sz w:val="16"/>
          <w:szCs w:val="16"/>
        </w:rPr>
        <w:t>Singer Capital Markets</w:t>
      </w:r>
      <w:r w:rsidRPr="00DE5D68" w:rsidR="00631C3F">
        <w:rPr>
          <w:rFonts w:cs="Arial"/>
          <w:i/>
          <w:sz w:val="16"/>
          <w:szCs w:val="16"/>
        </w:rPr>
        <w:t xml:space="preserve"> </w:t>
      </w:r>
      <w:r w:rsidRPr="00DE5D68" w:rsidR="00F8362D">
        <w:rPr>
          <w:rFonts w:cs="Arial"/>
          <w:i/>
          <w:sz w:val="16"/>
          <w:szCs w:val="16"/>
        </w:rPr>
        <w:t xml:space="preserve">agree) </w:t>
      </w:r>
      <w:r w:rsidRPr="00DE5D68" w:rsidR="00621E99">
        <w:rPr>
          <w:rFonts w:cs="Arial"/>
          <w:i/>
          <w:sz w:val="16"/>
          <w:szCs w:val="16"/>
        </w:rPr>
        <w:t>are not raised</w:t>
      </w:r>
      <w:r w:rsidRPr="00DE5D68" w:rsidR="00315295">
        <w:rPr>
          <w:rFonts w:cs="Arial"/>
          <w:i/>
          <w:sz w:val="16"/>
          <w:szCs w:val="16"/>
        </w:rPr>
        <w:t xml:space="preserve"> or otherwise</w:t>
      </w:r>
      <w:r w:rsidRPr="00DE5D68" w:rsidR="00621E99">
        <w:rPr>
          <w:rFonts w:cs="Arial"/>
          <w:i/>
          <w:sz w:val="16"/>
          <w:szCs w:val="16"/>
        </w:rPr>
        <w:t xml:space="preserve">), subscription monies received will be </w:t>
      </w:r>
      <w:r w:rsidRPr="00DE5D68" w:rsidR="0089170A">
        <w:rPr>
          <w:rFonts w:cs="Arial"/>
          <w:i/>
          <w:sz w:val="16"/>
          <w:szCs w:val="16"/>
        </w:rPr>
        <w:t>re</w:t>
      </w:r>
      <w:r w:rsidRPr="00DE5D68" w:rsidR="001115A5">
        <w:rPr>
          <w:rFonts w:cs="Arial"/>
          <w:i/>
          <w:sz w:val="16"/>
          <w:szCs w:val="16"/>
        </w:rPr>
        <w:t xml:space="preserve">turned </w:t>
      </w:r>
      <w:r w:rsidRPr="00DE5D68" w:rsidR="00621E99">
        <w:rPr>
          <w:rFonts w:cs="Arial"/>
          <w:i/>
          <w:sz w:val="16"/>
          <w:szCs w:val="16"/>
        </w:rPr>
        <w:t>without interest at the risk of the applicant</w:t>
      </w:r>
      <w:r w:rsidRPr="00DE5D68" w:rsidR="0089170A">
        <w:rPr>
          <w:rFonts w:cs="Arial"/>
          <w:i/>
          <w:sz w:val="16"/>
          <w:szCs w:val="16"/>
        </w:rPr>
        <w:t xml:space="preserve"> to the applicant from whom the money was received, within 14 </w:t>
      </w:r>
      <w:r w:rsidRPr="00DE5D68" w:rsidR="00861612">
        <w:rPr>
          <w:rFonts w:cs="Arial"/>
          <w:i/>
          <w:sz w:val="16"/>
          <w:szCs w:val="16"/>
        </w:rPr>
        <w:t xml:space="preserve">calendar </w:t>
      </w:r>
      <w:r w:rsidRPr="00DE5D68" w:rsidR="0089170A">
        <w:rPr>
          <w:rFonts w:cs="Arial"/>
          <w:i/>
          <w:sz w:val="16"/>
          <w:szCs w:val="16"/>
        </w:rPr>
        <w:t>days</w:t>
      </w:r>
      <w:r w:rsidRPr="00DE5D68" w:rsidR="00020CC9">
        <w:rPr>
          <w:rFonts w:cs="Arial"/>
          <w:i/>
          <w:sz w:val="16"/>
          <w:szCs w:val="16"/>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67"/>
        <w:gridCol w:w="3087"/>
      </w:tblGrid>
      <w:tr w:rsidRPr="00DE5D68" w:rsidR="0072414B" w:rsidTr="00550416" w14:paraId="29F43941" w14:textId="77777777">
        <w:trPr>
          <w:trHeight w:val="375"/>
        </w:trPr>
        <w:tc>
          <w:tcPr>
            <w:tcW w:w="6267" w:type="dxa"/>
          </w:tcPr>
          <w:p w:rsidRPr="00DE5D68" w:rsidR="0072414B" w:rsidP="00C27D12" w:rsidRDefault="0072414B" w14:paraId="21831C25" w14:textId="790C43BD">
            <w:pPr>
              <w:rPr>
                <w:rFonts w:cs="Arial"/>
              </w:rPr>
            </w:pPr>
            <w:r w:rsidRPr="00DE5D68">
              <w:rPr>
                <w:rFonts w:cs="Arial"/>
                <w:b/>
              </w:rPr>
              <w:t xml:space="preserve">Placing Programme Statistics </w:t>
            </w:r>
          </w:p>
        </w:tc>
        <w:tc>
          <w:tcPr>
            <w:tcW w:w="3087" w:type="dxa"/>
          </w:tcPr>
          <w:p w:rsidRPr="00DE5D68" w:rsidR="0072414B" w:rsidP="00C27D12" w:rsidRDefault="0072414B" w14:paraId="3DDB87C4" w14:textId="77777777">
            <w:pPr>
              <w:jc w:val="right"/>
              <w:rPr>
                <w:rFonts w:cs="Arial"/>
              </w:rPr>
            </w:pPr>
          </w:p>
        </w:tc>
      </w:tr>
      <w:tr w:rsidRPr="00DE5D68" w:rsidR="0072414B" w:rsidTr="00550416" w14:paraId="3B3F0A9E" w14:textId="77777777">
        <w:trPr>
          <w:trHeight w:val="570"/>
        </w:trPr>
        <w:tc>
          <w:tcPr>
            <w:tcW w:w="6267" w:type="dxa"/>
          </w:tcPr>
          <w:p w:rsidRPr="00DE5D68" w:rsidR="0072414B" w:rsidP="00C27D12" w:rsidRDefault="0072414B" w14:paraId="19453E4B" w14:textId="36E0E5BC">
            <w:pPr>
              <w:rPr>
                <w:rFonts w:cs="Arial"/>
                <w:b/>
              </w:rPr>
            </w:pPr>
            <w:r w:rsidRPr="00DE5D68">
              <w:rPr>
                <w:rFonts w:cs="Arial"/>
              </w:rPr>
              <w:t xml:space="preserve">Maximum size of the Placing Programme </w:t>
            </w:r>
          </w:p>
        </w:tc>
        <w:tc>
          <w:tcPr>
            <w:tcW w:w="3087" w:type="dxa"/>
          </w:tcPr>
          <w:p w:rsidRPr="00DE5D68" w:rsidR="0072414B" w:rsidP="00C27D12" w:rsidRDefault="00A848C6" w14:paraId="10738842" w14:textId="136A9AFC">
            <w:pPr>
              <w:jc w:val="right"/>
              <w:rPr>
                <w:rFonts w:cs="Arial"/>
              </w:rPr>
            </w:pPr>
            <w:r>
              <w:rPr>
                <w:rFonts w:cs="Arial"/>
              </w:rPr>
              <w:t>150</w:t>
            </w:r>
            <w:r w:rsidRPr="00DE5D68" w:rsidR="008F4096">
              <w:rPr>
                <w:rFonts w:cs="Arial"/>
              </w:rPr>
              <w:t xml:space="preserve"> million </w:t>
            </w:r>
            <w:r w:rsidR="004B10DE">
              <w:rPr>
                <w:rFonts w:cs="Arial"/>
              </w:rPr>
              <w:t xml:space="preserve">Ordinary </w:t>
            </w:r>
            <w:r w:rsidRPr="00DE5D68" w:rsidR="008F4096">
              <w:rPr>
                <w:rFonts w:cs="Arial"/>
              </w:rPr>
              <w:t>Shares</w:t>
            </w:r>
            <w:r w:rsidR="00DD7F23">
              <w:rPr>
                <w:rFonts w:cs="Arial"/>
              </w:rPr>
              <w:t xml:space="preserve"> </w:t>
            </w:r>
          </w:p>
        </w:tc>
      </w:tr>
      <w:tr w:rsidRPr="00DE5D68" w:rsidR="0072414B" w:rsidTr="00550416" w14:paraId="1E01873B" w14:textId="77777777">
        <w:tc>
          <w:tcPr>
            <w:tcW w:w="6267" w:type="dxa"/>
          </w:tcPr>
          <w:p w:rsidRPr="00DE5D68" w:rsidR="0072414B" w:rsidP="00C27D12" w:rsidRDefault="0072414B" w14:paraId="7C87238A" w14:textId="3A275B47">
            <w:pPr>
              <w:rPr>
                <w:rFonts w:cs="Arial"/>
              </w:rPr>
            </w:pPr>
            <w:r w:rsidRPr="00DE5D68">
              <w:rPr>
                <w:rFonts w:cs="Arial"/>
              </w:rPr>
              <w:t xml:space="preserve">Minimum Placing Programme Price </w:t>
            </w:r>
          </w:p>
        </w:tc>
        <w:tc>
          <w:tcPr>
            <w:tcW w:w="3087" w:type="dxa"/>
          </w:tcPr>
          <w:p w:rsidRPr="00B97B41" w:rsidR="000B5E3C" w:rsidP="00C27D12" w:rsidRDefault="00FC3FA6" w14:paraId="676B64A9" w14:textId="43223BA4">
            <w:pPr>
              <w:rPr>
                <w:rFonts w:cs="Arial"/>
                <w:b/>
              </w:rPr>
            </w:pPr>
            <w:r>
              <w:rPr>
                <w:rFonts w:cs="Arial"/>
              </w:rPr>
              <w:t>The prevailing</w:t>
            </w:r>
            <w:r w:rsidRPr="00DE5D68" w:rsidR="000B5E3C">
              <w:rPr>
                <w:rFonts w:cs="Arial"/>
              </w:rPr>
              <w:t xml:space="preserve"> </w:t>
            </w:r>
            <w:r w:rsidR="003B01E0">
              <w:rPr>
                <w:rFonts w:cs="Arial"/>
              </w:rPr>
              <w:t xml:space="preserve">published </w:t>
            </w:r>
            <w:r w:rsidR="00E81510">
              <w:rPr>
                <w:rFonts w:cs="Arial"/>
              </w:rPr>
              <w:t xml:space="preserve">Net Asset Value per </w:t>
            </w:r>
            <w:r w:rsidR="004B10DE">
              <w:rPr>
                <w:rFonts w:cs="Arial"/>
              </w:rPr>
              <w:t xml:space="preserve">Ordinary </w:t>
            </w:r>
            <w:r w:rsidR="00E81510">
              <w:rPr>
                <w:rFonts w:cs="Arial"/>
              </w:rPr>
              <w:t>Share</w:t>
            </w:r>
            <w:r w:rsidRPr="00DE5D68" w:rsidR="006E5DA1">
              <w:rPr>
                <w:rFonts w:cs="Arial"/>
              </w:rPr>
              <w:t xml:space="preserve"> </w:t>
            </w:r>
            <w:r w:rsidR="003B01E0">
              <w:rPr>
                <w:rFonts w:cs="Arial"/>
              </w:rPr>
              <w:t xml:space="preserve">(audited or unaudited) </w:t>
            </w:r>
            <w:r w:rsidRPr="00DE5D68" w:rsidR="006E5DA1">
              <w:rPr>
                <w:rFonts w:cs="Arial"/>
              </w:rPr>
              <w:t>plus a premium intended to at least cover the costs and expenses of the relevant Subsequent Placing (including, without limi</w:t>
            </w:r>
            <w:r w:rsidR="008D428C">
              <w:rPr>
                <w:rFonts w:cs="Arial"/>
              </w:rPr>
              <w:t>tation, any placing commissions)</w:t>
            </w:r>
          </w:p>
        </w:tc>
      </w:tr>
    </w:tbl>
    <w:p w:rsidRPr="00DE5D68" w:rsidR="004D3ACA" w:rsidP="00C27D12" w:rsidRDefault="004D3ACA" w14:paraId="1C4D0CA6" w14:textId="0C7ACC8C">
      <w:pPr>
        <w:rPr>
          <w:rFonts w:cs="Arial"/>
          <w:i/>
          <w:sz w:val="16"/>
          <w:szCs w:val="16"/>
        </w:rPr>
      </w:pPr>
    </w:p>
    <w:p w:rsidRPr="00DE5D68" w:rsidR="004D3ACA" w:rsidP="00C27D12" w:rsidRDefault="004D3ACA" w14:paraId="52EAEF41" w14:textId="6503FDEF">
      <w:pPr>
        <w:keepNext/>
        <w:jc w:val="center"/>
        <w:rPr>
          <w:rFonts w:cs="Arial"/>
          <w:b/>
          <w:bCs/>
          <w:spacing w:val="6"/>
          <w:szCs w:val="22"/>
        </w:rPr>
      </w:pPr>
      <w:r w:rsidRPr="00DE5D68">
        <w:rPr>
          <w:rFonts w:cs="Arial"/>
          <w:b/>
          <w:bCs/>
          <w:spacing w:val="6"/>
          <w:szCs w:val="22"/>
        </w:rPr>
        <w:t>DEALING CODES</w:t>
      </w:r>
      <w:r w:rsidRPr="00DE5D68" w:rsidR="00003777">
        <w:rPr>
          <w:rFonts w:cs="Arial"/>
          <w:b/>
          <w:bCs/>
          <w:spacing w:val="6"/>
          <w:szCs w:val="22"/>
        </w:rPr>
        <w:fldChar w:fldCharType="begin"/>
      </w:r>
      <w:r w:rsidRPr="00DE5D68">
        <w:rPr>
          <w:rFonts w:cs="Arial"/>
        </w:rPr>
        <w:instrText xml:space="preserve"> TC </w:instrText>
      </w:r>
      <w:r w:rsidRPr="00DE5D68" w:rsidR="00170F35">
        <w:rPr>
          <w:rFonts w:cs="Arial"/>
        </w:rPr>
        <w:instrText>"</w:instrText>
      </w:r>
      <w:bookmarkStart w:name="_Toc329599167" w:id="85"/>
      <w:bookmarkStart w:name="_Toc405805322" w:id="86"/>
      <w:bookmarkStart w:name="_Toc493520577" w:id="87"/>
      <w:bookmarkStart w:name="_Toc31905299" w:id="88"/>
      <w:bookmarkStart w:name="_Toc78485969" w:id="89"/>
      <w:bookmarkStart w:name="_Toc190288028" w:id="90"/>
      <w:r w:rsidRPr="00DE5D68">
        <w:rPr>
          <w:rFonts w:cs="Arial"/>
          <w:bCs/>
          <w:spacing w:val="6"/>
          <w:szCs w:val="22"/>
        </w:rPr>
        <w:instrText>DEALING CODES</w:instrText>
      </w:r>
      <w:bookmarkEnd w:id="85"/>
      <w:bookmarkEnd w:id="86"/>
      <w:bookmarkEnd w:id="87"/>
      <w:bookmarkEnd w:id="88"/>
      <w:bookmarkEnd w:id="89"/>
      <w:bookmarkEnd w:id="90"/>
      <w:r w:rsidRPr="00DE5D68" w:rsidR="00170F35">
        <w:rPr>
          <w:rFonts w:cs="Arial"/>
        </w:rPr>
        <w:instrText>"</w:instrText>
      </w:r>
      <w:r w:rsidRPr="00DE5D68">
        <w:rPr>
          <w:rFonts w:cs="Arial"/>
        </w:rPr>
        <w:instrText xml:space="preserve"> \f C \l </w:instrText>
      </w:r>
      <w:r w:rsidRPr="00DE5D68" w:rsidR="00170F35">
        <w:rPr>
          <w:rFonts w:cs="Arial"/>
        </w:rPr>
        <w:instrText>"</w:instrText>
      </w:r>
      <w:r w:rsidRPr="00DE5D68">
        <w:rPr>
          <w:rFonts w:cs="Arial"/>
        </w:rPr>
        <w:instrText>1</w:instrText>
      </w:r>
      <w:r w:rsidRPr="00DE5D68" w:rsidR="00170F35">
        <w:rPr>
          <w:rFonts w:cs="Arial"/>
        </w:rPr>
        <w:instrText>"</w:instrText>
      </w:r>
      <w:r w:rsidRPr="00DE5D68">
        <w:rPr>
          <w:rFonts w:cs="Arial"/>
        </w:rPr>
        <w:instrText xml:space="preserve"> </w:instrText>
      </w:r>
      <w:r w:rsidRPr="00DE5D68" w:rsidR="00003777">
        <w:rPr>
          <w:rFonts w:cs="Arial"/>
          <w:b/>
          <w:bCs/>
          <w:spacing w:val="6"/>
          <w:szCs w:val="22"/>
        </w:rPr>
        <w:fldChar w:fldCharType="end"/>
      </w:r>
    </w:p>
    <w:p w:rsidRPr="00DE5D68" w:rsidR="004D3ACA" w:rsidP="00C27D12" w:rsidRDefault="004D3ACA" w14:paraId="19E97E3C" w14:textId="0207F138">
      <w:pPr>
        <w:keepNext/>
        <w:rPr>
          <w:rFonts w:cs="Arial"/>
        </w:rPr>
      </w:pPr>
      <w:r w:rsidRPr="00DE5D68">
        <w:rPr>
          <w:rFonts w:cs="Arial"/>
        </w:rPr>
        <w:t xml:space="preserve">The dealing codes for the </w:t>
      </w:r>
      <w:r w:rsidRPr="00DE5D68" w:rsidR="00893691">
        <w:rPr>
          <w:rFonts w:cs="Arial"/>
        </w:rPr>
        <w:t xml:space="preserve">Ordinary </w:t>
      </w:r>
      <w:r w:rsidRPr="00DE5D68" w:rsidR="00A737F3">
        <w:rPr>
          <w:rFonts w:cs="Arial"/>
        </w:rPr>
        <w:t>Shares</w:t>
      </w:r>
      <w:r w:rsidRPr="00DE5D68">
        <w:rPr>
          <w:rFonts w:cs="Arial"/>
        </w:rPr>
        <w:t xml:space="preserve"> </w:t>
      </w:r>
      <w:r w:rsidR="000D35A6">
        <w:rPr>
          <w:rFonts w:cs="Arial"/>
        </w:rPr>
        <w:t>are</w:t>
      </w:r>
      <w:r w:rsidRPr="00DE5D68">
        <w:rPr>
          <w:rFonts w:cs="Arial"/>
        </w:rPr>
        <w:t xml:space="preserve"> as follows:</w:t>
      </w:r>
    </w:p>
    <w:tbl>
      <w:tblPr>
        <w:tblW w:w="9497" w:type="dxa"/>
        <w:jc w:val="center"/>
        <w:tblLayout w:type="fixed"/>
        <w:tblCellMar>
          <w:left w:w="0" w:type="dxa"/>
          <w:right w:w="0" w:type="dxa"/>
        </w:tblCellMar>
        <w:tblLook w:val="04A0" w:firstRow="1" w:lastRow="0" w:firstColumn="1" w:lastColumn="0" w:noHBand="0" w:noVBand="1"/>
      </w:tblPr>
      <w:tblGrid>
        <w:gridCol w:w="6521"/>
        <w:gridCol w:w="2976"/>
      </w:tblGrid>
      <w:tr w:rsidRPr="00DE5D68" w:rsidR="00A8284D" w:rsidTr="00C12D8F" w14:paraId="4735A565" w14:textId="77777777">
        <w:trPr>
          <w:trHeight w:val="365" w:hRule="exact"/>
          <w:jc w:val="center"/>
        </w:trPr>
        <w:tc>
          <w:tcPr>
            <w:tcW w:w="6521" w:type="dxa"/>
            <w:tcBorders>
              <w:top w:val="nil"/>
              <w:left w:val="nil"/>
              <w:bottom w:val="nil"/>
              <w:right w:val="nil"/>
            </w:tcBorders>
          </w:tcPr>
          <w:p w:rsidRPr="00DE5D68" w:rsidR="00A8284D" w:rsidP="00C27D12" w:rsidRDefault="00A8284D" w14:paraId="2D9C93AC" w14:textId="53A8F6DC">
            <w:pPr>
              <w:rPr>
                <w:rFonts w:cs="Arial"/>
              </w:rPr>
            </w:pPr>
            <w:r w:rsidRPr="00DE5D68">
              <w:rPr>
                <w:rFonts w:cs="Arial"/>
              </w:rPr>
              <w:t>ISIN</w:t>
            </w:r>
          </w:p>
        </w:tc>
        <w:tc>
          <w:tcPr>
            <w:tcW w:w="2976" w:type="dxa"/>
            <w:tcBorders>
              <w:top w:val="nil"/>
              <w:left w:val="nil"/>
              <w:bottom w:val="nil"/>
              <w:right w:val="nil"/>
            </w:tcBorders>
          </w:tcPr>
          <w:p w:rsidRPr="00DE5D68" w:rsidR="00A8284D" w:rsidP="00C27D12" w:rsidRDefault="00CC32A8" w14:paraId="6AD9F916" w14:textId="5ED9BCA0">
            <w:pPr>
              <w:jc w:val="right"/>
              <w:rPr>
                <w:rFonts w:cs="Arial"/>
              </w:rPr>
            </w:pPr>
            <w:r w:rsidRPr="00CC32A8">
              <w:rPr>
                <w:rFonts w:cs="Arial"/>
              </w:rPr>
              <w:t>GG00BT3GKD08</w:t>
            </w:r>
          </w:p>
        </w:tc>
      </w:tr>
      <w:tr w:rsidRPr="00DE5D68" w:rsidR="00867BA1" w:rsidTr="00C12D8F" w14:paraId="05C6D681" w14:textId="77777777">
        <w:trPr>
          <w:trHeight w:val="365" w:hRule="exact"/>
          <w:jc w:val="center"/>
        </w:trPr>
        <w:tc>
          <w:tcPr>
            <w:tcW w:w="6521" w:type="dxa"/>
            <w:tcBorders>
              <w:top w:val="nil"/>
              <w:left w:val="nil"/>
              <w:bottom w:val="nil"/>
              <w:right w:val="nil"/>
            </w:tcBorders>
          </w:tcPr>
          <w:p w:rsidRPr="00DE5D68" w:rsidR="00867BA1" w:rsidP="00C27D12" w:rsidRDefault="00890EBC" w14:paraId="7016FCD0" w14:textId="141348DD">
            <w:pPr>
              <w:rPr>
                <w:rFonts w:cs="Arial"/>
              </w:rPr>
            </w:pPr>
            <w:r>
              <w:rPr>
                <w:rFonts w:cs="Arial"/>
              </w:rPr>
              <w:t>SEDOL</w:t>
            </w:r>
          </w:p>
        </w:tc>
        <w:tc>
          <w:tcPr>
            <w:tcW w:w="2976" w:type="dxa"/>
            <w:tcBorders>
              <w:top w:val="nil"/>
              <w:left w:val="nil"/>
              <w:bottom w:val="nil"/>
              <w:right w:val="nil"/>
            </w:tcBorders>
          </w:tcPr>
          <w:p w:rsidRPr="00DE5D68" w:rsidR="00867BA1" w:rsidP="005A15B2" w:rsidRDefault="00CC32A8" w14:paraId="3CEDB1B2" w14:textId="308D0100">
            <w:pPr>
              <w:jc w:val="right"/>
              <w:rPr>
                <w:rFonts w:cs="Arial"/>
              </w:rPr>
            </w:pPr>
            <w:r w:rsidRPr="00CC32A8">
              <w:rPr>
                <w:rFonts w:cs="Arial"/>
              </w:rPr>
              <w:t>BT3GKD0</w:t>
            </w:r>
          </w:p>
        </w:tc>
      </w:tr>
      <w:tr w:rsidRPr="00DE5D68" w:rsidR="00867BA1" w:rsidTr="00C12D8F" w14:paraId="2B8BAD3B" w14:textId="77777777">
        <w:trPr>
          <w:trHeight w:val="365" w:hRule="exact"/>
          <w:jc w:val="center"/>
        </w:trPr>
        <w:tc>
          <w:tcPr>
            <w:tcW w:w="6521" w:type="dxa"/>
            <w:tcBorders>
              <w:top w:val="nil"/>
              <w:left w:val="nil"/>
              <w:bottom w:val="nil"/>
              <w:right w:val="nil"/>
            </w:tcBorders>
          </w:tcPr>
          <w:p w:rsidRPr="00DE5D68" w:rsidR="00867BA1" w:rsidP="00C27D12" w:rsidRDefault="00867BA1" w14:paraId="381FC85D" w14:textId="0CFE8903">
            <w:pPr>
              <w:rPr>
                <w:rFonts w:cs="Arial"/>
              </w:rPr>
            </w:pPr>
            <w:r w:rsidRPr="00DE5D68">
              <w:rPr>
                <w:rFonts w:cs="Arial"/>
              </w:rPr>
              <w:t xml:space="preserve">Ticker </w:t>
            </w:r>
          </w:p>
        </w:tc>
        <w:tc>
          <w:tcPr>
            <w:tcW w:w="2976" w:type="dxa"/>
            <w:tcBorders>
              <w:top w:val="nil"/>
              <w:left w:val="nil"/>
              <w:bottom w:val="nil"/>
              <w:right w:val="nil"/>
            </w:tcBorders>
          </w:tcPr>
          <w:p w:rsidRPr="00DE5D68" w:rsidR="00867BA1" w:rsidP="00C27D12" w:rsidRDefault="00A848C6" w14:paraId="365665C9" w14:textId="75B03F03">
            <w:pPr>
              <w:jc w:val="right"/>
              <w:rPr>
                <w:rFonts w:cs="Arial"/>
              </w:rPr>
            </w:pPr>
            <w:r>
              <w:rPr>
                <w:rFonts w:cs="Arial"/>
                <w:spacing w:val="6"/>
              </w:rPr>
              <w:t>AIC</w:t>
            </w:r>
          </w:p>
        </w:tc>
      </w:tr>
      <w:tr w:rsidRPr="00DE5D68" w:rsidR="00F81673" w:rsidTr="00C12D8F" w14:paraId="6F6159B5" w14:textId="77777777">
        <w:trPr>
          <w:trHeight w:val="365" w:hRule="exact"/>
          <w:jc w:val="center"/>
        </w:trPr>
        <w:tc>
          <w:tcPr>
            <w:tcW w:w="6521" w:type="dxa"/>
            <w:tcBorders>
              <w:top w:val="nil"/>
              <w:left w:val="nil"/>
              <w:bottom w:val="nil"/>
              <w:right w:val="nil"/>
            </w:tcBorders>
          </w:tcPr>
          <w:p w:rsidRPr="00DE5D68" w:rsidR="00F81673" w:rsidP="00F81673" w:rsidRDefault="00F81673" w14:paraId="56AC936D" w14:textId="63B48176">
            <w:pPr>
              <w:rPr>
                <w:rFonts w:cs="Arial"/>
              </w:rPr>
            </w:pPr>
            <w:r>
              <w:rPr>
                <w:rFonts w:cs="Arial"/>
              </w:rPr>
              <w:t>LEI</w:t>
            </w:r>
          </w:p>
        </w:tc>
        <w:tc>
          <w:tcPr>
            <w:tcW w:w="2976" w:type="dxa"/>
            <w:tcBorders>
              <w:top w:val="nil"/>
              <w:left w:val="nil"/>
              <w:bottom w:val="nil"/>
              <w:right w:val="nil"/>
            </w:tcBorders>
          </w:tcPr>
          <w:p w:rsidR="00F81673" w:rsidP="00F81673" w:rsidRDefault="00BE78C6" w14:paraId="35A0A832" w14:textId="49D7F40D">
            <w:pPr>
              <w:jc w:val="right"/>
              <w:rPr>
                <w:rFonts w:cs="Arial"/>
                <w:spacing w:val="6"/>
              </w:rPr>
            </w:pPr>
            <w:r>
              <w:t xml:space="preserve"> </w:t>
            </w:r>
            <w:r w:rsidRPr="00BE78C6">
              <w:rPr>
                <w:rFonts w:cs="Arial"/>
                <w:spacing w:val="6"/>
              </w:rPr>
              <w:t>213800IVO9DDEIJD7724</w:t>
            </w:r>
          </w:p>
        </w:tc>
      </w:tr>
    </w:tbl>
    <w:p w:rsidRPr="00DE5D68" w:rsidR="00B04D91" w:rsidP="00C27D12" w:rsidRDefault="00B04D91" w14:paraId="03927F6E" w14:textId="0F97F544">
      <w:pPr>
        <w:rPr>
          <w:rFonts w:cs="Arial"/>
        </w:rPr>
        <w:sectPr w:rsidRPr="00DE5D68" w:rsidR="00B04D91" w:rsidSect="00706BDB">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418" w:header="680" w:footer="680" w:gutter="0"/>
          <w:paperSrc w:first="263" w:other="263"/>
          <w:cols w:space="0"/>
          <w:docGrid w:linePitch="360"/>
        </w:sectPr>
      </w:pPr>
    </w:p>
    <w:p w:rsidRPr="00DE5D68" w:rsidR="001777B4" w:rsidP="00C27D12" w:rsidRDefault="001777B4" w14:paraId="262F4720" w14:textId="05BDA4AC">
      <w:pPr>
        <w:jc w:val="center"/>
        <w:rPr>
          <w:rFonts w:cs="Arial"/>
          <w:b/>
        </w:rPr>
      </w:pPr>
      <w:r w:rsidRPr="00DE5D68">
        <w:rPr>
          <w:rFonts w:cs="Arial"/>
          <w:b/>
        </w:rPr>
        <w:lastRenderedPageBreak/>
        <w:t>DIRECTORS</w:t>
      </w:r>
      <w:r w:rsidRPr="00DE5D68" w:rsidR="003C1AB9">
        <w:rPr>
          <w:rFonts w:cs="Arial"/>
          <w:b/>
        </w:rPr>
        <w:t xml:space="preserve">, </w:t>
      </w:r>
      <w:r w:rsidRPr="00DE5D68" w:rsidR="00DF6809">
        <w:rPr>
          <w:rFonts w:cs="Arial"/>
          <w:b/>
        </w:rPr>
        <w:t xml:space="preserve">MANAGEMENT </w:t>
      </w:r>
      <w:r w:rsidRPr="00DE5D68">
        <w:rPr>
          <w:rFonts w:cs="Arial"/>
          <w:b/>
        </w:rPr>
        <w:t>AND ADVISERS</w:t>
      </w:r>
      <w:r w:rsidRPr="00DE5D68" w:rsidR="00003777">
        <w:rPr>
          <w:rFonts w:cs="Arial"/>
          <w:b/>
        </w:rPr>
        <w:fldChar w:fldCharType="begin"/>
      </w:r>
      <w:r w:rsidRPr="00DE5D68" w:rsidR="00E7304E">
        <w:rPr>
          <w:rFonts w:cs="Arial"/>
        </w:rPr>
        <w:instrText xml:space="preserve"> TC </w:instrText>
      </w:r>
      <w:r w:rsidRPr="00DE5D68" w:rsidR="00170F35">
        <w:rPr>
          <w:rFonts w:cs="Arial"/>
        </w:rPr>
        <w:instrText>"</w:instrText>
      </w:r>
      <w:bookmarkStart w:name="_Toc329599168" w:id="91"/>
      <w:bookmarkStart w:name="_Toc405805323" w:id="92"/>
      <w:bookmarkStart w:name="_Toc493520578" w:id="93"/>
      <w:bookmarkStart w:name="_Toc78485970" w:id="94"/>
      <w:bookmarkStart w:name="_Toc190288029" w:id="95"/>
      <w:r w:rsidRPr="00DE5D68" w:rsidR="00E7304E">
        <w:rPr>
          <w:rFonts w:cs="Arial"/>
        </w:rPr>
        <w:instrText>DIRECTORS</w:instrText>
      </w:r>
      <w:r w:rsidRPr="00DE5D68" w:rsidR="003C1AB9">
        <w:rPr>
          <w:rFonts w:cs="Arial"/>
        </w:rPr>
        <w:instrText>,</w:instrText>
      </w:r>
      <w:r w:rsidRPr="00DE5D68" w:rsidR="00163A6F">
        <w:rPr>
          <w:rFonts w:cs="Arial"/>
        </w:rPr>
        <w:instrText xml:space="preserve"> MANAGE</w:instrText>
      </w:r>
      <w:r w:rsidRPr="00DE5D68" w:rsidR="00DF6809">
        <w:rPr>
          <w:rFonts w:cs="Arial"/>
        </w:rPr>
        <w:instrText xml:space="preserve">MENT </w:instrText>
      </w:r>
      <w:r w:rsidRPr="00DE5D68" w:rsidR="00E7304E">
        <w:rPr>
          <w:rFonts w:cs="Arial"/>
        </w:rPr>
        <w:instrText>AND ADVISERS</w:instrText>
      </w:r>
      <w:bookmarkEnd w:id="91"/>
      <w:bookmarkEnd w:id="92"/>
      <w:bookmarkEnd w:id="93"/>
      <w:bookmarkEnd w:id="94"/>
      <w:bookmarkEnd w:id="95"/>
      <w:r w:rsidRPr="00DE5D68" w:rsidR="00170F35">
        <w:rPr>
          <w:rFonts w:cs="Arial"/>
        </w:rPr>
        <w:instrText>"</w:instrText>
      </w:r>
      <w:r w:rsidRPr="00DE5D68" w:rsidR="00E7304E">
        <w:rPr>
          <w:rFonts w:cs="Arial"/>
        </w:rPr>
        <w:instrText xml:space="preserve"> \f C \l </w:instrText>
      </w:r>
      <w:r w:rsidRPr="00DE5D68" w:rsidR="00170F35">
        <w:rPr>
          <w:rFonts w:cs="Arial"/>
        </w:rPr>
        <w:instrText>"</w:instrText>
      </w:r>
      <w:r w:rsidRPr="00DE5D68" w:rsidR="00E7304E">
        <w:rPr>
          <w:rFonts w:cs="Arial"/>
        </w:rPr>
        <w:instrText>1</w:instrText>
      </w:r>
      <w:r w:rsidRPr="00DE5D68" w:rsidR="00170F35">
        <w:rPr>
          <w:rFonts w:cs="Arial"/>
        </w:rPr>
        <w:instrText>"</w:instrText>
      </w:r>
      <w:r w:rsidRPr="00DE5D68" w:rsidR="00E7304E">
        <w:rPr>
          <w:rFonts w:cs="Arial"/>
        </w:rPr>
        <w:instrText xml:space="preserve"> </w:instrText>
      </w:r>
      <w:r w:rsidRPr="00DE5D68" w:rsidR="00003777">
        <w:rPr>
          <w:rFonts w:cs="Arial"/>
          <w:b/>
        </w:rPr>
        <w:fldChar w:fldCharType="end"/>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83"/>
        <w:gridCol w:w="4671"/>
      </w:tblGrid>
      <w:tr w:rsidRPr="00DE5D68" w:rsidR="00410A4A" w:rsidTr="00020CC9" w14:paraId="0DCC4A17" w14:textId="77777777">
        <w:trPr>
          <w:trHeight w:val="1430"/>
        </w:trPr>
        <w:tc>
          <w:tcPr>
            <w:tcW w:w="4683" w:type="dxa"/>
          </w:tcPr>
          <w:p w:rsidRPr="00DE5D68" w:rsidR="00410A4A" w:rsidP="008D428C" w:rsidRDefault="004A3A54" w14:paraId="66E08152" w14:textId="108B42F9">
            <w:pPr>
              <w:spacing w:after="0"/>
              <w:jc w:val="left"/>
              <w:rPr>
                <w:rFonts w:cs="Arial"/>
                <w:b/>
                <w:spacing w:val="6"/>
              </w:rPr>
            </w:pPr>
            <w:bookmarkStart w:name="_Hlk184376031" w:id="96"/>
            <w:r w:rsidRPr="00DE5D68">
              <w:rPr>
                <w:rFonts w:cs="Arial"/>
                <w:b/>
              </w:rPr>
              <w:t>Directors (all non-executive)</w:t>
            </w:r>
          </w:p>
        </w:tc>
        <w:tc>
          <w:tcPr>
            <w:tcW w:w="4671" w:type="dxa"/>
          </w:tcPr>
          <w:p w:rsidR="00A83E00" w:rsidP="00A83E00" w:rsidRDefault="00A83E00" w14:paraId="31EA90A3" w14:textId="5C0C6747">
            <w:pPr>
              <w:spacing w:after="0"/>
              <w:jc w:val="left"/>
              <w:rPr>
                <w:rFonts w:cs="Arial"/>
                <w:spacing w:val="6"/>
              </w:rPr>
            </w:pPr>
            <w:r>
              <w:rPr>
                <w:rFonts w:cs="Arial"/>
                <w:spacing w:val="6"/>
              </w:rPr>
              <w:t xml:space="preserve">Charlotte Denton </w:t>
            </w:r>
            <w:r w:rsidRPr="00DE5D68">
              <w:rPr>
                <w:rFonts w:cs="Arial"/>
                <w:i/>
                <w:iCs/>
                <w:spacing w:val="4"/>
              </w:rPr>
              <w:t>(Chair)</w:t>
            </w:r>
          </w:p>
          <w:p w:rsidRPr="00525B5A" w:rsidR="00630CCF" w:rsidP="008D428C" w:rsidRDefault="000E3272" w14:paraId="4DCE0952" w14:textId="2A80EB26">
            <w:pPr>
              <w:spacing w:after="0"/>
              <w:jc w:val="left"/>
              <w:rPr>
                <w:rFonts w:cs="Arial"/>
                <w:spacing w:val="6"/>
              </w:rPr>
            </w:pPr>
            <w:r>
              <w:rPr>
                <w:rFonts w:cs="Arial"/>
                <w:spacing w:val="6"/>
              </w:rPr>
              <w:t>Helen Green</w:t>
            </w:r>
            <w:r w:rsidR="00525B5A">
              <w:rPr>
                <w:rFonts w:cs="Arial"/>
                <w:spacing w:val="6"/>
              </w:rPr>
              <w:t xml:space="preserve"> </w:t>
            </w:r>
          </w:p>
          <w:p w:rsidR="00947A6C" w:rsidP="008D428C" w:rsidRDefault="000E3272" w14:paraId="7537A7F3" w14:textId="7F7E789F">
            <w:pPr>
              <w:spacing w:after="0"/>
              <w:jc w:val="left"/>
              <w:rPr>
                <w:rFonts w:cs="Arial"/>
                <w:spacing w:val="6"/>
              </w:rPr>
            </w:pPr>
            <w:r>
              <w:rPr>
                <w:rFonts w:cs="Arial"/>
                <w:spacing w:val="6"/>
              </w:rPr>
              <w:t>Brett Miller</w:t>
            </w:r>
          </w:p>
          <w:p w:rsidRPr="00DE5D68" w:rsidR="008D428C" w:rsidP="008D428C" w:rsidRDefault="008D428C" w14:paraId="1445E2D3" w14:textId="77777777">
            <w:pPr>
              <w:spacing w:after="0"/>
              <w:jc w:val="left"/>
              <w:rPr>
                <w:rFonts w:cs="Arial"/>
                <w:spacing w:val="6"/>
              </w:rPr>
            </w:pPr>
          </w:p>
          <w:p w:rsidR="00410A4A" w:rsidP="008D428C" w:rsidRDefault="00410A4A" w14:paraId="3C8EA0CF" w14:textId="77777777">
            <w:pPr>
              <w:spacing w:after="0"/>
              <w:jc w:val="left"/>
              <w:rPr>
                <w:rFonts w:cs="Arial"/>
              </w:rPr>
            </w:pPr>
            <w:r w:rsidRPr="00DE5D68">
              <w:rPr>
                <w:rFonts w:cs="Arial"/>
              </w:rPr>
              <w:t xml:space="preserve">all </w:t>
            </w:r>
            <w:r w:rsidRPr="00DE5D68" w:rsidR="003B57E6">
              <w:rPr>
                <w:rFonts w:cs="Arial"/>
              </w:rPr>
              <w:t>of the registered office below:</w:t>
            </w:r>
          </w:p>
          <w:p w:rsidRPr="00DE5D68" w:rsidR="008D428C" w:rsidP="008D428C" w:rsidRDefault="008D428C" w14:paraId="38938118" w14:textId="6A6EED33">
            <w:pPr>
              <w:spacing w:after="0"/>
              <w:jc w:val="left"/>
              <w:rPr>
                <w:rFonts w:cs="Arial"/>
              </w:rPr>
            </w:pPr>
          </w:p>
        </w:tc>
      </w:tr>
      <w:tr w:rsidRPr="00DE5D68" w:rsidR="000273B2" w:rsidTr="00020CC9" w14:paraId="0F6CA298" w14:textId="77777777">
        <w:trPr>
          <w:trHeight w:val="330"/>
        </w:trPr>
        <w:tc>
          <w:tcPr>
            <w:tcW w:w="4683" w:type="dxa"/>
          </w:tcPr>
          <w:p w:rsidRPr="00DE5D68" w:rsidR="000273B2" w:rsidP="008D428C" w:rsidRDefault="00410A4A" w14:paraId="71431C0F" w14:textId="77777777">
            <w:pPr>
              <w:spacing w:after="0"/>
              <w:jc w:val="left"/>
              <w:rPr>
                <w:rFonts w:cs="Arial"/>
                <w:b/>
                <w:spacing w:val="6"/>
              </w:rPr>
            </w:pPr>
            <w:r w:rsidRPr="00DE5D68">
              <w:rPr>
                <w:rFonts w:cs="Arial"/>
                <w:b/>
              </w:rPr>
              <w:t>Registered Office</w:t>
            </w:r>
          </w:p>
        </w:tc>
        <w:tc>
          <w:tcPr>
            <w:tcW w:w="4671" w:type="dxa"/>
          </w:tcPr>
          <w:p w:rsidR="002267BD" w:rsidP="003D641A" w:rsidRDefault="002267BD" w14:paraId="1D87B5A8" w14:textId="1D8D076A">
            <w:pPr>
              <w:spacing w:after="0"/>
              <w:jc w:val="left"/>
              <w:rPr>
                <w:rFonts w:cs="Arial"/>
                <w:spacing w:val="6"/>
              </w:rPr>
            </w:pPr>
            <w:r w:rsidRPr="002267BD">
              <w:rPr>
                <w:rFonts w:cs="Arial"/>
                <w:spacing w:val="6"/>
              </w:rPr>
              <w:t>Les Echelons Court</w:t>
            </w:r>
          </w:p>
          <w:p w:rsidR="002267BD" w:rsidP="003D641A" w:rsidRDefault="002267BD" w14:paraId="3F4A3844" w14:textId="1B8E3ADB">
            <w:pPr>
              <w:spacing w:after="0"/>
              <w:jc w:val="left"/>
              <w:rPr>
                <w:rFonts w:cs="Arial"/>
                <w:spacing w:val="6"/>
              </w:rPr>
            </w:pPr>
            <w:r w:rsidRPr="002267BD">
              <w:rPr>
                <w:rFonts w:cs="Arial"/>
                <w:spacing w:val="6"/>
              </w:rPr>
              <w:t>Les Echelons</w:t>
            </w:r>
          </w:p>
          <w:p w:rsidR="002267BD" w:rsidP="003D641A" w:rsidRDefault="002267BD" w14:paraId="0A102F4E" w14:textId="77777777">
            <w:pPr>
              <w:spacing w:after="0"/>
              <w:jc w:val="left"/>
              <w:rPr>
                <w:rFonts w:cs="Arial"/>
                <w:spacing w:val="6"/>
              </w:rPr>
            </w:pPr>
            <w:r w:rsidRPr="002267BD">
              <w:rPr>
                <w:rFonts w:cs="Arial"/>
                <w:spacing w:val="6"/>
              </w:rPr>
              <w:t>St Peter Port</w:t>
            </w:r>
          </w:p>
          <w:p w:rsidR="002267BD" w:rsidP="003D641A" w:rsidRDefault="002267BD" w14:paraId="28801779" w14:textId="77777777">
            <w:pPr>
              <w:spacing w:after="0"/>
              <w:jc w:val="left"/>
              <w:rPr>
                <w:rFonts w:cs="Arial"/>
                <w:spacing w:val="6"/>
              </w:rPr>
            </w:pPr>
            <w:r w:rsidRPr="002267BD">
              <w:rPr>
                <w:rFonts w:cs="Arial"/>
                <w:spacing w:val="6"/>
              </w:rPr>
              <w:t>Guernsey</w:t>
            </w:r>
          </w:p>
          <w:p w:rsidR="00045B36" w:rsidP="003D641A" w:rsidRDefault="002267BD" w14:paraId="2EFEDDAD" w14:textId="139D438F">
            <w:pPr>
              <w:spacing w:after="0"/>
              <w:jc w:val="left"/>
              <w:rPr>
                <w:rFonts w:cs="Arial"/>
                <w:spacing w:val="6"/>
              </w:rPr>
            </w:pPr>
            <w:r w:rsidRPr="002267BD">
              <w:rPr>
                <w:rFonts w:cs="Arial"/>
                <w:spacing w:val="6"/>
              </w:rPr>
              <w:t>GY1 1AR</w:t>
            </w:r>
          </w:p>
          <w:p w:rsidRPr="00DE5D68" w:rsidR="008D428C" w:rsidP="008D428C" w:rsidRDefault="008D428C" w14:paraId="36986522" w14:textId="792C2E73">
            <w:pPr>
              <w:spacing w:after="0"/>
              <w:jc w:val="left"/>
              <w:rPr>
                <w:rFonts w:cs="Arial"/>
                <w:spacing w:val="6"/>
              </w:rPr>
            </w:pPr>
          </w:p>
        </w:tc>
      </w:tr>
      <w:tr w:rsidRPr="00DE5D68" w:rsidR="00A54DED" w:rsidTr="00020CC9" w14:paraId="0196F4E4" w14:textId="77777777">
        <w:tc>
          <w:tcPr>
            <w:tcW w:w="4683" w:type="dxa"/>
          </w:tcPr>
          <w:p w:rsidRPr="00DE5D68" w:rsidR="00A54DED" w:rsidP="008D428C" w:rsidRDefault="008A4117" w14:paraId="55A66182" w14:textId="50AA06AA">
            <w:pPr>
              <w:spacing w:after="0"/>
              <w:jc w:val="left"/>
              <w:rPr>
                <w:rFonts w:cs="Arial"/>
                <w:b/>
              </w:rPr>
            </w:pPr>
            <w:r w:rsidRPr="00DE5D68">
              <w:rPr>
                <w:rFonts w:cs="Arial"/>
                <w:b/>
              </w:rPr>
              <w:t xml:space="preserve">AIFM and </w:t>
            </w:r>
            <w:r w:rsidRPr="00DE5D68" w:rsidR="00621E99">
              <w:rPr>
                <w:rFonts w:cs="Arial"/>
                <w:b/>
              </w:rPr>
              <w:t xml:space="preserve">Investment </w:t>
            </w:r>
            <w:r w:rsidRPr="00DE5D68" w:rsidR="00327538">
              <w:rPr>
                <w:rFonts w:cs="Arial"/>
                <w:b/>
              </w:rPr>
              <w:t>Manager</w:t>
            </w:r>
          </w:p>
        </w:tc>
        <w:tc>
          <w:tcPr>
            <w:tcW w:w="4671" w:type="dxa"/>
          </w:tcPr>
          <w:p w:rsidR="004B10DE" w:rsidP="00525B5A" w:rsidRDefault="00525B5A" w14:paraId="3739C0F1" w14:textId="72B7F189">
            <w:pPr>
              <w:spacing w:after="0"/>
              <w:jc w:val="left"/>
              <w:rPr>
                <w:rFonts w:cs="Arial"/>
                <w:spacing w:val="6"/>
              </w:rPr>
            </w:pPr>
            <w:r w:rsidRPr="00525B5A">
              <w:rPr>
                <w:rFonts w:cs="Arial"/>
                <w:spacing w:val="6"/>
              </w:rPr>
              <w:t>Harwood Capita</w:t>
            </w:r>
            <w:r w:rsidR="005B78A8">
              <w:rPr>
                <w:rFonts w:cs="Arial"/>
                <w:spacing w:val="6"/>
              </w:rPr>
              <w:t>l Management (Gibraltar) Limited</w:t>
            </w:r>
          </w:p>
          <w:p w:rsidR="005B78A8" w:rsidP="00525B5A" w:rsidRDefault="005B78A8" w14:paraId="1E956846" w14:textId="33818873">
            <w:pPr>
              <w:spacing w:after="0"/>
              <w:jc w:val="left"/>
              <w:rPr>
                <w:rFonts w:cs="Arial"/>
                <w:spacing w:val="6"/>
              </w:rPr>
            </w:pPr>
            <w:r>
              <w:rPr>
                <w:rFonts w:cs="Arial"/>
                <w:spacing w:val="6"/>
              </w:rPr>
              <w:t>Suite 23</w:t>
            </w:r>
          </w:p>
          <w:p w:rsidR="005B78A8" w:rsidP="00525B5A" w:rsidRDefault="005B78A8" w14:paraId="761B0A44" w14:textId="447AC6FB">
            <w:pPr>
              <w:spacing w:after="0"/>
              <w:jc w:val="left"/>
              <w:rPr>
                <w:rFonts w:cs="Arial"/>
                <w:spacing w:val="6"/>
              </w:rPr>
            </w:pPr>
            <w:r>
              <w:rPr>
                <w:rFonts w:cs="Arial"/>
                <w:spacing w:val="6"/>
              </w:rPr>
              <w:t>Portland House</w:t>
            </w:r>
          </w:p>
          <w:p w:rsidR="005B78A8" w:rsidP="00525B5A" w:rsidRDefault="005B78A8" w14:paraId="1E77D3A5" w14:textId="0D71CB34">
            <w:pPr>
              <w:spacing w:after="0"/>
              <w:jc w:val="left"/>
              <w:rPr>
                <w:rFonts w:cs="Arial"/>
                <w:spacing w:val="6"/>
              </w:rPr>
            </w:pPr>
            <w:r>
              <w:rPr>
                <w:rFonts w:cs="Arial"/>
                <w:spacing w:val="6"/>
              </w:rPr>
              <w:t>Glacis Road</w:t>
            </w:r>
          </w:p>
          <w:p w:rsidR="005B78A8" w:rsidP="00525B5A" w:rsidRDefault="005B78A8" w14:paraId="02445327" w14:textId="6AE7DDB2">
            <w:pPr>
              <w:spacing w:after="0"/>
              <w:jc w:val="left"/>
              <w:rPr>
                <w:rFonts w:cs="Arial"/>
                <w:spacing w:val="6"/>
              </w:rPr>
            </w:pPr>
            <w:r>
              <w:rPr>
                <w:rFonts w:cs="Arial"/>
                <w:spacing w:val="6"/>
              </w:rPr>
              <w:t>Gibraltar</w:t>
            </w:r>
          </w:p>
          <w:p w:rsidRPr="005B78A8" w:rsidR="005B78A8" w:rsidP="00525B5A" w:rsidRDefault="005B78A8" w14:paraId="5CFEDB46" w14:textId="1AEBB039">
            <w:pPr>
              <w:spacing w:after="0"/>
              <w:jc w:val="left"/>
              <w:rPr>
                <w:rFonts w:cs="Arial"/>
                <w:spacing w:val="6"/>
              </w:rPr>
            </w:pPr>
            <w:r>
              <w:rPr>
                <w:rFonts w:cs="Arial"/>
                <w:spacing w:val="6"/>
              </w:rPr>
              <w:t>GX11 1AA</w:t>
            </w:r>
          </w:p>
          <w:p w:rsidRPr="00DE5D68" w:rsidR="008D428C" w:rsidP="008D428C" w:rsidRDefault="008D428C" w14:paraId="690BB7CC" w14:textId="28D0AE94">
            <w:pPr>
              <w:spacing w:after="0"/>
              <w:jc w:val="left"/>
              <w:rPr>
                <w:rFonts w:cs="Arial"/>
              </w:rPr>
            </w:pPr>
          </w:p>
        </w:tc>
      </w:tr>
      <w:tr w:rsidRPr="00DE5D68" w:rsidR="00B536EC" w:rsidTr="00020CC9" w14:paraId="15E856DE" w14:textId="77777777">
        <w:trPr>
          <w:trHeight w:val="1140"/>
        </w:trPr>
        <w:tc>
          <w:tcPr>
            <w:tcW w:w="4683" w:type="dxa"/>
          </w:tcPr>
          <w:p w:rsidRPr="00DE5D68" w:rsidR="00B536EC" w:rsidP="008D428C" w:rsidRDefault="00BC4313" w14:paraId="173D71E6" w14:textId="6DB63F36">
            <w:pPr>
              <w:spacing w:after="0"/>
              <w:jc w:val="left"/>
              <w:rPr>
                <w:rFonts w:cs="Arial"/>
                <w:b/>
              </w:rPr>
            </w:pPr>
            <w:r w:rsidRPr="00DE5D68">
              <w:rPr>
                <w:rFonts w:cs="Arial"/>
                <w:b/>
              </w:rPr>
              <w:t>Administrator</w:t>
            </w:r>
            <w:r w:rsidRPr="00DE5D68" w:rsidR="00084D2C">
              <w:rPr>
                <w:rFonts w:cs="Arial"/>
                <w:b/>
              </w:rPr>
              <w:t xml:space="preserve"> </w:t>
            </w:r>
            <w:r w:rsidR="00A848C6">
              <w:rPr>
                <w:rFonts w:cs="Arial"/>
                <w:b/>
              </w:rPr>
              <w:t>and Company Secretary</w:t>
            </w:r>
          </w:p>
        </w:tc>
        <w:tc>
          <w:tcPr>
            <w:tcW w:w="4671" w:type="dxa"/>
          </w:tcPr>
          <w:p w:rsidR="008D428C" w:rsidP="00525B5A" w:rsidRDefault="002267BD" w14:paraId="67FF8AE6" w14:textId="251DBD4B">
            <w:pPr>
              <w:spacing w:after="0"/>
              <w:jc w:val="left"/>
              <w:rPr>
                <w:rFonts w:cs="Arial"/>
                <w:spacing w:val="6"/>
              </w:rPr>
            </w:pPr>
            <w:bookmarkStart w:name="_Hlk189669753" w:id="97"/>
            <w:r>
              <w:rPr>
                <w:rFonts w:cs="Arial"/>
                <w:spacing w:val="6"/>
              </w:rPr>
              <w:t>NSM Funds Limited</w:t>
            </w:r>
          </w:p>
          <w:bookmarkEnd w:id="97"/>
          <w:p w:rsidR="002267BD" w:rsidP="00525B5A" w:rsidRDefault="002267BD" w14:paraId="40396D22" w14:textId="77777777">
            <w:pPr>
              <w:spacing w:after="0"/>
              <w:jc w:val="left"/>
              <w:rPr>
                <w:rFonts w:cs="Arial"/>
                <w:spacing w:val="6"/>
              </w:rPr>
            </w:pPr>
            <w:r w:rsidRPr="002267BD">
              <w:rPr>
                <w:rFonts w:cs="Arial"/>
                <w:spacing w:val="6"/>
              </w:rPr>
              <w:t>Les Echelons Court</w:t>
            </w:r>
          </w:p>
          <w:p w:rsidR="002267BD" w:rsidP="00525B5A" w:rsidRDefault="002267BD" w14:paraId="39769764" w14:textId="77777777">
            <w:pPr>
              <w:spacing w:after="0"/>
              <w:jc w:val="left"/>
              <w:rPr>
                <w:rFonts w:cs="Arial"/>
                <w:spacing w:val="6"/>
              </w:rPr>
            </w:pPr>
            <w:r w:rsidRPr="002267BD">
              <w:rPr>
                <w:rFonts w:cs="Arial"/>
                <w:spacing w:val="6"/>
              </w:rPr>
              <w:t>Les Echelons</w:t>
            </w:r>
          </w:p>
          <w:p w:rsidR="002267BD" w:rsidP="00525B5A" w:rsidRDefault="002267BD" w14:paraId="5FBED4DE" w14:textId="77777777">
            <w:pPr>
              <w:spacing w:after="0"/>
              <w:jc w:val="left"/>
              <w:rPr>
                <w:rFonts w:cs="Arial"/>
                <w:spacing w:val="6"/>
              </w:rPr>
            </w:pPr>
            <w:r w:rsidRPr="002267BD">
              <w:rPr>
                <w:rFonts w:cs="Arial"/>
                <w:spacing w:val="6"/>
              </w:rPr>
              <w:t>St Peter Port</w:t>
            </w:r>
          </w:p>
          <w:p w:rsidR="002267BD" w:rsidP="00525B5A" w:rsidRDefault="002267BD" w14:paraId="46DBA5FF" w14:textId="77777777">
            <w:pPr>
              <w:spacing w:after="0"/>
              <w:jc w:val="left"/>
              <w:rPr>
                <w:rFonts w:cs="Arial"/>
                <w:spacing w:val="6"/>
              </w:rPr>
            </w:pPr>
            <w:r w:rsidRPr="002267BD">
              <w:rPr>
                <w:rFonts w:cs="Arial"/>
                <w:spacing w:val="6"/>
              </w:rPr>
              <w:t>Guernsey</w:t>
            </w:r>
          </w:p>
          <w:p w:rsidR="00525B5A" w:rsidP="00525B5A" w:rsidRDefault="002267BD" w14:paraId="771AD972" w14:textId="77777777">
            <w:pPr>
              <w:spacing w:after="0"/>
              <w:jc w:val="left"/>
              <w:rPr>
                <w:rFonts w:cs="Arial"/>
                <w:spacing w:val="6"/>
              </w:rPr>
            </w:pPr>
            <w:r w:rsidRPr="002267BD">
              <w:rPr>
                <w:rFonts w:cs="Arial"/>
                <w:spacing w:val="6"/>
              </w:rPr>
              <w:t>GY1 1AR</w:t>
            </w:r>
          </w:p>
          <w:p w:rsidRPr="00DE5D68" w:rsidR="002267BD" w:rsidP="00525B5A" w:rsidRDefault="002267BD" w14:paraId="6648E78F" w14:textId="370E9E4C">
            <w:pPr>
              <w:spacing w:after="0"/>
              <w:jc w:val="left"/>
              <w:rPr>
                <w:rFonts w:cs="Arial"/>
                <w:spacing w:val="6"/>
              </w:rPr>
            </w:pPr>
          </w:p>
        </w:tc>
      </w:tr>
      <w:tr w:rsidRPr="00DE5D68" w:rsidR="004B10DE" w:rsidTr="00020CC9" w14:paraId="28241BB4" w14:textId="77777777">
        <w:tc>
          <w:tcPr>
            <w:tcW w:w="4683" w:type="dxa"/>
          </w:tcPr>
          <w:p w:rsidRPr="00DE5D68" w:rsidR="004B10DE" w:rsidP="008D428C" w:rsidRDefault="004B10DE" w14:paraId="67A38090" w14:textId="32C0F450">
            <w:pPr>
              <w:spacing w:after="0"/>
              <w:jc w:val="left"/>
              <w:rPr>
                <w:rFonts w:cs="Arial"/>
                <w:b/>
              </w:rPr>
            </w:pPr>
            <w:r w:rsidRPr="00DE5D68">
              <w:rPr>
                <w:rFonts w:cs="Arial"/>
                <w:b/>
              </w:rPr>
              <w:t>Financial Adviser</w:t>
            </w:r>
            <w:r w:rsidR="00DD0C05">
              <w:rPr>
                <w:rFonts w:cs="Arial"/>
                <w:b/>
              </w:rPr>
              <w:t xml:space="preserve"> and Sole Bookrunner</w:t>
            </w:r>
          </w:p>
        </w:tc>
        <w:tc>
          <w:tcPr>
            <w:tcW w:w="4671" w:type="dxa"/>
          </w:tcPr>
          <w:p w:rsidR="001F12ED" w:rsidP="008D428C" w:rsidRDefault="00DD0C05" w14:paraId="10D4A85B" w14:textId="7CF906F9">
            <w:pPr>
              <w:spacing w:after="0"/>
              <w:jc w:val="left"/>
              <w:rPr>
                <w:rFonts w:cs="Arial"/>
                <w:spacing w:val="6"/>
              </w:rPr>
            </w:pPr>
            <w:r w:rsidRPr="001F12ED">
              <w:rPr>
                <w:rFonts w:cs="Arial"/>
                <w:spacing w:val="6"/>
              </w:rPr>
              <w:t>Singer Capital Markets Securities Limited</w:t>
            </w:r>
          </w:p>
          <w:p w:rsidR="001F12ED" w:rsidP="008D428C" w:rsidRDefault="001F12ED" w14:paraId="58B56F6D" w14:textId="7EBDECFC">
            <w:pPr>
              <w:spacing w:after="0"/>
              <w:jc w:val="left"/>
              <w:rPr>
                <w:rFonts w:cs="Arial"/>
                <w:spacing w:val="6"/>
              </w:rPr>
            </w:pPr>
            <w:r>
              <w:rPr>
                <w:rFonts w:cs="Arial"/>
                <w:spacing w:val="6"/>
              </w:rPr>
              <w:t>1 Bartholomew Lane</w:t>
            </w:r>
          </w:p>
          <w:p w:rsidR="001F12ED" w:rsidP="008D428C" w:rsidRDefault="001F12ED" w14:paraId="204DD114" w14:textId="6927F29C">
            <w:pPr>
              <w:spacing w:after="0"/>
              <w:jc w:val="left"/>
              <w:rPr>
                <w:rFonts w:cs="Arial"/>
                <w:spacing w:val="6"/>
              </w:rPr>
            </w:pPr>
            <w:r w:rsidRPr="001F12ED">
              <w:rPr>
                <w:rFonts w:cs="Arial"/>
                <w:spacing w:val="6"/>
              </w:rPr>
              <w:t xml:space="preserve">London </w:t>
            </w:r>
          </w:p>
          <w:p w:rsidR="001F12ED" w:rsidP="008D428C" w:rsidRDefault="001F12ED" w14:paraId="088249C5" w14:textId="55044813">
            <w:pPr>
              <w:spacing w:after="0"/>
              <w:jc w:val="left"/>
              <w:rPr>
                <w:rFonts w:cs="Arial"/>
                <w:spacing w:val="6"/>
              </w:rPr>
            </w:pPr>
            <w:r w:rsidRPr="001F12ED">
              <w:rPr>
                <w:rFonts w:cs="Arial"/>
                <w:spacing w:val="6"/>
              </w:rPr>
              <w:t>EC2N 2AX</w:t>
            </w:r>
          </w:p>
          <w:p w:rsidRPr="00DE5D68" w:rsidR="004B10DE" w:rsidP="008D428C" w:rsidRDefault="004B10DE" w14:paraId="0687F08E" w14:textId="7D2687B0">
            <w:pPr>
              <w:spacing w:after="0"/>
              <w:jc w:val="left"/>
              <w:rPr>
                <w:rFonts w:cs="Arial"/>
                <w:spacing w:val="6"/>
              </w:rPr>
            </w:pPr>
          </w:p>
        </w:tc>
      </w:tr>
      <w:tr w:rsidRPr="00DE5D68" w:rsidR="00000506" w:rsidTr="00020CC9" w14:paraId="4E416769" w14:textId="77777777">
        <w:tc>
          <w:tcPr>
            <w:tcW w:w="4683" w:type="dxa"/>
          </w:tcPr>
          <w:p w:rsidR="00000506" w:rsidP="008D428C" w:rsidRDefault="00000506" w14:paraId="21FC92FC" w14:textId="77777777">
            <w:pPr>
              <w:spacing w:after="0"/>
              <w:jc w:val="left"/>
              <w:rPr>
                <w:rFonts w:cs="Arial"/>
                <w:b/>
              </w:rPr>
            </w:pPr>
            <w:r>
              <w:rPr>
                <w:rFonts w:cs="Arial"/>
                <w:b/>
              </w:rPr>
              <w:t>Legal Advisers to the Company as to English law</w:t>
            </w:r>
          </w:p>
          <w:p w:rsidR="00000506" w:rsidP="008D428C" w:rsidRDefault="00000506" w14:paraId="11609F80" w14:textId="5AC4A7B5">
            <w:pPr>
              <w:spacing w:after="0"/>
              <w:jc w:val="left"/>
              <w:rPr>
                <w:rFonts w:cs="Arial"/>
                <w:b/>
              </w:rPr>
            </w:pPr>
          </w:p>
        </w:tc>
        <w:tc>
          <w:tcPr>
            <w:tcW w:w="4671" w:type="dxa"/>
          </w:tcPr>
          <w:p w:rsidRPr="00DE5D68" w:rsidR="00000506" w:rsidP="00000506" w:rsidRDefault="00000506" w14:paraId="69C57E2E" w14:textId="77777777">
            <w:pPr>
              <w:spacing w:after="0"/>
              <w:jc w:val="left"/>
              <w:rPr>
                <w:rFonts w:cs="Arial"/>
              </w:rPr>
            </w:pPr>
            <w:r w:rsidRPr="00DE5D68">
              <w:rPr>
                <w:rFonts w:cs="Arial"/>
              </w:rPr>
              <w:t>Gowling WLG (UK) LLP</w:t>
            </w:r>
          </w:p>
          <w:p w:rsidRPr="00DE5D68" w:rsidR="00000506" w:rsidP="00000506" w:rsidRDefault="00000506" w14:paraId="58869974" w14:textId="77777777">
            <w:pPr>
              <w:spacing w:after="0"/>
              <w:jc w:val="left"/>
              <w:rPr>
                <w:rFonts w:cs="Arial"/>
              </w:rPr>
            </w:pPr>
            <w:r w:rsidRPr="00DE5D68">
              <w:rPr>
                <w:rFonts w:cs="Arial"/>
              </w:rPr>
              <w:t>4 More London Riverside</w:t>
            </w:r>
          </w:p>
          <w:p w:rsidRPr="00DE5D68" w:rsidR="00000506" w:rsidP="00000506" w:rsidRDefault="00000506" w14:paraId="3EB9E2D0" w14:textId="77777777">
            <w:pPr>
              <w:spacing w:after="0"/>
              <w:jc w:val="left"/>
              <w:rPr>
                <w:rFonts w:cs="Arial"/>
              </w:rPr>
            </w:pPr>
            <w:r w:rsidRPr="00DE5D68">
              <w:rPr>
                <w:rFonts w:cs="Arial"/>
              </w:rPr>
              <w:t>London</w:t>
            </w:r>
          </w:p>
          <w:p w:rsidRPr="00A848C6" w:rsidR="00000506" w:rsidP="00000506" w:rsidRDefault="00000506" w14:paraId="7C3F2013" w14:textId="418F1519">
            <w:pPr>
              <w:spacing w:after="0"/>
              <w:jc w:val="left"/>
              <w:rPr>
                <w:rFonts w:cs="Arial"/>
              </w:rPr>
            </w:pPr>
            <w:r w:rsidRPr="00DE5D68">
              <w:rPr>
                <w:rFonts w:cs="Arial"/>
              </w:rPr>
              <w:t>SE1 2AU</w:t>
            </w:r>
          </w:p>
          <w:p w:rsidRPr="00DE5D68" w:rsidR="00000506" w:rsidP="008D428C" w:rsidRDefault="00000506" w14:paraId="42D3B130" w14:textId="77777777">
            <w:pPr>
              <w:spacing w:after="0"/>
              <w:jc w:val="left"/>
              <w:rPr>
                <w:rFonts w:cs="Arial"/>
              </w:rPr>
            </w:pPr>
          </w:p>
        </w:tc>
      </w:tr>
      <w:tr w:rsidRPr="00DE5D68" w:rsidR="009E552E" w:rsidTr="00020CC9" w14:paraId="2B6D5986" w14:textId="77777777">
        <w:tc>
          <w:tcPr>
            <w:tcW w:w="4683" w:type="dxa"/>
          </w:tcPr>
          <w:p w:rsidRPr="00DE5D68" w:rsidR="009E552E" w:rsidP="008D428C" w:rsidRDefault="000B499E" w14:paraId="2F5ACB8D" w14:textId="3CFFAA49">
            <w:pPr>
              <w:spacing w:after="0"/>
              <w:jc w:val="left"/>
              <w:rPr>
                <w:rFonts w:cs="Arial"/>
                <w:b/>
              </w:rPr>
            </w:pPr>
            <w:r>
              <w:rPr>
                <w:rFonts w:cs="Arial"/>
                <w:b/>
              </w:rPr>
              <w:t>Legal Advisers</w:t>
            </w:r>
            <w:r w:rsidRPr="00DE5D68" w:rsidR="009E552E">
              <w:rPr>
                <w:rFonts w:cs="Arial"/>
                <w:b/>
              </w:rPr>
              <w:t xml:space="preserve"> to the Company as to Guernsey law</w:t>
            </w:r>
          </w:p>
        </w:tc>
        <w:tc>
          <w:tcPr>
            <w:tcW w:w="4671" w:type="dxa"/>
          </w:tcPr>
          <w:p w:rsidRPr="00DE5D68" w:rsidR="009E552E" w:rsidP="008D428C" w:rsidRDefault="009E552E" w14:paraId="5B938AB7" w14:textId="270A741D">
            <w:pPr>
              <w:spacing w:after="0"/>
              <w:jc w:val="left"/>
              <w:rPr>
                <w:rFonts w:cs="Arial"/>
              </w:rPr>
            </w:pPr>
            <w:r w:rsidRPr="00DE5D68">
              <w:rPr>
                <w:rFonts w:cs="Arial"/>
              </w:rPr>
              <w:t>Car</w:t>
            </w:r>
            <w:r w:rsidRPr="00DE5D68" w:rsidR="00BE52F7">
              <w:rPr>
                <w:rFonts w:cs="Arial"/>
              </w:rPr>
              <w:t>ey Olsen</w:t>
            </w:r>
            <w:r w:rsidRPr="00DE5D68" w:rsidR="00AF60AE">
              <w:rPr>
                <w:rFonts w:cs="Arial"/>
              </w:rPr>
              <w:t xml:space="preserve"> (Guernsey) LLP</w:t>
            </w:r>
          </w:p>
          <w:p w:rsidRPr="00DE5D68" w:rsidR="00BE52F7" w:rsidP="008D428C" w:rsidRDefault="00BE52F7" w14:paraId="6010192B" w14:textId="7308A840">
            <w:pPr>
              <w:spacing w:after="0"/>
              <w:jc w:val="left"/>
              <w:rPr>
                <w:rFonts w:cs="Arial"/>
              </w:rPr>
            </w:pPr>
            <w:r w:rsidRPr="00DE5D68">
              <w:rPr>
                <w:rFonts w:cs="Arial"/>
              </w:rPr>
              <w:t>Carey House</w:t>
            </w:r>
          </w:p>
          <w:p w:rsidRPr="00DE5D68" w:rsidR="00BE52F7" w:rsidP="008D428C" w:rsidRDefault="00BE52F7" w14:paraId="2E2B9723" w14:textId="3ACDD2B2">
            <w:pPr>
              <w:spacing w:after="0"/>
              <w:jc w:val="left"/>
              <w:rPr>
                <w:rFonts w:cs="Arial"/>
              </w:rPr>
            </w:pPr>
            <w:r w:rsidRPr="00DE5D68">
              <w:rPr>
                <w:rFonts w:cs="Arial"/>
              </w:rPr>
              <w:t>Les Banques</w:t>
            </w:r>
          </w:p>
          <w:p w:rsidRPr="00DE5D68" w:rsidR="00BE52F7" w:rsidP="008D428C" w:rsidRDefault="00BE52F7" w14:paraId="0518D228" w14:textId="738B0A13">
            <w:pPr>
              <w:spacing w:after="0"/>
              <w:jc w:val="left"/>
              <w:rPr>
                <w:rFonts w:cs="Arial"/>
              </w:rPr>
            </w:pPr>
            <w:r w:rsidRPr="00DE5D68">
              <w:rPr>
                <w:rFonts w:cs="Arial"/>
              </w:rPr>
              <w:t>Guernsey</w:t>
            </w:r>
          </w:p>
          <w:p w:rsidR="00BE52F7" w:rsidP="008D428C" w:rsidRDefault="00BE52F7" w14:paraId="14DCF756" w14:textId="77777777">
            <w:pPr>
              <w:spacing w:after="0"/>
              <w:jc w:val="left"/>
              <w:rPr>
                <w:rFonts w:cs="Arial"/>
              </w:rPr>
            </w:pPr>
            <w:r w:rsidRPr="00DE5D68">
              <w:rPr>
                <w:rFonts w:cs="Arial"/>
              </w:rPr>
              <w:t>GY1 4BZ</w:t>
            </w:r>
          </w:p>
          <w:p w:rsidRPr="00DE5D68" w:rsidR="008D428C" w:rsidP="008D428C" w:rsidRDefault="008D428C" w14:paraId="493FB0C5" w14:textId="7D7F39E5">
            <w:pPr>
              <w:spacing w:after="0"/>
              <w:jc w:val="left"/>
              <w:rPr>
                <w:rFonts w:cs="Arial"/>
              </w:rPr>
            </w:pPr>
          </w:p>
        </w:tc>
      </w:tr>
      <w:tr w:rsidRPr="00DE5D68" w:rsidR="003E380D" w:rsidTr="00020CC9" w14:paraId="16117A02" w14:textId="77777777">
        <w:tc>
          <w:tcPr>
            <w:tcW w:w="4683" w:type="dxa"/>
          </w:tcPr>
          <w:p w:rsidRPr="00DE5D68" w:rsidR="003E380D" w:rsidP="008D428C" w:rsidRDefault="003E380D" w14:paraId="38459263" w14:textId="594D5575">
            <w:pPr>
              <w:spacing w:after="0"/>
              <w:jc w:val="left"/>
              <w:rPr>
                <w:rFonts w:cs="Arial"/>
                <w:b/>
              </w:rPr>
            </w:pPr>
            <w:r w:rsidRPr="00DE5D68">
              <w:rPr>
                <w:rFonts w:cs="Arial"/>
                <w:b/>
              </w:rPr>
              <w:t xml:space="preserve">Solicitors to the </w:t>
            </w:r>
            <w:r w:rsidRPr="00DE5D68" w:rsidR="004F1DAC">
              <w:rPr>
                <w:rFonts w:cs="Arial"/>
                <w:b/>
              </w:rPr>
              <w:t>Financial Adviser</w:t>
            </w:r>
            <w:r w:rsidRPr="00DE5D68" w:rsidR="00AF60AE">
              <w:rPr>
                <w:rFonts w:cs="Arial"/>
                <w:b/>
              </w:rPr>
              <w:t xml:space="preserve"> and </w:t>
            </w:r>
            <w:r w:rsidRPr="00DE5D68" w:rsidR="00665790">
              <w:rPr>
                <w:rFonts w:cs="Arial"/>
                <w:b/>
              </w:rPr>
              <w:t xml:space="preserve">Sole </w:t>
            </w:r>
            <w:r w:rsidRPr="00DE5D68">
              <w:rPr>
                <w:rFonts w:cs="Arial"/>
                <w:b/>
              </w:rPr>
              <w:t>Bookrunner</w:t>
            </w:r>
          </w:p>
          <w:p w:rsidRPr="00DE5D68" w:rsidR="003E380D" w:rsidP="008D428C" w:rsidRDefault="003E380D" w14:paraId="600DBEBF" w14:textId="60E98204">
            <w:pPr>
              <w:spacing w:after="0"/>
              <w:jc w:val="left"/>
              <w:rPr>
                <w:rFonts w:cs="Arial"/>
                <w:b/>
              </w:rPr>
            </w:pPr>
          </w:p>
        </w:tc>
        <w:tc>
          <w:tcPr>
            <w:tcW w:w="4671" w:type="dxa"/>
          </w:tcPr>
          <w:p w:rsidR="00FC3FA6" w:rsidP="008D428C" w:rsidRDefault="00000506" w14:paraId="7A8B5189" w14:textId="31D553FB">
            <w:pPr>
              <w:spacing w:after="0"/>
              <w:jc w:val="left"/>
              <w:rPr>
                <w:rFonts w:cs="Arial"/>
              </w:rPr>
            </w:pPr>
            <w:r>
              <w:rPr>
                <w:rFonts w:cs="Arial"/>
              </w:rPr>
              <w:t>Stephenson Harwood LLP</w:t>
            </w:r>
          </w:p>
          <w:p w:rsidR="00000506" w:rsidP="008D428C" w:rsidRDefault="00000506" w14:paraId="3D332CBB" w14:textId="77777777">
            <w:pPr>
              <w:spacing w:after="0"/>
              <w:jc w:val="left"/>
              <w:rPr>
                <w:rFonts w:cs="Arial"/>
              </w:rPr>
            </w:pPr>
            <w:r w:rsidRPr="00000506">
              <w:rPr>
                <w:rFonts w:cs="Arial"/>
              </w:rPr>
              <w:t>1 Finsbury Circus</w:t>
            </w:r>
          </w:p>
          <w:p w:rsidR="00000506" w:rsidP="008D428C" w:rsidRDefault="00000506" w14:paraId="67C5FA8E" w14:textId="77777777">
            <w:pPr>
              <w:spacing w:after="0"/>
              <w:jc w:val="left"/>
              <w:rPr>
                <w:rFonts w:cs="Arial"/>
              </w:rPr>
            </w:pPr>
            <w:r w:rsidRPr="00000506">
              <w:rPr>
                <w:rFonts w:cs="Arial"/>
              </w:rPr>
              <w:t>London</w:t>
            </w:r>
          </w:p>
          <w:p w:rsidRPr="00A848C6" w:rsidR="00000506" w:rsidP="008D428C" w:rsidRDefault="00000506" w14:paraId="7A854B9B" w14:textId="039E378E">
            <w:pPr>
              <w:spacing w:after="0"/>
              <w:jc w:val="left"/>
              <w:rPr>
                <w:rFonts w:cs="Arial"/>
              </w:rPr>
            </w:pPr>
            <w:r w:rsidRPr="00000506">
              <w:rPr>
                <w:rFonts w:cs="Arial"/>
              </w:rPr>
              <w:t>EC2M 7SH</w:t>
            </w:r>
          </w:p>
          <w:p w:rsidRPr="00DE5D68" w:rsidR="008D428C" w:rsidP="00000506" w:rsidRDefault="008D428C" w14:paraId="77A1D266" w14:textId="36AD178E">
            <w:pPr>
              <w:spacing w:after="0"/>
              <w:jc w:val="left"/>
              <w:rPr>
                <w:rFonts w:cs="Arial"/>
                <w:spacing w:val="6"/>
              </w:rPr>
            </w:pPr>
          </w:p>
        </w:tc>
      </w:tr>
      <w:tr w:rsidRPr="00DE5D68" w:rsidR="003E380D" w:rsidTr="00020CC9" w14:paraId="3D0A32A3" w14:textId="77777777">
        <w:tc>
          <w:tcPr>
            <w:tcW w:w="4683" w:type="dxa"/>
          </w:tcPr>
          <w:p w:rsidRPr="00DE5D68" w:rsidR="003E380D" w:rsidP="008D428C" w:rsidRDefault="00CD0B79" w14:paraId="37826862" w14:textId="77777777">
            <w:pPr>
              <w:spacing w:after="0"/>
              <w:jc w:val="left"/>
              <w:rPr>
                <w:rFonts w:cs="Arial"/>
                <w:b/>
              </w:rPr>
            </w:pPr>
            <w:r w:rsidRPr="00DE5D68">
              <w:rPr>
                <w:rFonts w:cs="Arial"/>
                <w:b/>
              </w:rPr>
              <w:t>Registrar</w:t>
            </w:r>
            <w:r w:rsidRPr="00DE5D68" w:rsidR="003E380D">
              <w:rPr>
                <w:rFonts w:cs="Arial"/>
                <w:b/>
              </w:rPr>
              <w:t xml:space="preserve"> </w:t>
            </w:r>
          </w:p>
        </w:tc>
        <w:tc>
          <w:tcPr>
            <w:tcW w:w="4671" w:type="dxa"/>
          </w:tcPr>
          <w:p w:rsidRPr="0080231E" w:rsidR="003D641A" w:rsidP="008D428C" w:rsidRDefault="006B1EEB" w14:paraId="12A18A3E" w14:textId="4D205E65">
            <w:pPr>
              <w:spacing w:after="0"/>
              <w:jc w:val="left"/>
              <w:rPr>
                <w:rFonts w:cs="Arial"/>
                <w:szCs w:val="20"/>
              </w:rPr>
            </w:pPr>
            <w:r>
              <w:rPr>
                <w:rFonts w:cs="Arial"/>
                <w:szCs w:val="20"/>
              </w:rPr>
              <w:t>MUFG Corporate Markets (Guernsey) Limited</w:t>
            </w:r>
            <w:r w:rsidRPr="0080231E" w:rsidR="003D641A">
              <w:rPr>
                <w:rFonts w:cs="Arial"/>
                <w:szCs w:val="20"/>
              </w:rPr>
              <w:t xml:space="preserve"> </w:t>
            </w:r>
          </w:p>
          <w:p w:rsidRPr="0080231E" w:rsidR="0080231E" w:rsidP="003D641A" w:rsidRDefault="0080231E" w14:paraId="5B82FE15" w14:textId="77777777">
            <w:pPr>
              <w:spacing w:after="0"/>
              <w:jc w:val="left"/>
              <w:rPr>
                <w:rFonts w:cs="Arial"/>
                <w:szCs w:val="20"/>
              </w:rPr>
            </w:pPr>
            <w:r w:rsidRPr="0080231E">
              <w:rPr>
                <w:rFonts w:cs="Arial"/>
                <w:szCs w:val="20"/>
              </w:rPr>
              <w:t xml:space="preserve">Mont </w:t>
            </w:r>
            <w:proofErr w:type="spellStart"/>
            <w:r w:rsidRPr="0080231E">
              <w:rPr>
                <w:rFonts w:cs="Arial"/>
                <w:szCs w:val="20"/>
              </w:rPr>
              <w:t>Crevelt</w:t>
            </w:r>
            <w:proofErr w:type="spellEnd"/>
            <w:r w:rsidRPr="0080231E">
              <w:rPr>
                <w:rFonts w:cs="Arial"/>
                <w:szCs w:val="20"/>
              </w:rPr>
              <w:t xml:space="preserve"> House</w:t>
            </w:r>
          </w:p>
          <w:p w:rsidRPr="0080231E" w:rsidR="0080231E" w:rsidP="003D641A" w:rsidRDefault="0080231E" w14:paraId="1DFC4524" w14:textId="77777777">
            <w:pPr>
              <w:spacing w:after="0"/>
              <w:jc w:val="left"/>
              <w:rPr>
                <w:rFonts w:cs="Arial"/>
                <w:szCs w:val="20"/>
              </w:rPr>
            </w:pPr>
            <w:r w:rsidRPr="0080231E">
              <w:rPr>
                <w:rFonts w:cs="Arial"/>
                <w:szCs w:val="20"/>
              </w:rPr>
              <w:t>Bulwer Avenue</w:t>
            </w:r>
          </w:p>
          <w:p w:rsidRPr="0080231E" w:rsidR="0080231E" w:rsidP="003D641A" w:rsidRDefault="0080231E" w14:paraId="64AF9103" w14:textId="77777777">
            <w:pPr>
              <w:spacing w:after="0"/>
              <w:jc w:val="left"/>
              <w:rPr>
                <w:rFonts w:cs="Arial"/>
                <w:szCs w:val="20"/>
              </w:rPr>
            </w:pPr>
            <w:r w:rsidRPr="0080231E">
              <w:rPr>
                <w:rFonts w:cs="Arial"/>
                <w:szCs w:val="20"/>
              </w:rPr>
              <w:t>St Sampson</w:t>
            </w:r>
          </w:p>
          <w:p w:rsidRPr="0080231E" w:rsidR="0080231E" w:rsidP="003D641A" w:rsidRDefault="0080231E" w14:paraId="46188FC4" w14:textId="77777777">
            <w:pPr>
              <w:spacing w:after="0"/>
              <w:jc w:val="left"/>
              <w:rPr>
                <w:rFonts w:cs="Arial"/>
                <w:szCs w:val="20"/>
              </w:rPr>
            </w:pPr>
            <w:r w:rsidRPr="0080231E">
              <w:rPr>
                <w:rFonts w:cs="Arial"/>
                <w:szCs w:val="20"/>
              </w:rPr>
              <w:t xml:space="preserve">Guernsey </w:t>
            </w:r>
          </w:p>
          <w:p w:rsidRPr="0080231E" w:rsidR="003D641A" w:rsidP="003D641A" w:rsidRDefault="0080231E" w14:paraId="415C3669" w14:textId="3E5B0D43">
            <w:pPr>
              <w:spacing w:after="0"/>
              <w:jc w:val="left"/>
              <w:rPr>
                <w:rFonts w:cs="Arial"/>
                <w:szCs w:val="20"/>
              </w:rPr>
            </w:pPr>
            <w:r w:rsidRPr="0080231E">
              <w:rPr>
                <w:rFonts w:cs="Arial"/>
                <w:szCs w:val="20"/>
              </w:rPr>
              <w:t>GY2 4LH</w:t>
            </w:r>
          </w:p>
          <w:p w:rsidRPr="00DE5D68" w:rsidR="008D428C" w:rsidP="003D641A" w:rsidRDefault="008D428C" w14:paraId="7C0DEB56" w14:textId="7131B306">
            <w:pPr>
              <w:spacing w:after="0"/>
              <w:jc w:val="left"/>
              <w:rPr>
                <w:rFonts w:cs="Arial"/>
                <w:spacing w:val="6"/>
              </w:rPr>
            </w:pPr>
          </w:p>
        </w:tc>
      </w:tr>
      <w:tr w:rsidRPr="00DE5D68" w:rsidR="00BB5EFD" w:rsidTr="00020CC9" w14:paraId="5C9620CD" w14:textId="77777777">
        <w:trPr>
          <w:trHeight w:val="799"/>
        </w:trPr>
        <w:tc>
          <w:tcPr>
            <w:tcW w:w="4683" w:type="dxa"/>
          </w:tcPr>
          <w:p w:rsidR="00BB5EFD" w:rsidP="00BB5EFD" w:rsidRDefault="00BB5EFD" w14:paraId="46C3165A" w14:textId="0B0DA8DE">
            <w:pPr>
              <w:spacing w:after="0"/>
              <w:jc w:val="left"/>
              <w:rPr>
                <w:rFonts w:cs="Arial"/>
                <w:b/>
              </w:rPr>
            </w:pPr>
            <w:r>
              <w:rPr>
                <w:rFonts w:cs="Arial"/>
                <w:b/>
              </w:rPr>
              <w:t>Custodian and Principal Banker</w:t>
            </w:r>
          </w:p>
        </w:tc>
        <w:tc>
          <w:tcPr>
            <w:tcW w:w="4671" w:type="dxa"/>
          </w:tcPr>
          <w:p w:rsidR="00A12F16" w:rsidP="00BB5EFD" w:rsidRDefault="00A12F16" w14:paraId="5447E7C2" w14:textId="77777777">
            <w:pPr>
              <w:spacing w:after="0"/>
              <w:jc w:val="left"/>
              <w:rPr>
                <w:rFonts w:cs="Arial"/>
                <w:spacing w:val="6"/>
                <w:szCs w:val="20"/>
              </w:rPr>
            </w:pPr>
            <w:r w:rsidRPr="00A12F16">
              <w:rPr>
                <w:rFonts w:cs="Arial"/>
                <w:spacing w:val="6"/>
                <w:szCs w:val="20"/>
              </w:rPr>
              <w:t xml:space="preserve">Butterfield Bank (Guernsey) Limited </w:t>
            </w:r>
          </w:p>
          <w:p w:rsidR="00A12F16" w:rsidP="00BB5EFD" w:rsidRDefault="00A12F16" w14:paraId="4FBF548D" w14:textId="77777777">
            <w:pPr>
              <w:spacing w:after="0"/>
              <w:jc w:val="left"/>
              <w:rPr>
                <w:rFonts w:cs="Arial"/>
                <w:spacing w:val="6"/>
                <w:szCs w:val="20"/>
              </w:rPr>
            </w:pPr>
            <w:proofErr w:type="spellStart"/>
            <w:r w:rsidRPr="00A12F16">
              <w:rPr>
                <w:rFonts w:cs="Arial"/>
                <w:spacing w:val="6"/>
                <w:szCs w:val="20"/>
              </w:rPr>
              <w:t>Glategny</w:t>
            </w:r>
            <w:proofErr w:type="spellEnd"/>
            <w:r w:rsidRPr="00A12F16">
              <w:rPr>
                <w:rFonts w:cs="Arial"/>
                <w:spacing w:val="6"/>
                <w:szCs w:val="20"/>
              </w:rPr>
              <w:t xml:space="preserve"> Esplanade </w:t>
            </w:r>
          </w:p>
          <w:p w:rsidR="00A12F16" w:rsidP="00BB5EFD" w:rsidRDefault="00A12F16" w14:paraId="0C847360" w14:textId="77777777">
            <w:pPr>
              <w:spacing w:after="0"/>
              <w:jc w:val="left"/>
              <w:rPr>
                <w:rFonts w:cs="Arial"/>
                <w:spacing w:val="6"/>
                <w:szCs w:val="20"/>
              </w:rPr>
            </w:pPr>
            <w:r w:rsidRPr="00A12F16">
              <w:rPr>
                <w:rFonts w:cs="Arial"/>
                <w:spacing w:val="6"/>
                <w:szCs w:val="20"/>
              </w:rPr>
              <w:t xml:space="preserve">Regency Court </w:t>
            </w:r>
          </w:p>
          <w:p w:rsidR="00A12F16" w:rsidP="00BB5EFD" w:rsidRDefault="00A12F16" w14:paraId="639351EF" w14:textId="77777777">
            <w:pPr>
              <w:spacing w:after="0"/>
              <w:jc w:val="left"/>
              <w:rPr>
                <w:rFonts w:cs="Arial"/>
                <w:spacing w:val="6"/>
                <w:szCs w:val="20"/>
              </w:rPr>
            </w:pPr>
            <w:r w:rsidRPr="00A12F16">
              <w:rPr>
                <w:rFonts w:cs="Arial"/>
                <w:spacing w:val="6"/>
                <w:szCs w:val="20"/>
              </w:rPr>
              <w:t xml:space="preserve">Guernsey </w:t>
            </w:r>
          </w:p>
          <w:p w:rsidRPr="00A12F16" w:rsidR="003D641A" w:rsidP="00BB5EFD" w:rsidRDefault="00A12F16" w14:paraId="3875749F" w14:textId="504AE07F">
            <w:pPr>
              <w:spacing w:after="0"/>
              <w:jc w:val="left"/>
              <w:rPr>
                <w:rFonts w:cs="Arial"/>
                <w:spacing w:val="6"/>
                <w:szCs w:val="20"/>
              </w:rPr>
            </w:pPr>
            <w:r w:rsidRPr="00A12F16">
              <w:rPr>
                <w:rFonts w:cs="Arial"/>
                <w:spacing w:val="6"/>
                <w:szCs w:val="20"/>
              </w:rPr>
              <w:t>GY1 3AP</w:t>
            </w:r>
          </w:p>
          <w:p w:rsidR="00ED2971" w:rsidP="00BB5EFD" w:rsidRDefault="00ED2971" w14:paraId="453D5296" w14:textId="34FA71F9">
            <w:pPr>
              <w:spacing w:after="0"/>
              <w:jc w:val="left"/>
              <w:rPr>
                <w:rFonts w:cs="Arial"/>
                <w:spacing w:val="6"/>
              </w:rPr>
            </w:pPr>
          </w:p>
        </w:tc>
      </w:tr>
      <w:tr w:rsidRPr="00DE5D68" w:rsidR="00BB5EFD" w:rsidTr="00020CC9" w14:paraId="5185E7FB" w14:textId="77777777">
        <w:trPr>
          <w:trHeight w:val="1082"/>
        </w:trPr>
        <w:tc>
          <w:tcPr>
            <w:tcW w:w="4683" w:type="dxa"/>
          </w:tcPr>
          <w:p w:rsidRPr="00DE5D68" w:rsidR="00BB5EFD" w:rsidP="00BB5EFD" w:rsidRDefault="00BB5EFD" w14:paraId="06F15420" w14:textId="1DD22C47">
            <w:pPr>
              <w:spacing w:after="0"/>
              <w:jc w:val="left"/>
              <w:rPr>
                <w:rFonts w:cs="Arial"/>
                <w:b/>
              </w:rPr>
            </w:pPr>
            <w:r w:rsidRPr="00DE5D68">
              <w:rPr>
                <w:rFonts w:cs="Arial"/>
                <w:b/>
              </w:rPr>
              <w:lastRenderedPageBreak/>
              <w:t>Auditor</w:t>
            </w:r>
          </w:p>
        </w:tc>
        <w:tc>
          <w:tcPr>
            <w:tcW w:w="4671" w:type="dxa"/>
          </w:tcPr>
          <w:p w:rsidR="00BB5EFD" w:rsidP="00BB5EFD" w:rsidRDefault="00AD1E25" w14:paraId="03F40740" w14:textId="056E3D7F">
            <w:pPr>
              <w:spacing w:after="0"/>
              <w:rPr>
                <w:rFonts w:cstheme="minorHAnsi"/>
              </w:rPr>
            </w:pPr>
            <w:r>
              <w:rPr>
                <w:rFonts w:cstheme="minorHAnsi"/>
              </w:rPr>
              <w:t>Baker Tilly Channel Islands Limited</w:t>
            </w:r>
          </w:p>
          <w:p w:rsidR="00AD1E25" w:rsidP="00BB5EFD" w:rsidRDefault="00AD1E25" w14:paraId="7D22E1C9" w14:textId="6D7D6A04">
            <w:pPr>
              <w:spacing w:after="0"/>
              <w:rPr>
                <w:rFonts w:cstheme="minorHAnsi"/>
              </w:rPr>
            </w:pPr>
            <w:r w:rsidRPr="00AD1E25">
              <w:rPr>
                <w:rFonts w:cstheme="minorHAnsi"/>
              </w:rPr>
              <w:t>P</w:t>
            </w:r>
            <w:r>
              <w:rPr>
                <w:rFonts w:cstheme="minorHAnsi"/>
              </w:rPr>
              <w:t>O</w:t>
            </w:r>
            <w:r w:rsidRPr="00AD1E25">
              <w:rPr>
                <w:rFonts w:cstheme="minorHAnsi"/>
              </w:rPr>
              <w:t xml:space="preserve"> Box 582</w:t>
            </w:r>
          </w:p>
          <w:p w:rsidR="00AD1E25" w:rsidP="00BB5EFD" w:rsidRDefault="00AD1E25" w14:paraId="397E60D8" w14:textId="77777777">
            <w:pPr>
              <w:spacing w:after="0"/>
              <w:rPr>
                <w:rFonts w:cstheme="minorHAnsi"/>
              </w:rPr>
            </w:pPr>
            <w:r w:rsidRPr="00AD1E25">
              <w:rPr>
                <w:rFonts w:cstheme="minorHAnsi"/>
              </w:rPr>
              <w:t xml:space="preserve">Mont </w:t>
            </w:r>
            <w:proofErr w:type="spellStart"/>
            <w:r w:rsidRPr="00AD1E25">
              <w:rPr>
                <w:rFonts w:cstheme="minorHAnsi"/>
              </w:rPr>
              <w:t>Crevelt</w:t>
            </w:r>
            <w:proofErr w:type="spellEnd"/>
            <w:r w:rsidRPr="00AD1E25">
              <w:rPr>
                <w:rFonts w:cstheme="minorHAnsi"/>
              </w:rPr>
              <w:t xml:space="preserve"> House</w:t>
            </w:r>
          </w:p>
          <w:p w:rsidR="00AD1E25" w:rsidP="00BB5EFD" w:rsidRDefault="00AD1E25" w14:paraId="1E1A0E4E" w14:textId="77777777">
            <w:pPr>
              <w:spacing w:after="0"/>
              <w:rPr>
                <w:rFonts w:cstheme="minorHAnsi"/>
              </w:rPr>
            </w:pPr>
            <w:r w:rsidRPr="00AD1E25">
              <w:rPr>
                <w:rFonts w:cstheme="minorHAnsi"/>
              </w:rPr>
              <w:t>Bulwer Avenue</w:t>
            </w:r>
          </w:p>
          <w:p w:rsidR="00AD1E25" w:rsidP="00BB5EFD" w:rsidRDefault="00AD1E25" w14:paraId="45DB83A6" w14:textId="77777777">
            <w:pPr>
              <w:spacing w:after="0"/>
              <w:rPr>
                <w:rFonts w:cstheme="minorHAnsi"/>
              </w:rPr>
            </w:pPr>
            <w:r w:rsidRPr="00AD1E25">
              <w:rPr>
                <w:rFonts w:cstheme="minorHAnsi"/>
              </w:rPr>
              <w:t>St Sampson</w:t>
            </w:r>
          </w:p>
          <w:p w:rsidR="00AD1E25" w:rsidP="00BB5EFD" w:rsidRDefault="00AD1E25" w14:paraId="668173AE" w14:textId="77777777">
            <w:pPr>
              <w:spacing w:after="0"/>
              <w:rPr>
                <w:rFonts w:cstheme="minorHAnsi"/>
              </w:rPr>
            </w:pPr>
            <w:r w:rsidRPr="00AD1E25">
              <w:rPr>
                <w:rFonts w:cstheme="minorHAnsi"/>
              </w:rPr>
              <w:t>Guernsey</w:t>
            </w:r>
          </w:p>
          <w:p w:rsidRPr="00922181" w:rsidR="00AD1E25" w:rsidP="00BB5EFD" w:rsidRDefault="00AD1E25" w14:paraId="7334F41D" w14:textId="7139D7B9">
            <w:pPr>
              <w:spacing w:after="0"/>
              <w:rPr>
                <w:rFonts w:cstheme="minorHAnsi"/>
              </w:rPr>
            </w:pPr>
            <w:r w:rsidRPr="00AD1E25">
              <w:rPr>
                <w:rFonts w:cstheme="minorHAnsi"/>
              </w:rPr>
              <w:t>GY1 6LL</w:t>
            </w:r>
          </w:p>
        </w:tc>
      </w:tr>
      <w:bookmarkEnd w:id="96"/>
    </w:tbl>
    <w:p w:rsidR="0080231E" w:rsidP="00C27D12" w:rsidRDefault="0080231E" w14:paraId="7B445A5A" w14:textId="77777777">
      <w:pPr>
        <w:jc w:val="left"/>
        <w:rPr>
          <w:rFonts w:cs="Arial"/>
          <w:b/>
        </w:rPr>
      </w:pPr>
    </w:p>
    <w:p w:rsidR="0080231E" w:rsidRDefault="0080231E" w14:paraId="485B7367" w14:textId="77777777">
      <w:pPr>
        <w:spacing w:after="0"/>
        <w:jc w:val="left"/>
        <w:rPr>
          <w:rFonts w:cs="Arial"/>
          <w:b/>
        </w:rPr>
      </w:pPr>
      <w:r>
        <w:rPr>
          <w:rFonts w:cs="Arial"/>
          <w:b/>
        </w:rPr>
        <w:br w:type="page"/>
      </w:r>
    </w:p>
    <w:p w:rsidRPr="003309E6" w:rsidR="00B87DD3" w:rsidP="00C06D27" w:rsidRDefault="007C38DB" w14:paraId="23F5EB55" w14:textId="225114EA">
      <w:pPr>
        <w:jc w:val="center"/>
        <w:rPr>
          <w:rFonts w:cs="Arial"/>
          <w:b/>
        </w:rPr>
      </w:pPr>
      <w:r w:rsidRPr="00DE5D68">
        <w:rPr>
          <w:rFonts w:cs="Arial"/>
          <w:b/>
          <w:noProof/>
        </w:rPr>
        <w:lastRenderedPageBreak/>
        <mc:AlternateContent>
          <mc:Choice Requires="wps">
            <w:drawing>
              <wp:anchor distT="0" distB="0" distL="114300" distR="114300" simplePos="0" relativeHeight="251982848" behindDoc="0" locked="0" layoutInCell="1" allowOverlap="1" wp14:editId="32F7C6B9" wp14:anchorId="6A3E7D31">
                <wp:simplePos x="0" y="0"/>
                <wp:positionH relativeFrom="page">
                  <wp:align>right</wp:align>
                </wp:positionH>
                <wp:positionV relativeFrom="paragraph">
                  <wp:posOffset>-3388721</wp:posOffset>
                </wp:positionV>
                <wp:extent cx="582295" cy="644837"/>
                <wp:effectExtent l="0" t="0" r="8255" b="317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644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26CE" w:rsidP="007C38DB" w:rsidRDefault="008026CE" w14:paraId="4B2C8638" w14:textId="23A7E168">
                            <w:pPr>
                              <w:jc w:val="left"/>
                              <w:rPr>
                                <w:sz w:val="14"/>
                                <w:szCs w:val="14"/>
                              </w:rPr>
                            </w:pPr>
                            <w:r>
                              <w:rPr>
                                <w:sz w:val="14"/>
                                <w:szCs w:val="14"/>
                              </w:rPr>
                              <w:t>A11 5.4.2</w:t>
                            </w:r>
                          </w:p>
                          <w:p w:rsidR="008026CE" w:rsidP="007C38DB" w:rsidRDefault="008026CE" w14:paraId="0625E777" w14:textId="77777777">
                            <w:pPr>
                              <w:jc w:val="left"/>
                              <w:rPr>
                                <w:sz w:val="14"/>
                                <w:szCs w:val="14"/>
                              </w:rPr>
                            </w:pPr>
                          </w:p>
                          <w:p w:rsidR="008026CE" w:rsidP="007C38DB" w:rsidRDefault="008026CE" w14:paraId="772D80E4" w14:textId="77777777">
                            <w:pPr>
                              <w:jc w:val="left"/>
                              <w:rPr>
                                <w:sz w:val="14"/>
                                <w:szCs w:val="14"/>
                              </w:rPr>
                            </w:pPr>
                          </w:p>
                          <w:p w:rsidR="008026CE" w:rsidP="007C38DB" w:rsidRDefault="008026CE" w14:paraId="27B6A1AB" w14:textId="77777777">
                            <w:pPr>
                              <w:jc w:val="left"/>
                              <w:rPr>
                                <w:sz w:val="14"/>
                                <w:szCs w:val="14"/>
                              </w:rPr>
                            </w:pPr>
                          </w:p>
                          <w:p w:rsidRPr="00462F49" w:rsidR="008026CE" w:rsidP="007C38DB" w:rsidRDefault="008026CE" w14:paraId="2464D3E5" w14:textId="77777777">
                            <w:pPr>
                              <w:jc w:val="left"/>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left:0;text-align:left;margin-left:-5.35pt;margin-top:-266.85pt;width:45.85pt;height:50.75pt;z-index:2519828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" w14:anchorId="6A3E7D31">
                <v:textbox>
                  <w:txbxContent>
                    <w:p w:rsidR="008026CE" w:rsidP="007C38DB" w:rsidRDefault="008026CE" w14:paraId="4B2C8638" w14:textId="23A7E168">
                      <w:pPr>
                        <w:jc w:val="left"/>
                        <w:rPr>
                          <w:sz w:val="14"/>
                          <w:szCs w:val="14"/>
                        </w:rPr>
                      </w:pPr>
                      <w:r>
                        <w:rPr>
                          <w:sz w:val="14"/>
                          <w:szCs w:val="14"/>
                        </w:rPr>
                        <w:t>A11 5.4.2</w:t>
                      </w:r>
                    </w:p>
                    <w:p w:rsidR="008026CE" w:rsidP="007C38DB" w:rsidRDefault="008026CE" w14:paraId="0625E777" w14:textId="77777777">
                      <w:pPr>
                        <w:jc w:val="left"/>
                        <w:rPr>
                          <w:sz w:val="14"/>
                          <w:szCs w:val="14"/>
                        </w:rPr>
                      </w:pPr>
                    </w:p>
                    <w:p w:rsidR="008026CE" w:rsidP="007C38DB" w:rsidRDefault="008026CE" w14:paraId="772D80E4" w14:textId="77777777">
                      <w:pPr>
                        <w:jc w:val="left"/>
                        <w:rPr>
                          <w:sz w:val="14"/>
                          <w:szCs w:val="14"/>
                        </w:rPr>
                      </w:pPr>
                    </w:p>
                    <w:p w:rsidR="008026CE" w:rsidP="007C38DB" w:rsidRDefault="008026CE" w14:paraId="27B6A1AB" w14:textId="77777777">
                      <w:pPr>
                        <w:jc w:val="left"/>
                        <w:rPr>
                          <w:sz w:val="14"/>
                          <w:szCs w:val="14"/>
                        </w:rPr>
                      </w:pPr>
                    </w:p>
                    <w:p w:rsidRPr="00462F49" w:rsidR="008026CE" w:rsidP="007C38DB" w:rsidRDefault="008026CE" w14:paraId="2464D3E5" w14:textId="77777777">
                      <w:pPr>
                        <w:jc w:val="left"/>
                        <w:rPr>
                          <w:sz w:val="14"/>
                          <w:szCs w:val="14"/>
                        </w:rPr>
                      </w:pPr>
                    </w:p>
                  </w:txbxContent>
                </v:textbox>
                <w10:wrap anchorx="page"/>
              </v:shape>
            </w:pict>
          </mc:Fallback>
        </mc:AlternateContent>
      </w:r>
      <w:r w:rsidRPr="00DE5D68" w:rsidR="00C06B2E">
        <w:rPr>
          <w:rFonts w:cs="Arial"/>
          <w:b/>
          <w:noProof/>
        </w:rPr>
        <mc:AlternateContent>
          <mc:Choice Requires="wps">
            <w:drawing>
              <wp:anchor distT="0" distB="0" distL="114300" distR="114300" simplePos="0" relativeHeight="251572224" behindDoc="0" locked="0" layoutInCell="1" allowOverlap="1" wp14:editId="58E377A6" wp14:anchorId="471400A1">
                <wp:simplePos x="0" y="0"/>
                <wp:positionH relativeFrom="rightMargin">
                  <wp:align>left</wp:align>
                </wp:positionH>
                <wp:positionV relativeFrom="paragraph">
                  <wp:posOffset>-894602</wp:posOffset>
                </wp:positionV>
                <wp:extent cx="582295" cy="644837"/>
                <wp:effectExtent l="0" t="0" r="8255" b="3175"/>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644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26CE" w:rsidP="007A2645" w:rsidRDefault="008026CE" w14:paraId="259458F2" w14:textId="589AC43C">
                            <w:pPr>
                              <w:jc w:val="left"/>
                              <w:rPr>
                                <w:sz w:val="14"/>
                                <w:szCs w:val="14"/>
                              </w:rPr>
                            </w:pPr>
                            <w:r>
                              <w:rPr>
                                <w:sz w:val="14"/>
                                <w:szCs w:val="14"/>
                              </w:rPr>
                              <w:t>A1 2.1</w:t>
                            </w:r>
                          </w:p>
                          <w:p w:rsidR="008026CE" w:rsidP="007A2645" w:rsidRDefault="008026CE" w14:paraId="4724F2FC" w14:textId="77777777">
                            <w:pPr>
                              <w:jc w:val="left"/>
                              <w:rPr>
                                <w:sz w:val="14"/>
                                <w:szCs w:val="14"/>
                              </w:rPr>
                            </w:pPr>
                          </w:p>
                          <w:p w:rsidR="008026CE" w:rsidP="007A2645" w:rsidRDefault="008026CE" w14:paraId="6F8A9ACA" w14:textId="77777777">
                            <w:pPr>
                              <w:jc w:val="left"/>
                              <w:rPr>
                                <w:sz w:val="14"/>
                                <w:szCs w:val="14"/>
                              </w:rPr>
                            </w:pPr>
                          </w:p>
                          <w:p w:rsidR="008026CE" w:rsidP="007A2645" w:rsidRDefault="008026CE" w14:paraId="33613124" w14:textId="77777777">
                            <w:pPr>
                              <w:jc w:val="left"/>
                              <w:rPr>
                                <w:sz w:val="14"/>
                                <w:szCs w:val="14"/>
                              </w:rPr>
                            </w:pPr>
                          </w:p>
                          <w:p w:rsidRPr="00462F49" w:rsidR="008026CE" w:rsidP="007A2645" w:rsidRDefault="008026CE" w14:paraId="32A7125D" w14:textId="77777777">
                            <w:pPr>
                              <w:jc w:val="left"/>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70.45pt;width:45.85pt;height:50.75pt;z-index:25157222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" w14:anchorId="471400A1">
                <v:textbox>
                  <w:txbxContent>
                    <w:p w:rsidR="008026CE" w:rsidP="007A2645" w:rsidRDefault="008026CE" w14:paraId="259458F2" w14:textId="589AC43C">
                      <w:pPr>
                        <w:jc w:val="left"/>
                        <w:rPr>
                          <w:sz w:val="14"/>
                          <w:szCs w:val="14"/>
                        </w:rPr>
                      </w:pPr>
                      <w:r>
                        <w:rPr>
                          <w:sz w:val="14"/>
                          <w:szCs w:val="14"/>
                        </w:rPr>
                        <w:t>A1 2.1</w:t>
                      </w:r>
                    </w:p>
                    <w:p w:rsidR="008026CE" w:rsidP="007A2645" w:rsidRDefault="008026CE" w14:paraId="4724F2FC" w14:textId="77777777">
                      <w:pPr>
                        <w:jc w:val="left"/>
                        <w:rPr>
                          <w:sz w:val="14"/>
                          <w:szCs w:val="14"/>
                        </w:rPr>
                      </w:pPr>
                    </w:p>
                    <w:p w:rsidR="008026CE" w:rsidP="007A2645" w:rsidRDefault="008026CE" w14:paraId="6F8A9ACA" w14:textId="77777777">
                      <w:pPr>
                        <w:jc w:val="left"/>
                        <w:rPr>
                          <w:sz w:val="14"/>
                          <w:szCs w:val="14"/>
                        </w:rPr>
                      </w:pPr>
                    </w:p>
                    <w:p w:rsidR="008026CE" w:rsidP="007A2645" w:rsidRDefault="008026CE" w14:paraId="33613124" w14:textId="77777777">
                      <w:pPr>
                        <w:jc w:val="left"/>
                        <w:rPr>
                          <w:sz w:val="14"/>
                          <w:szCs w:val="14"/>
                        </w:rPr>
                      </w:pPr>
                    </w:p>
                    <w:p w:rsidRPr="00462F49" w:rsidR="008026CE" w:rsidP="007A2645" w:rsidRDefault="008026CE" w14:paraId="32A7125D" w14:textId="77777777">
                      <w:pPr>
                        <w:jc w:val="left"/>
                        <w:rPr>
                          <w:sz w:val="14"/>
                          <w:szCs w:val="14"/>
                        </w:rPr>
                      </w:pPr>
                    </w:p>
                  </w:txbxContent>
                </v:textbox>
                <w10:wrap anchorx="margin"/>
              </v:shape>
            </w:pict>
          </mc:Fallback>
        </mc:AlternateContent>
      </w:r>
      <w:r w:rsidRPr="003309E6" w:rsidR="00B87DD3">
        <w:rPr>
          <w:rFonts w:cs="Arial"/>
          <w:b/>
        </w:rPr>
        <w:t xml:space="preserve">VOLUNTARY COMPLIANCE WITH THE </w:t>
      </w:r>
      <w:r w:rsidR="007F0C92">
        <w:rPr>
          <w:rFonts w:cs="Arial"/>
          <w:b/>
        </w:rPr>
        <w:t xml:space="preserve">UK </w:t>
      </w:r>
      <w:r w:rsidRPr="003309E6" w:rsidR="00B87DD3">
        <w:rPr>
          <w:rFonts w:cs="Arial"/>
          <w:b/>
        </w:rPr>
        <w:t>LISTING RULES</w:t>
      </w:r>
      <w:r w:rsidRPr="00DE5D68" w:rsidR="00FA62DB">
        <w:rPr>
          <w:rFonts w:cs="Arial"/>
          <w:b/>
        </w:rPr>
        <w:fldChar w:fldCharType="begin"/>
      </w:r>
      <w:r w:rsidRPr="00DE5D68" w:rsidR="00FA62DB">
        <w:rPr>
          <w:rFonts w:cs="Arial"/>
        </w:rPr>
        <w:instrText xml:space="preserve"> TC "</w:instrText>
      </w:r>
      <w:bookmarkStart w:name="_Toc190288030" w:id="98"/>
      <w:r w:rsidR="00FA62DB">
        <w:rPr>
          <w:rFonts w:cs="Arial"/>
        </w:rPr>
        <w:instrText>VOLUNTARY COMPLIANCE WITH THE UK LISTING RULES</w:instrText>
      </w:r>
      <w:bookmarkEnd w:id="98"/>
      <w:r w:rsidRPr="00DE5D68" w:rsidR="00FA62DB">
        <w:rPr>
          <w:rFonts w:cs="Arial"/>
        </w:rPr>
        <w:instrText xml:space="preserve">" \f C \l "1" </w:instrText>
      </w:r>
      <w:r w:rsidRPr="00DE5D68" w:rsidR="00FA62DB">
        <w:rPr>
          <w:rFonts w:cs="Arial"/>
          <w:b/>
        </w:rPr>
        <w:fldChar w:fldCharType="end"/>
      </w:r>
    </w:p>
    <w:p w:rsidRPr="003C7543" w:rsidR="003309E6" w:rsidP="003309E6" w:rsidRDefault="003309E6" w14:paraId="0BB95404" w14:textId="02A4B10B">
      <w:pPr>
        <w:rPr>
          <w:rFonts w:cstheme="minorHAnsi"/>
        </w:rPr>
      </w:pPr>
      <w:r w:rsidRPr="003C7543">
        <w:rPr>
          <w:rFonts w:cstheme="minorHAnsi"/>
        </w:rPr>
        <w:t xml:space="preserve">The </w:t>
      </w:r>
      <w:r w:rsidRPr="003C7543" w:rsidR="007F0C92">
        <w:rPr>
          <w:rFonts w:cstheme="minorHAnsi"/>
        </w:rPr>
        <w:t xml:space="preserve">UK </w:t>
      </w:r>
      <w:r w:rsidRPr="003C7543">
        <w:rPr>
          <w:rFonts w:cstheme="minorHAnsi"/>
        </w:rPr>
        <w:t xml:space="preserve">Listing Rules applicable to closed-ended investment companies which are listed in the closed-ended investment funds category of the Official List do not apply to the Company. The Company is subject to the LSE Admission and Disclosure Standards, </w:t>
      </w:r>
      <w:r w:rsidRPr="003C7543" w:rsidR="009467FC">
        <w:rPr>
          <w:rFonts w:cstheme="minorHAnsi"/>
        </w:rPr>
        <w:t>MAR</w:t>
      </w:r>
      <w:r w:rsidRPr="003C7543">
        <w:rPr>
          <w:rFonts w:cstheme="minorHAnsi"/>
        </w:rPr>
        <w:t xml:space="preserve"> and certain provisions of the Disclosure Guidance and Transparency Rules whilst traded on the Specialist Fund Segment. In addition, the Directors have resolved that, as a matter of best practice and good corporate governance, the Company will voluntarily comply with the following key provisions of the </w:t>
      </w:r>
      <w:r w:rsidRPr="003C7543" w:rsidR="007F0C92">
        <w:rPr>
          <w:rFonts w:cstheme="minorHAnsi"/>
        </w:rPr>
        <w:t xml:space="preserve">UK </w:t>
      </w:r>
      <w:r w:rsidRPr="003C7543">
        <w:rPr>
          <w:rFonts w:cstheme="minorHAnsi"/>
        </w:rPr>
        <w:t xml:space="preserve">Listing Rules: </w:t>
      </w:r>
    </w:p>
    <w:p w:rsidRPr="003C7543" w:rsidR="003309E6" w:rsidP="003309E6" w:rsidRDefault="003309E6" w14:paraId="5FD8C517" w14:textId="032892B2">
      <w:pPr>
        <w:numPr>
          <w:ilvl w:val="0"/>
          <w:numId w:val="64"/>
        </w:numPr>
        <w:spacing w:after="160" w:line="259" w:lineRule="auto"/>
        <w:rPr>
          <w:rFonts w:cstheme="minorHAnsi"/>
        </w:rPr>
      </w:pPr>
      <w:r w:rsidRPr="003C7543">
        <w:rPr>
          <w:rFonts w:cstheme="minorHAnsi"/>
        </w:rPr>
        <w:t xml:space="preserve">the Company is not required to comply with the Listing Principles set out at </w:t>
      </w:r>
      <w:r w:rsidRPr="003C7543" w:rsidR="00DB2456">
        <w:rPr>
          <w:rFonts w:cstheme="minorHAnsi"/>
        </w:rPr>
        <w:t xml:space="preserve">Chapter </w:t>
      </w:r>
      <w:r w:rsidRPr="003C7543">
        <w:rPr>
          <w:rFonts w:cstheme="minorHAnsi"/>
        </w:rPr>
        <w:t xml:space="preserve">2 of the </w:t>
      </w:r>
      <w:r w:rsidRPr="003C7543" w:rsidR="007F0C92">
        <w:rPr>
          <w:rFonts w:cstheme="minorHAnsi"/>
        </w:rPr>
        <w:t xml:space="preserve">UK </w:t>
      </w:r>
      <w:r w:rsidRPr="003C7543">
        <w:rPr>
          <w:rFonts w:cstheme="minorHAnsi"/>
        </w:rPr>
        <w:t xml:space="preserve">Listing Rules. Nonetheless, the Company will comply with these Listing Principles; </w:t>
      </w:r>
    </w:p>
    <w:p w:rsidRPr="003C7543" w:rsidR="003309E6" w:rsidP="003309E6" w:rsidRDefault="003309E6" w14:paraId="1A0DE092" w14:textId="55CFFF8E">
      <w:pPr>
        <w:numPr>
          <w:ilvl w:val="0"/>
          <w:numId w:val="64"/>
        </w:numPr>
        <w:spacing w:after="160" w:line="259" w:lineRule="auto"/>
        <w:rPr>
          <w:rFonts w:cstheme="minorHAnsi"/>
        </w:rPr>
      </w:pPr>
      <w:r w:rsidRPr="003C7543">
        <w:rPr>
          <w:rFonts w:cstheme="minorHAnsi"/>
        </w:rPr>
        <w:t>the Company is not required to appoint a listing sponsor under UKLR 11.3</w:t>
      </w:r>
      <w:r w:rsidRPr="003C7543" w:rsidR="00054653">
        <w:rPr>
          <w:rFonts w:cstheme="minorHAnsi"/>
        </w:rPr>
        <w:t>.1</w:t>
      </w:r>
      <w:r w:rsidRPr="003C7543">
        <w:rPr>
          <w:rFonts w:cstheme="minorHAnsi"/>
        </w:rPr>
        <w:t xml:space="preserve"> </w:t>
      </w:r>
      <w:r w:rsidRPr="003C7543" w:rsidR="00DB2456">
        <w:rPr>
          <w:rFonts w:cstheme="minorHAnsi"/>
        </w:rPr>
        <w:t xml:space="preserve">and Chapter 4 </w:t>
      </w:r>
      <w:r w:rsidRPr="003C7543">
        <w:rPr>
          <w:rFonts w:cstheme="minorHAnsi"/>
        </w:rPr>
        <w:t xml:space="preserve">of the </w:t>
      </w:r>
      <w:r w:rsidRPr="003C7543" w:rsidR="007F0C92">
        <w:rPr>
          <w:rFonts w:cstheme="minorHAnsi"/>
        </w:rPr>
        <w:t xml:space="preserve">UK </w:t>
      </w:r>
      <w:r w:rsidRPr="003C7543">
        <w:rPr>
          <w:rFonts w:cstheme="minorHAnsi"/>
        </w:rPr>
        <w:t>Listing Rules. It has appointed S</w:t>
      </w:r>
      <w:r w:rsidRPr="003C7543" w:rsidR="009467FC">
        <w:rPr>
          <w:rFonts w:cstheme="minorHAnsi"/>
        </w:rPr>
        <w:t>inger Capital Markets</w:t>
      </w:r>
      <w:r w:rsidRPr="003C7543">
        <w:rPr>
          <w:rFonts w:cstheme="minorHAnsi"/>
        </w:rPr>
        <w:t xml:space="preserve"> as financial adviser </w:t>
      </w:r>
      <w:r w:rsidRPr="003C7543" w:rsidR="00DB2456">
        <w:rPr>
          <w:rFonts w:cstheme="minorHAnsi"/>
        </w:rPr>
        <w:t>to guide the Company in understanding and meeting its responsibilities in connection with Initial Admission</w:t>
      </w:r>
      <w:r w:rsidRPr="003C7543">
        <w:rPr>
          <w:rFonts w:cstheme="minorHAnsi"/>
        </w:rPr>
        <w:t>;</w:t>
      </w:r>
    </w:p>
    <w:p w:rsidRPr="003C7543" w:rsidR="002F0BA2" w:rsidP="003309E6" w:rsidRDefault="003309E6" w14:paraId="2712803B" w14:textId="69B92AD8">
      <w:pPr>
        <w:numPr>
          <w:ilvl w:val="0"/>
          <w:numId w:val="64"/>
        </w:numPr>
        <w:spacing w:after="160" w:line="259" w:lineRule="auto"/>
        <w:rPr>
          <w:rFonts w:cstheme="minorHAnsi"/>
        </w:rPr>
      </w:pPr>
      <w:r w:rsidRPr="003C7543">
        <w:rPr>
          <w:rFonts w:cstheme="minorHAnsi"/>
        </w:rPr>
        <w:t>the Company is not required to comply with the provisions of UKLR 11.4</w:t>
      </w:r>
      <w:r w:rsidRPr="003C7543" w:rsidR="00CE6EB5">
        <w:rPr>
          <w:rFonts w:cstheme="minorHAnsi"/>
        </w:rPr>
        <w:t>, UKLR 11.7</w:t>
      </w:r>
      <w:r w:rsidRPr="003C7543" w:rsidR="002F0BA2">
        <w:rPr>
          <w:rFonts w:cstheme="minorHAnsi"/>
        </w:rPr>
        <w:t xml:space="preserve"> and Chapters 6 and 9</w:t>
      </w:r>
      <w:r w:rsidRPr="003C7543">
        <w:rPr>
          <w:rFonts w:cstheme="minorHAnsi"/>
        </w:rPr>
        <w:t xml:space="preserve"> of the </w:t>
      </w:r>
      <w:r w:rsidRPr="003C7543" w:rsidR="007F0C92">
        <w:rPr>
          <w:rFonts w:cstheme="minorHAnsi"/>
        </w:rPr>
        <w:t xml:space="preserve">UK </w:t>
      </w:r>
      <w:r w:rsidRPr="003C7543">
        <w:rPr>
          <w:rFonts w:cstheme="minorHAnsi"/>
        </w:rPr>
        <w:t>Listing Rules</w:t>
      </w:r>
      <w:r w:rsidRPr="003C7543" w:rsidR="004E7075">
        <w:rPr>
          <w:rFonts w:cstheme="minorHAnsi"/>
        </w:rPr>
        <w:t xml:space="preserve"> </w:t>
      </w:r>
      <w:r w:rsidRPr="003C7543">
        <w:rPr>
          <w:rFonts w:cstheme="minorHAnsi"/>
        </w:rPr>
        <w:t>regarding continuing obligations</w:t>
      </w:r>
      <w:r w:rsidRPr="003C7543" w:rsidR="002F0BA2">
        <w:rPr>
          <w:rFonts w:cstheme="minorHAnsi"/>
        </w:rPr>
        <w:t xml:space="preserve">, </w:t>
      </w:r>
      <w:r w:rsidRPr="003C7543" w:rsidR="00CE6EB5">
        <w:rPr>
          <w:rFonts w:cstheme="minorHAnsi"/>
        </w:rPr>
        <w:t xml:space="preserve">notifications, </w:t>
      </w:r>
      <w:r w:rsidRPr="003C7543" w:rsidR="002F0BA2">
        <w:rPr>
          <w:rFonts w:cstheme="minorHAnsi"/>
        </w:rPr>
        <w:t>further issuances, dealing in own securities and treasury shares</w:t>
      </w:r>
      <w:r w:rsidRPr="003C7543">
        <w:rPr>
          <w:rFonts w:cstheme="minorHAnsi"/>
        </w:rPr>
        <w:t>. Nonetheless, the Company</w:t>
      </w:r>
      <w:r w:rsidRPr="003C7543" w:rsidR="002F0BA2">
        <w:rPr>
          <w:rFonts w:cstheme="minorHAnsi"/>
        </w:rPr>
        <w:t>:</w:t>
      </w:r>
    </w:p>
    <w:p w:rsidRPr="003C7543" w:rsidR="004E7075" w:rsidP="002F0BA2" w:rsidRDefault="004E7075" w14:paraId="2F024821" w14:textId="11C4ACD1">
      <w:pPr>
        <w:numPr>
          <w:ilvl w:val="1"/>
          <w:numId w:val="64"/>
        </w:numPr>
        <w:spacing w:after="160" w:line="259" w:lineRule="auto"/>
        <w:rPr>
          <w:rFonts w:cstheme="minorHAnsi"/>
        </w:rPr>
      </w:pPr>
      <w:r w:rsidRPr="003C7543">
        <w:rPr>
          <w:rFonts w:cstheme="minorHAnsi"/>
        </w:rPr>
        <w:t xml:space="preserve">will comply with </w:t>
      </w:r>
      <w:r w:rsidRPr="003C7543" w:rsidR="00CE6EB5">
        <w:rPr>
          <w:rFonts w:cstheme="minorHAnsi"/>
        </w:rPr>
        <w:t>the following provisions of UKLR 11.4 and UKLR 11.7: (</w:t>
      </w:r>
      <w:proofErr w:type="spellStart"/>
      <w:r w:rsidRPr="003C7543" w:rsidR="00CE6EB5">
        <w:rPr>
          <w:rFonts w:cstheme="minorHAnsi"/>
        </w:rPr>
        <w:t>i</w:t>
      </w:r>
      <w:proofErr w:type="spellEnd"/>
      <w:r w:rsidRPr="003C7543" w:rsidR="00CE6EB5">
        <w:rPr>
          <w:rFonts w:cstheme="minorHAnsi"/>
        </w:rPr>
        <w:t xml:space="preserve">) </w:t>
      </w:r>
      <w:bookmarkStart w:name="_Hlk189601221" w:id="99"/>
      <w:r w:rsidRPr="003C7543" w:rsidR="00E70CC8">
        <w:rPr>
          <w:rFonts w:cstheme="minorHAnsi"/>
        </w:rPr>
        <w:t xml:space="preserve">UKLR 11.4.2, </w:t>
      </w:r>
      <w:r w:rsidRPr="003C7543" w:rsidR="00AF01B0">
        <w:rPr>
          <w:rFonts w:cstheme="minorHAnsi"/>
        </w:rPr>
        <w:t>UKLR 11.4.6(2)</w:t>
      </w:r>
      <w:r w:rsidRPr="003C7543" w:rsidR="00B43FB1">
        <w:rPr>
          <w:rFonts w:cstheme="minorHAnsi"/>
        </w:rPr>
        <w:t xml:space="preserve">, UKLR 11.4.12 to </w:t>
      </w:r>
      <w:r w:rsidRPr="003C7543">
        <w:rPr>
          <w:rFonts w:cstheme="minorHAnsi"/>
        </w:rPr>
        <w:t>UKLR 11.4.</w:t>
      </w:r>
      <w:r w:rsidRPr="003C7543" w:rsidR="00CE6EB5">
        <w:rPr>
          <w:rFonts w:cstheme="minorHAnsi"/>
        </w:rPr>
        <w:t>14</w:t>
      </w:r>
      <w:r w:rsidRPr="003C7543">
        <w:rPr>
          <w:rFonts w:cstheme="minorHAnsi"/>
        </w:rPr>
        <w:t xml:space="preserve"> (save that the Company shall not be required to seek FCA approval in relation to any material change to its investment policy)</w:t>
      </w:r>
      <w:r w:rsidRPr="003C7543" w:rsidR="00547432">
        <w:rPr>
          <w:rFonts w:cstheme="minorHAnsi"/>
        </w:rPr>
        <w:t xml:space="preserve">, </w:t>
      </w:r>
      <w:r w:rsidRPr="003C7543" w:rsidR="00CE6EB5">
        <w:rPr>
          <w:rFonts w:cstheme="minorHAnsi"/>
        </w:rPr>
        <w:t>UKLR 11.4.16</w:t>
      </w:r>
      <w:r w:rsidR="00FC0395">
        <w:rPr>
          <w:rFonts w:cstheme="minorHAnsi"/>
        </w:rPr>
        <w:t>,</w:t>
      </w:r>
      <w:r w:rsidRPr="003C7543" w:rsidR="00CE6EB5">
        <w:rPr>
          <w:rFonts w:cstheme="minorHAnsi"/>
        </w:rPr>
        <w:t xml:space="preserve"> UKLR 11.4.18</w:t>
      </w:r>
      <w:r w:rsidRPr="003C7543" w:rsidR="00547432">
        <w:rPr>
          <w:rFonts w:cstheme="minorHAnsi"/>
        </w:rPr>
        <w:t xml:space="preserve"> and </w:t>
      </w:r>
      <w:r w:rsidRPr="003C7543" w:rsidR="00C77857">
        <w:rPr>
          <w:rFonts w:cstheme="minorHAnsi"/>
        </w:rPr>
        <w:t>UKLR 11.4.22 to UKLR 11.4.24; and (i</w:t>
      </w:r>
      <w:r w:rsidRPr="003C7543" w:rsidR="00547432">
        <w:rPr>
          <w:rFonts w:cstheme="minorHAnsi"/>
        </w:rPr>
        <w:t>i</w:t>
      </w:r>
      <w:r w:rsidRPr="003C7543" w:rsidR="00C77857">
        <w:rPr>
          <w:rFonts w:cstheme="minorHAnsi"/>
        </w:rPr>
        <w:t>)</w:t>
      </w:r>
      <w:r w:rsidRPr="003C7543" w:rsidR="00CE6EB5">
        <w:rPr>
          <w:rFonts w:cstheme="minorHAnsi"/>
        </w:rPr>
        <w:t xml:space="preserve"> UKLR 11.7.1</w:t>
      </w:r>
      <w:r w:rsidRPr="003C7543" w:rsidR="00547432">
        <w:rPr>
          <w:rFonts w:cstheme="minorHAnsi"/>
        </w:rPr>
        <w:t>, UKLR 11.7.2</w:t>
      </w:r>
      <w:r w:rsidRPr="003C7543" w:rsidR="000A4383">
        <w:rPr>
          <w:rFonts w:cstheme="minorHAnsi"/>
        </w:rPr>
        <w:t xml:space="preserve"> (save for UKLR 11.7.2</w:t>
      </w:r>
      <w:r w:rsidRPr="003C7543" w:rsidR="00547432">
        <w:rPr>
          <w:rFonts w:cstheme="minorHAnsi"/>
        </w:rPr>
        <w:t>(</w:t>
      </w:r>
      <w:r w:rsidRPr="003C7543" w:rsidR="000A4383">
        <w:rPr>
          <w:rFonts w:cstheme="minorHAnsi"/>
        </w:rPr>
        <w:t>1</w:t>
      </w:r>
      <w:r w:rsidRPr="003C7543" w:rsidR="00547432">
        <w:rPr>
          <w:rFonts w:cstheme="minorHAnsi"/>
        </w:rPr>
        <w:t>)</w:t>
      </w:r>
      <w:r w:rsidRPr="003C7543" w:rsidR="000A4383">
        <w:rPr>
          <w:rFonts w:cstheme="minorHAnsi"/>
        </w:rPr>
        <w:t>), UKLR 11.7.3</w:t>
      </w:r>
      <w:r w:rsidRPr="003C7543" w:rsidR="00CE6EB5">
        <w:rPr>
          <w:rFonts w:cstheme="minorHAnsi"/>
        </w:rPr>
        <w:t xml:space="preserve"> and UKLR 11.7.7</w:t>
      </w:r>
      <w:r w:rsidR="00C06D27">
        <w:rPr>
          <w:rFonts w:cstheme="minorHAnsi"/>
        </w:rPr>
        <w:t>;</w:t>
      </w:r>
      <w:r w:rsidRPr="003C7543" w:rsidR="00CE6EB5">
        <w:rPr>
          <w:rFonts w:cstheme="minorHAnsi"/>
        </w:rPr>
        <w:t xml:space="preserve"> </w:t>
      </w:r>
    </w:p>
    <w:bookmarkEnd w:id="99"/>
    <w:p w:rsidRPr="003C7543" w:rsidR="002F0BA2" w:rsidP="00153FF5" w:rsidRDefault="002F0BA2" w14:paraId="0A9DF5DC" w14:textId="0935DFDA">
      <w:pPr>
        <w:numPr>
          <w:ilvl w:val="1"/>
          <w:numId w:val="64"/>
        </w:numPr>
        <w:spacing w:after="160" w:line="259" w:lineRule="auto"/>
        <w:rPr>
          <w:rFonts w:cstheme="minorHAnsi"/>
        </w:rPr>
      </w:pPr>
      <w:r w:rsidRPr="003C7543">
        <w:rPr>
          <w:rFonts w:cstheme="minorHAnsi"/>
        </w:rPr>
        <w:t xml:space="preserve">will comply with </w:t>
      </w:r>
      <w:r w:rsidRPr="003C7543" w:rsidR="002029F5">
        <w:rPr>
          <w:rFonts w:cstheme="minorHAnsi"/>
        </w:rPr>
        <w:t>the following provisions of Chapter 6 of the UK Listing Rules</w:t>
      </w:r>
      <w:r w:rsidRPr="003C7543" w:rsidR="004E7075">
        <w:rPr>
          <w:rFonts w:cstheme="minorHAnsi"/>
        </w:rPr>
        <w:t xml:space="preserve"> (</w:t>
      </w:r>
      <w:bookmarkStart w:name="_Hlk189585208" w:id="100"/>
      <w:r w:rsidRPr="003C7543" w:rsidR="004E7075">
        <w:rPr>
          <w:rFonts w:cstheme="minorHAnsi"/>
        </w:rPr>
        <w:t xml:space="preserve">as applicable to </w:t>
      </w:r>
      <w:bookmarkStart w:name="_Hlk189603747" w:id="101"/>
      <w:r w:rsidRPr="003C7543" w:rsidR="004E7075">
        <w:rPr>
          <w:rFonts w:cstheme="minorHAnsi"/>
        </w:rPr>
        <w:t>closed-ended investment companies listed in the closed-ended investment funds category of the Official List</w:t>
      </w:r>
      <w:bookmarkEnd w:id="100"/>
      <w:bookmarkEnd w:id="101"/>
      <w:r w:rsidRPr="003C7543" w:rsidR="004E7075">
        <w:rPr>
          <w:rFonts w:cstheme="minorHAnsi"/>
        </w:rPr>
        <w:t>)</w:t>
      </w:r>
      <w:r w:rsidRPr="003C7543" w:rsidR="002029F5">
        <w:rPr>
          <w:rFonts w:cstheme="minorHAnsi"/>
        </w:rPr>
        <w:t>: (</w:t>
      </w:r>
      <w:proofErr w:type="spellStart"/>
      <w:r w:rsidRPr="003C7543" w:rsidR="002029F5">
        <w:rPr>
          <w:rFonts w:cstheme="minorHAnsi"/>
        </w:rPr>
        <w:t>i</w:t>
      </w:r>
      <w:proofErr w:type="spellEnd"/>
      <w:r w:rsidRPr="003C7543" w:rsidR="002029F5">
        <w:rPr>
          <w:rFonts w:cstheme="minorHAnsi"/>
        </w:rPr>
        <w:t>) UKLR</w:t>
      </w:r>
      <w:r w:rsidRPr="003C7543" w:rsidR="002029F5">
        <w:t xml:space="preserve"> </w:t>
      </w:r>
      <w:r w:rsidRPr="003C7543" w:rsidR="00CC090F">
        <w:t>6</w:t>
      </w:r>
      <w:r w:rsidRPr="003C7543" w:rsidR="002029F5">
        <w:t xml:space="preserve">.3 (Continuing obligations: holders); </w:t>
      </w:r>
      <w:r w:rsidRPr="003C7543" w:rsidR="00956C56">
        <w:t>(</w:t>
      </w:r>
      <w:r w:rsidRPr="003C7543" w:rsidR="002029F5">
        <w:t xml:space="preserve">ii) </w:t>
      </w:r>
      <w:r w:rsidRPr="003C7543" w:rsidR="00CC090F">
        <w:t>UKLR</w:t>
      </w:r>
      <w:r w:rsidRPr="003C7543" w:rsidR="002029F5">
        <w:t xml:space="preserve"> 6.4</w:t>
      </w:r>
      <w:r w:rsidRPr="003C7543" w:rsidR="00CC090F">
        <w:t>.4</w:t>
      </w:r>
      <w:r w:rsidRPr="003C7543" w:rsidR="002029F5">
        <w:t xml:space="preserve"> to </w:t>
      </w:r>
      <w:r w:rsidRPr="003C7543" w:rsidR="00CC090F">
        <w:t>UKLR</w:t>
      </w:r>
      <w:r w:rsidRPr="003C7543" w:rsidR="002029F5">
        <w:t xml:space="preserve"> </w:t>
      </w:r>
      <w:r w:rsidRPr="003C7543" w:rsidR="00CC090F">
        <w:t>6</w:t>
      </w:r>
      <w:r w:rsidRPr="003C7543" w:rsidR="002029F5">
        <w:t>.</w:t>
      </w:r>
      <w:r w:rsidRPr="003C7543" w:rsidR="00CC090F">
        <w:t>4</w:t>
      </w:r>
      <w:r w:rsidRPr="003C7543" w:rsidR="002029F5">
        <w:t>.</w:t>
      </w:r>
      <w:r w:rsidRPr="003C7543" w:rsidR="00903365">
        <w:t>21</w:t>
      </w:r>
      <w:r w:rsidRPr="003C7543" w:rsidR="002029F5">
        <w:t xml:space="preserve"> other than </w:t>
      </w:r>
      <w:r w:rsidRPr="003C7543" w:rsidR="00CC090F">
        <w:t>UKLR</w:t>
      </w:r>
      <w:r w:rsidRPr="003C7543" w:rsidR="002029F5">
        <w:t xml:space="preserve"> </w:t>
      </w:r>
      <w:r w:rsidRPr="003C7543" w:rsidR="00CC090F">
        <w:t>6.4.14</w:t>
      </w:r>
      <w:r w:rsidRPr="003C7543" w:rsidR="002029F5">
        <w:t>(2)</w:t>
      </w:r>
      <w:r w:rsidRPr="003C7543" w:rsidR="00903365">
        <w:t>,</w:t>
      </w:r>
      <w:r w:rsidRPr="003C7543" w:rsidR="002029F5">
        <w:t xml:space="preserve"> </w:t>
      </w:r>
      <w:r w:rsidRPr="003C7543" w:rsidR="00CC090F">
        <w:t>UK</w:t>
      </w:r>
      <w:r w:rsidRPr="003C7543" w:rsidR="00903365">
        <w:t>LR</w:t>
      </w:r>
      <w:r w:rsidRPr="003C7543" w:rsidR="002029F5">
        <w:t xml:space="preserve"> </w:t>
      </w:r>
      <w:r w:rsidRPr="003C7543" w:rsidR="00CC090F">
        <w:t>6.4.14(3)</w:t>
      </w:r>
      <w:r w:rsidRPr="003C7543" w:rsidR="00903365">
        <w:t>, UKLR 6.4.18(2)(b) and UKLR 6.4.20(2)</w:t>
      </w:r>
      <w:r w:rsidRPr="003C7543" w:rsidR="00121A05">
        <w:t>)</w:t>
      </w:r>
      <w:r w:rsidRPr="003C7543" w:rsidR="00903365">
        <w:t xml:space="preserve"> </w:t>
      </w:r>
      <w:r w:rsidRPr="003C7543" w:rsidR="002029F5">
        <w:t>(Notifications)</w:t>
      </w:r>
      <w:r w:rsidRPr="003C7543" w:rsidR="00CC090F">
        <w:t>;</w:t>
      </w:r>
      <w:r w:rsidRPr="003C7543" w:rsidR="002029F5">
        <w:t xml:space="preserve"> and (i</w:t>
      </w:r>
      <w:r w:rsidRPr="003C7543" w:rsidR="00C8380B">
        <w:t>ii</w:t>
      </w:r>
      <w:r w:rsidRPr="003C7543" w:rsidR="002029F5">
        <w:t xml:space="preserve">) </w:t>
      </w:r>
      <w:bookmarkStart w:name="_Hlk189603735" w:id="102"/>
      <w:r w:rsidRPr="003C7543" w:rsidR="00CC090F">
        <w:t>UKLR</w:t>
      </w:r>
      <w:r w:rsidRPr="003C7543" w:rsidR="002029F5">
        <w:t xml:space="preserve"> </w:t>
      </w:r>
      <w:r w:rsidRPr="003C7543" w:rsidR="00956C56">
        <w:t>6.6</w:t>
      </w:r>
      <w:r w:rsidRPr="003C7543" w:rsidR="002029F5">
        <w:t xml:space="preserve"> (Annual financial report)</w:t>
      </w:r>
      <w:bookmarkEnd w:id="102"/>
      <w:r w:rsidRPr="003C7543" w:rsidR="00956C56">
        <w:t>;</w:t>
      </w:r>
    </w:p>
    <w:p w:rsidRPr="003C7543" w:rsidR="00CC090F" w:rsidP="002F0BA2" w:rsidRDefault="00CC090F" w14:paraId="6DA9232F" w14:textId="5F521E2D">
      <w:pPr>
        <w:numPr>
          <w:ilvl w:val="1"/>
          <w:numId w:val="64"/>
        </w:numPr>
        <w:spacing w:after="160" w:line="259" w:lineRule="auto"/>
        <w:rPr>
          <w:rFonts w:cstheme="minorHAnsi"/>
        </w:rPr>
      </w:pPr>
      <w:r w:rsidRPr="003C7543">
        <w:rPr>
          <w:rFonts w:cstheme="minorHAnsi"/>
        </w:rPr>
        <w:t>will comply with the following provisions of Chapter 9 of the UK Listing Rules</w:t>
      </w:r>
      <w:r w:rsidRPr="003C7543" w:rsidR="004E7075">
        <w:rPr>
          <w:rFonts w:cstheme="minorHAnsi"/>
        </w:rPr>
        <w:t xml:space="preserve"> (</w:t>
      </w:r>
      <w:bookmarkStart w:name="_Hlk189600329" w:id="103"/>
      <w:r w:rsidRPr="003C7543" w:rsidR="004E7075">
        <w:rPr>
          <w:rFonts w:cstheme="minorHAnsi"/>
        </w:rPr>
        <w:t xml:space="preserve">as </w:t>
      </w:r>
      <w:bookmarkStart w:name="_Hlk189565070" w:id="104"/>
      <w:r w:rsidRPr="003C7543" w:rsidR="004E7075">
        <w:rPr>
          <w:rFonts w:cstheme="minorHAnsi"/>
        </w:rPr>
        <w:t xml:space="preserve">applicable to closed-ended investment companies </w:t>
      </w:r>
      <w:bookmarkStart w:name="_Hlk189600968" w:id="105"/>
      <w:r w:rsidRPr="003C7543" w:rsidR="004E7075">
        <w:rPr>
          <w:rFonts w:cstheme="minorHAnsi"/>
        </w:rPr>
        <w:t>listed in the closed-ended investment funds category of the Official List</w:t>
      </w:r>
      <w:bookmarkEnd w:id="104"/>
      <w:bookmarkEnd w:id="103"/>
      <w:bookmarkEnd w:id="105"/>
      <w:r w:rsidRPr="003C7543" w:rsidR="004E7075">
        <w:rPr>
          <w:rFonts w:cstheme="minorHAnsi"/>
        </w:rPr>
        <w:t>)</w:t>
      </w:r>
      <w:r w:rsidRPr="003C7543">
        <w:rPr>
          <w:rFonts w:cstheme="minorHAnsi"/>
        </w:rPr>
        <w:t>: (</w:t>
      </w:r>
      <w:proofErr w:type="spellStart"/>
      <w:r w:rsidRPr="003C7543">
        <w:rPr>
          <w:rFonts w:cstheme="minorHAnsi"/>
        </w:rPr>
        <w:t>i</w:t>
      </w:r>
      <w:proofErr w:type="spellEnd"/>
      <w:r w:rsidRPr="003C7543">
        <w:rPr>
          <w:rFonts w:cstheme="minorHAnsi"/>
        </w:rPr>
        <w:t xml:space="preserve">) UKLR 9.2 (Pre-emption rights); </w:t>
      </w:r>
      <w:r w:rsidRPr="003C7543" w:rsidR="00956C56">
        <w:t>(ii) UKLR 9.4 (Transactions); and</w:t>
      </w:r>
    </w:p>
    <w:p w:rsidRPr="003C7543" w:rsidR="002F0BA2" w:rsidP="002F0BA2" w:rsidRDefault="002F0BA2" w14:paraId="6F55A53F" w14:textId="41309BF0">
      <w:pPr>
        <w:numPr>
          <w:ilvl w:val="1"/>
          <w:numId w:val="64"/>
        </w:numPr>
        <w:spacing w:after="160" w:line="259" w:lineRule="auto"/>
        <w:rPr>
          <w:rFonts w:cstheme="minorHAnsi"/>
        </w:rPr>
      </w:pPr>
      <w:r w:rsidRPr="003C7543">
        <w:rPr>
          <w:rFonts w:cstheme="minorHAnsi"/>
        </w:rPr>
        <w:t xml:space="preserve">has adopted a policy consistent with the provisions of UKLR </w:t>
      </w:r>
      <w:r w:rsidRPr="003C7543" w:rsidR="00956C56">
        <w:rPr>
          <w:rFonts w:cstheme="minorHAnsi"/>
        </w:rPr>
        <w:t xml:space="preserve">9.6.1 </w:t>
      </w:r>
      <w:r w:rsidRPr="003C7543">
        <w:rPr>
          <w:rFonts w:cstheme="minorHAnsi"/>
        </w:rPr>
        <w:t xml:space="preserve">and </w:t>
      </w:r>
      <w:r w:rsidRPr="003C7543" w:rsidR="00956C56">
        <w:rPr>
          <w:rFonts w:cstheme="minorHAnsi"/>
        </w:rPr>
        <w:t>UKLR 9.6.2;</w:t>
      </w:r>
    </w:p>
    <w:p w:rsidR="00FC7DC5" w:rsidP="00ED16E5" w:rsidRDefault="003309E6" w14:paraId="0EF9CAE0" w14:textId="77777777">
      <w:pPr>
        <w:numPr>
          <w:ilvl w:val="0"/>
          <w:numId w:val="64"/>
        </w:numPr>
        <w:spacing w:after="160" w:line="259" w:lineRule="auto"/>
        <w:rPr>
          <w:rFonts w:cstheme="minorHAnsi"/>
        </w:rPr>
      </w:pPr>
      <w:r w:rsidRPr="003C7543">
        <w:rPr>
          <w:rFonts w:cstheme="minorHAnsi"/>
        </w:rPr>
        <w:t>the Company is not required to comply with the provisions of UKLR 11.5</w:t>
      </w:r>
      <w:r w:rsidRPr="003C7543" w:rsidR="0099522B">
        <w:rPr>
          <w:rFonts w:cstheme="minorHAnsi"/>
        </w:rPr>
        <w:t xml:space="preserve"> and Chapter</w:t>
      </w:r>
      <w:r w:rsidRPr="003C7543" w:rsidR="0065014C">
        <w:rPr>
          <w:rFonts w:cstheme="minorHAnsi"/>
        </w:rPr>
        <w:t xml:space="preserve"> </w:t>
      </w:r>
      <w:r w:rsidRPr="003C7543" w:rsidR="0099522B">
        <w:rPr>
          <w:rFonts w:cstheme="minorHAnsi"/>
        </w:rPr>
        <w:t>8</w:t>
      </w:r>
      <w:r w:rsidRPr="003C7543">
        <w:rPr>
          <w:rFonts w:cstheme="minorHAnsi"/>
        </w:rPr>
        <w:t xml:space="preserve"> of the </w:t>
      </w:r>
      <w:r w:rsidRPr="003C7543" w:rsidR="007F0C92">
        <w:rPr>
          <w:rFonts w:cstheme="minorHAnsi"/>
        </w:rPr>
        <w:t xml:space="preserve">UK </w:t>
      </w:r>
      <w:r w:rsidRPr="003C7543">
        <w:rPr>
          <w:rFonts w:cstheme="minorHAnsi"/>
        </w:rPr>
        <w:t>Listing Rules</w:t>
      </w:r>
      <w:r w:rsidRPr="003C7543" w:rsidR="0065014C">
        <w:rPr>
          <w:rFonts w:cstheme="minorHAnsi"/>
        </w:rPr>
        <w:t xml:space="preserve"> regarding </w:t>
      </w:r>
      <w:r w:rsidRPr="003C7543">
        <w:rPr>
          <w:rFonts w:cstheme="minorHAnsi"/>
        </w:rPr>
        <w:t>related party transactions. Nonetheless</w:t>
      </w:r>
      <w:r w:rsidRPr="003C7543" w:rsidR="0099522B">
        <w:rPr>
          <w:rFonts w:cstheme="minorHAnsi"/>
        </w:rPr>
        <w:t>,</w:t>
      </w:r>
      <w:r w:rsidRPr="003C7543">
        <w:rPr>
          <w:rFonts w:cstheme="minorHAnsi"/>
        </w:rPr>
        <w:t xml:space="preserve"> the Company</w:t>
      </w:r>
      <w:r w:rsidR="00ED16E5">
        <w:rPr>
          <w:rFonts w:cstheme="minorHAnsi"/>
        </w:rPr>
        <w:t xml:space="preserve"> </w:t>
      </w:r>
      <w:r w:rsidRPr="00ED16E5" w:rsidR="0015117C">
        <w:rPr>
          <w:rFonts w:cstheme="minorHAnsi"/>
        </w:rPr>
        <w:t xml:space="preserve">will adopt a related party policy (in relation to which Singer Capital Markets, as financial adviser, will guide the Company) which shall apply to any transaction which it may enter into with any Director, </w:t>
      </w:r>
      <w:r w:rsidRPr="00ED16E5" w:rsidR="00242164">
        <w:rPr>
          <w:rFonts w:cstheme="minorHAnsi"/>
        </w:rPr>
        <w:t xml:space="preserve">a substantial shareholder, </w:t>
      </w:r>
      <w:r w:rsidRPr="00ED16E5" w:rsidR="0015117C">
        <w:rPr>
          <w:rFonts w:cstheme="minorHAnsi"/>
        </w:rPr>
        <w:t xml:space="preserve">the Investment Manager or any of their respective </w:t>
      </w:r>
      <w:r w:rsidRPr="00ED16E5" w:rsidR="00C03631">
        <w:rPr>
          <w:rFonts w:cstheme="minorHAnsi"/>
        </w:rPr>
        <w:t>associates</w:t>
      </w:r>
      <w:r w:rsidRPr="00ED16E5" w:rsidR="0015117C">
        <w:rPr>
          <w:rFonts w:cstheme="minorHAnsi"/>
        </w:rPr>
        <w:t>, which would constitute a "related party transaction" or a "relevant related party transaction</w:t>
      </w:r>
      <w:r w:rsidRPr="00ED16E5" w:rsidR="00242164">
        <w:rPr>
          <w:rFonts w:cstheme="minorHAnsi"/>
        </w:rPr>
        <w:t>"</w:t>
      </w:r>
      <w:r w:rsidRPr="00ED16E5" w:rsidR="0015117C">
        <w:rPr>
          <w:rFonts w:cstheme="minorHAnsi"/>
        </w:rPr>
        <w:t xml:space="preserve"> each as defined in</w:t>
      </w:r>
      <w:r w:rsidRPr="00ED16E5" w:rsidR="00242164">
        <w:rPr>
          <w:rFonts w:cstheme="minorHAnsi"/>
        </w:rPr>
        <w:t xml:space="preserve"> the </w:t>
      </w:r>
      <w:r w:rsidRPr="00ED16E5" w:rsidR="00C06D27">
        <w:rPr>
          <w:rFonts w:cstheme="minorHAnsi"/>
        </w:rPr>
        <w:t xml:space="preserve">UK </w:t>
      </w:r>
      <w:r w:rsidRPr="00ED16E5" w:rsidR="00242164">
        <w:rPr>
          <w:rFonts w:cstheme="minorHAnsi"/>
        </w:rPr>
        <w:t>Listing Rules</w:t>
      </w:r>
      <w:r w:rsidR="00AF4630">
        <w:rPr>
          <w:rFonts w:cstheme="minorHAnsi"/>
        </w:rPr>
        <w:t xml:space="preserve"> (save as set out below)</w:t>
      </w:r>
      <w:r w:rsidRPr="00ED16E5" w:rsidR="0015117C">
        <w:rPr>
          <w:rFonts w:cstheme="minorHAnsi"/>
        </w:rPr>
        <w:t>, and to which would apply, UKLR 11.5 of the UK Listing Rules</w:t>
      </w:r>
      <w:r w:rsidR="00BE5BA8">
        <w:rPr>
          <w:rFonts w:cstheme="minorHAnsi"/>
        </w:rPr>
        <w:t xml:space="preserve"> </w:t>
      </w:r>
      <w:r w:rsidR="005256DD">
        <w:rPr>
          <w:rFonts w:cstheme="minorHAnsi"/>
        </w:rPr>
        <w:t>if</w:t>
      </w:r>
      <w:r w:rsidR="00BE5BA8">
        <w:rPr>
          <w:rFonts w:cstheme="minorHAnsi"/>
        </w:rPr>
        <w:t xml:space="preserve"> the Company </w:t>
      </w:r>
      <w:r w:rsidR="005256DD">
        <w:rPr>
          <w:rFonts w:cstheme="minorHAnsi"/>
        </w:rPr>
        <w:t xml:space="preserve">were </w:t>
      </w:r>
      <w:r w:rsidR="00BE5BA8">
        <w:rPr>
          <w:rFonts w:cstheme="minorHAnsi"/>
        </w:rPr>
        <w:t>listed in the closed-ended investment funds category of the Official List</w:t>
      </w:r>
      <w:r w:rsidRPr="00ED16E5" w:rsidR="0015117C">
        <w:rPr>
          <w:rFonts w:cstheme="minorHAnsi"/>
        </w:rPr>
        <w:t xml:space="preserve">. </w:t>
      </w:r>
      <w:bookmarkStart w:name="_Hlk189587402" w:id="106"/>
    </w:p>
    <w:p w:rsidRPr="00ED16E5" w:rsidR="0015117C" w:rsidP="00FC7DC5" w:rsidRDefault="0015117C" w14:paraId="6B049154" w14:textId="771CF601">
      <w:pPr>
        <w:spacing w:after="160" w:line="259" w:lineRule="auto"/>
        <w:ind w:left="360"/>
        <w:rPr>
          <w:rFonts w:cstheme="minorHAnsi"/>
        </w:rPr>
      </w:pPr>
      <w:r w:rsidRPr="00ED16E5">
        <w:rPr>
          <w:rFonts w:cstheme="minorHAnsi"/>
        </w:rPr>
        <w:t xml:space="preserve">In accordance with its related party policy, the Company shall not enter into any such related party transaction or relevant related party transaction without first obtaining: </w:t>
      </w:r>
      <w:r w:rsidRPr="00ED16E5" w:rsidR="00AA44EF">
        <w:rPr>
          <w:rFonts w:cstheme="minorHAnsi"/>
        </w:rPr>
        <w:t>(</w:t>
      </w:r>
      <w:proofErr w:type="spellStart"/>
      <w:r w:rsidRPr="00ED16E5" w:rsidR="00AA44EF">
        <w:rPr>
          <w:rFonts w:cstheme="minorHAnsi"/>
        </w:rPr>
        <w:t>i</w:t>
      </w:r>
      <w:proofErr w:type="spellEnd"/>
      <w:r w:rsidRPr="00ED16E5" w:rsidR="00AA44EF">
        <w:rPr>
          <w:rFonts w:cstheme="minorHAnsi"/>
        </w:rPr>
        <w:t xml:space="preserve">) </w:t>
      </w:r>
      <w:r w:rsidRPr="00ED16E5">
        <w:rPr>
          <w:rFonts w:cstheme="minorHAnsi"/>
        </w:rPr>
        <w:t>the approval of a majority of the Directors who are independent of the relevant related</w:t>
      </w:r>
      <w:r w:rsidRPr="00ED16E5" w:rsidR="00AA44EF">
        <w:rPr>
          <w:rFonts w:cstheme="minorHAnsi"/>
        </w:rPr>
        <w:t xml:space="preserve"> party; and (ii) </w:t>
      </w:r>
      <w:bookmarkStart w:name="_Hlk189597323" w:id="107"/>
      <w:r w:rsidR="00AF4630">
        <w:rPr>
          <w:rFonts w:cstheme="minorHAnsi"/>
        </w:rPr>
        <w:t>where the related party transaction has a percentage ratio of 5 per cent. or more</w:t>
      </w:r>
      <w:r w:rsidR="002B4A5A">
        <w:rPr>
          <w:rFonts w:cstheme="minorHAnsi"/>
        </w:rPr>
        <w:t xml:space="preserve"> or the relevant related party transaction has a percentage ratio of 0.25 per cent. or more, </w:t>
      </w:r>
      <w:bookmarkEnd w:id="107"/>
      <w:r w:rsidRPr="00ED16E5" w:rsidR="00AA44EF">
        <w:rPr>
          <w:rFonts w:cstheme="minorHAnsi"/>
        </w:rPr>
        <w:t>a</w:t>
      </w:r>
      <w:r w:rsidRPr="00ED16E5" w:rsidR="00242164">
        <w:rPr>
          <w:rFonts w:cstheme="minorHAnsi"/>
        </w:rPr>
        <w:t xml:space="preserve"> fairness opinion or </w:t>
      </w:r>
      <w:r w:rsidRPr="00ED16E5" w:rsidR="00AA44EF">
        <w:rPr>
          <w:rFonts w:cstheme="minorHAnsi"/>
        </w:rPr>
        <w:t>third</w:t>
      </w:r>
      <w:r w:rsidRPr="00ED16E5" w:rsidR="00C06D27">
        <w:rPr>
          <w:rFonts w:cstheme="minorHAnsi"/>
        </w:rPr>
        <w:t xml:space="preserve"> </w:t>
      </w:r>
      <w:r w:rsidRPr="00ED16E5" w:rsidR="00AA44EF">
        <w:rPr>
          <w:rFonts w:cstheme="minorHAnsi"/>
        </w:rPr>
        <w:t xml:space="preserve">party valuation (as appropriate) in respect of such transaction </w:t>
      </w:r>
      <w:r w:rsidR="002B4A5A">
        <w:rPr>
          <w:rFonts w:cstheme="minorHAnsi"/>
        </w:rPr>
        <w:t xml:space="preserve">or arrangement </w:t>
      </w:r>
      <w:r w:rsidRPr="00ED16E5" w:rsidR="00AA44EF">
        <w:rPr>
          <w:rFonts w:cstheme="minorHAnsi"/>
        </w:rPr>
        <w:t>from an appropriately qualified independent adviser</w:t>
      </w:r>
      <w:r w:rsidR="0042285E">
        <w:rPr>
          <w:rFonts w:cstheme="minorHAnsi"/>
        </w:rPr>
        <w:t xml:space="preserve"> </w:t>
      </w:r>
      <w:bookmarkStart w:name="_Hlk189597362" w:id="108"/>
      <w:r w:rsidR="0042285E">
        <w:rPr>
          <w:rFonts w:cstheme="minorHAnsi"/>
        </w:rPr>
        <w:t xml:space="preserve">where </w:t>
      </w:r>
      <w:r w:rsidR="005256DD">
        <w:rPr>
          <w:rFonts w:cstheme="minorHAnsi"/>
        </w:rPr>
        <w:t xml:space="preserve">this is </w:t>
      </w:r>
      <w:r w:rsidR="0042285E">
        <w:rPr>
          <w:rFonts w:cstheme="minorHAnsi"/>
        </w:rPr>
        <w:t xml:space="preserve">considered appropriate by the </w:t>
      </w:r>
      <w:r w:rsidR="002B4A5A">
        <w:rPr>
          <w:rFonts w:cstheme="minorHAnsi"/>
        </w:rPr>
        <w:t>independent members of its Board and, where (ii) applies, the Company will notify a RIS as soon as possible after the terms of the transaction or arrangement are agreed</w:t>
      </w:r>
      <w:bookmarkEnd w:id="108"/>
      <w:r w:rsidRPr="00ED16E5" w:rsidR="00AA44EF">
        <w:rPr>
          <w:rFonts w:cstheme="minorHAnsi"/>
        </w:rPr>
        <w:t xml:space="preserve">. </w:t>
      </w:r>
      <w:r w:rsidR="005256DD">
        <w:rPr>
          <w:rFonts w:cstheme="minorHAnsi"/>
        </w:rPr>
        <w:t>T</w:t>
      </w:r>
      <w:r w:rsidRPr="00ED16E5" w:rsidR="00242164">
        <w:rPr>
          <w:rFonts w:cstheme="minorHAnsi"/>
        </w:rPr>
        <w:t xml:space="preserve">ransactions or arrangements of the nature set out in </w:t>
      </w:r>
      <w:r w:rsidRPr="00ED16E5" w:rsidR="00C03631">
        <w:rPr>
          <w:rFonts w:cstheme="minorHAnsi"/>
        </w:rPr>
        <w:t>UKLR 8.1.7(2)</w:t>
      </w:r>
      <w:r w:rsidRPr="00ED16E5" w:rsidR="00242164">
        <w:rPr>
          <w:rFonts w:cstheme="minorHAnsi"/>
        </w:rPr>
        <w:t xml:space="preserve"> (i.e. co-investments or the joint provision of finance)</w:t>
      </w:r>
      <w:r w:rsidR="005256DD">
        <w:rPr>
          <w:rFonts w:cstheme="minorHAnsi"/>
        </w:rPr>
        <w:t xml:space="preserve"> and</w:t>
      </w:r>
      <w:r w:rsidRPr="00ED16E5" w:rsidR="00242164">
        <w:rPr>
          <w:rFonts w:cstheme="minorHAnsi"/>
        </w:rPr>
        <w:t xml:space="preserve"> issues of new securities in, or a sale of treasury shares of, the Company to </w:t>
      </w:r>
      <w:r w:rsidRPr="00ED16E5" w:rsidR="00C03631">
        <w:rPr>
          <w:rFonts w:cstheme="minorHAnsi"/>
        </w:rPr>
        <w:t>"</w:t>
      </w:r>
      <w:r w:rsidRPr="00ED16E5" w:rsidR="00242164">
        <w:rPr>
          <w:rFonts w:cstheme="minorHAnsi"/>
        </w:rPr>
        <w:t>substantial shareholders</w:t>
      </w:r>
      <w:r w:rsidRPr="00ED16E5" w:rsidR="00C03631">
        <w:rPr>
          <w:rFonts w:cstheme="minorHAnsi"/>
        </w:rPr>
        <w:t>"</w:t>
      </w:r>
      <w:r w:rsidRPr="00ED16E5" w:rsidR="00242164">
        <w:rPr>
          <w:rFonts w:cstheme="minorHAnsi"/>
        </w:rPr>
        <w:t xml:space="preserve"> pursuant to an offer to the public or a placing, on materially similar terms to those applicable to other subscribers or purchasers under such offer or placing</w:t>
      </w:r>
      <w:r w:rsidR="005256DD">
        <w:rPr>
          <w:rFonts w:cstheme="minorHAnsi"/>
        </w:rPr>
        <w:t>,</w:t>
      </w:r>
      <w:r w:rsidRPr="00ED16E5" w:rsidR="00242164">
        <w:rPr>
          <w:rFonts w:cstheme="minorHAnsi"/>
        </w:rPr>
        <w:t xml:space="preserve"> shall not be considered </w:t>
      </w:r>
      <w:r w:rsidRPr="00ED16E5" w:rsidR="00C03631">
        <w:rPr>
          <w:rFonts w:cstheme="minorHAnsi"/>
        </w:rPr>
        <w:t>"</w:t>
      </w:r>
      <w:r w:rsidRPr="00ED16E5" w:rsidR="00242164">
        <w:rPr>
          <w:rFonts w:cstheme="minorHAnsi"/>
        </w:rPr>
        <w:t>related party transactions</w:t>
      </w:r>
      <w:r w:rsidRPr="00ED16E5" w:rsidR="00C03631">
        <w:rPr>
          <w:rFonts w:cstheme="minorHAnsi"/>
        </w:rPr>
        <w:t>"</w:t>
      </w:r>
      <w:bookmarkEnd w:id="106"/>
      <w:r w:rsidR="005256DD">
        <w:rPr>
          <w:rFonts w:cstheme="minorHAnsi"/>
        </w:rPr>
        <w:t xml:space="preserve"> for the purposes of the Company's related party policy</w:t>
      </w:r>
      <w:r w:rsidRPr="00ED16E5" w:rsidR="00242164">
        <w:rPr>
          <w:rFonts w:cstheme="minorHAnsi"/>
        </w:rPr>
        <w:t>;</w:t>
      </w:r>
      <w:r w:rsidRPr="00ED16E5" w:rsidR="003C7543">
        <w:rPr>
          <w:rFonts w:cstheme="minorHAnsi"/>
        </w:rPr>
        <w:t xml:space="preserve"> and</w:t>
      </w:r>
    </w:p>
    <w:p w:rsidRPr="003C7543" w:rsidR="003309E6" w:rsidP="003309E6" w:rsidRDefault="00121A05" w14:paraId="69E1B6B3" w14:textId="4CB45171">
      <w:pPr>
        <w:numPr>
          <w:ilvl w:val="0"/>
          <w:numId w:val="64"/>
        </w:numPr>
        <w:spacing w:after="160" w:line="259" w:lineRule="auto"/>
        <w:rPr>
          <w:rFonts w:cstheme="minorHAnsi"/>
        </w:rPr>
      </w:pPr>
      <w:r w:rsidRPr="003C7543">
        <w:rPr>
          <w:rFonts w:cstheme="minorHAnsi"/>
        </w:rPr>
        <w:lastRenderedPageBreak/>
        <w:t>t</w:t>
      </w:r>
      <w:r w:rsidRPr="003C7543" w:rsidR="00274A8A">
        <w:rPr>
          <w:rFonts w:cstheme="minorHAnsi"/>
        </w:rPr>
        <w:t xml:space="preserve">he Company is not required to comply with the provisions of </w:t>
      </w:r>
      <w:r w:rsidRPr="003C7543">
        <w:rPr>
          <w:rFonts w:cstheme="minorHAnsi"/>
        </w:rPr>
        <w:t>UKLR 11.6 and Chapter 10 of the UK Listing Rules regarding the contents of circulars. However, the Company will comply with the following provisions of Chapter 10 of the UK Listing Rules</w:t>
      </w:r>
      <w:r w:rsidRPr="003C7543" w:rsidR="00D51D8D">
        <w:rPr>
          <w:rFonts w:cstheme="minorHAnsi"/>
        </w:rPr>
        <w:t xml:space="preserve"> (</w:t>
      </w:r>
      <w:bookmarkStart w:name="_Hlk189600896" w:id="109"/>
      <w:r w:rsidRPr="003C7543" w:rsidR="00D51D8D">
        <w:rPr>
          <w:rFonts w:cstheme="minorHAnsi"/>
        </w:rPr>
        <w:t>as applicable to closed-ended investment companies listed in the closed-ended investment funds category of the Official List</w:t>
      </w:r>
      <w:bookmarkEnd w:id="109"/>
      <w:r w:rsidRPr="003C7543" w:rsidR="00D51D8D">
        <w:rPr>
          <w:rFonts w:cstheme="minorHAnsi"/>
        </w:rPr>
        <w:t>)</w:t>
      </w:r>
      <w:r w:rsidRPr="003C7543">
        <w:rPr>
          <w:rFonts w:cstheme="minorHAnsi"/>
        </w:rPr>
        <w:t>: (</w:t>
      </w:r>
      <w:proofErr w:type="spellStart"/>
      <w:r w:rsidRPr="003C7543">
        <w:rPr>
          <w:rFonts w:cstheme="minorHAnsi"/>
        </w:rPr>
        <w:t>i</w:t>
      </w:r>
      <w:proofErr w:type="spellEnd"/>
      <w:r w:rsidRPr="003C7543">
        <w:rPr>
          <w:rFonts w:cstheme="minorHAnsi"/>
        </w:rPr>
        <w:t xml:space="preserve">) </w:t>
      </w:r>
      <w:bookmarkStart w:name="_Hlk189600871" w:id="110"/>
      <w:r w:rsidRPr="003C7543">
        <w:rPr>
          <w:rFonts w:cstheme="minorHAnsi"/>
        </w:rPr>
        <w:t xml:space="preserve">UKLR 10.3 (Content of all circulars); (ii) UKLR 10.5 (Circulars about purchase of own equity shares); and (iii) UKLR 10.6 (Other circulars). </w:t>
      </w:r>
      <w:r w:rsidRPr="003C7543" w:rsidR="00274A8A">
        <w:rPr>
          <w:rFonts w:cstheme="minorHAnsi"/>
        </w:rPr>
        <w:t xml:space="preserve"> </w:t>
      </w:r>
    </w:p>
    <w:bookmarkEnd w:id="110"/>
    <w:p w:rsidRPr="003C7543" w:rsidR="003309E6" w:rsidP="003309E6" w:rsidRDefault="003309E6" w14:paraId="132ADE33" w14:textId="17E31F83">
      <w:pPr>
        <w:rPr>
          <w:rFonts w:cstheme="minorHAnsi"/>
          <w:b/>
          <w:bCs/>
        </w:rPr>
      </w:pPr>
      <w:r w:rsidRPr="003C7543">
        <w:rPr>
          <w:rFonts w:cstheme="minorHAnsi"/>
          <w:b/>
          <w:bCs/>
        </w:rPr>
        <w:t>Specialist Fund Segment securities are not admitted to the Official List. Therefore</w:t>
      </w:r>
      <w:r w:rsidRPr="003C7543" w:rsidR="002B5690">
        <w:rPr>
          <w:rFonts w:cstheme="minorHAnsi"/>
          <w:b/>
          <w:bCs/>
        </w:rPr>
        <w:t>,</w:t>
      </w:r>
      <w:r w:rsidRPr="003C7543">
        <w:rPr>
          <w:rFonts w:cstheme="minorHAnsi"/>
          <w:b/>
          <w:bCs/>
        </w:rPr>
        <w:t xml:space="preserve"> the Company has not been required to satisfy the eligibility criteria for admission to listing on the Official List and is not required to comply with the </w:t>
      </w:r>
      <w:r w:rsidRPr="003C7543" w:rsidR="007F0C92">
        <w:rPr>
          <w:rFonts w:cstheme="minorHAnsi"/>
          <w:b/>
          <w:bCs/>
        </w:rPr>
        <w:t xml:space="preserve">UK </w:t>
      </w:r>
      <w:r w:rsidRPr="003C7543">
        <w:rPr>
          <w:rFonts w:cstheme="minorHAnsi"/>
          <w:b/>
          <w:bCs/>
        </w:rPr>
        <w:t xml:space="preserve">Listing Rules. The London Stock Exchange has not examined or approved the contents of this document. It should be noted that the FCA does not have the authority to monitor the Company’s voluntary compliance with the </w:t>
      </w:r>
      <w:r w:rsidRPr="003C7543" w:rsidR="007F0C92">
        <w:rPr>
          <w:rFonts w:cstheme="minorHAnsi"/>
          <w:b/>
          <w:bCs/>
        </w:rPr>
        <w:t xml:space="preserve">UK </w:t>
      </w:r>
      <w:r w:rsidRPr="003C7543">
        <w:rPr>
          <w:rFonts w:cstheme="minorHAnsi"/>
          <w:b/>
          <w:bCs/>
        </w:rPr>
        <w:t>Listing Rules applicable to closed-ended investment companies which are listed on the Specialist Fund Segment</w:t>
      </w:r>
      <w:r w:rsidRPr="003C7543" w:rsidR="002B5690">
        <w:rPr>
          <w:rFonts w:cstheme="minorHAnsi"/>
          <w:b/>
          <w:bCs/>
        </w:rPr>
        <w:t>,</w:t>
      </w:r>
      <w:r w:rsidRPr="003C7543">
        <w:rPr>
          <w:rFonts w:cstheme="minorHAnsi"/>
          <w:b/>
          <w:bCs/>
        </w:rPr>
        <w:t xml:space="preserve"> nor will it impose sanctions in respect of any failure of such compliance by the Company. </w:t>
      </w:r>
    </w:p>
    <w:p w:rsidRPr="00E16C15" w:rsidR="003309E6" w:rsidP="003309E6" w:rsidRDefault="003309E6" w14:paraId="6E9B16F4" w14:textId="3CA5463A">
      <w:pPr>
        <w:rPr>
          <w:rFonts w:cstheme="minorHAnsi"/>
          <w:b/>
          <w:bCs/>
        </w:rPr>
      </w:pPr>
      <w:r w:rsidRPr="003C7543">
        <w:rPr>
          <w:rFonts w:cstheme="minorHAnsi"/>
          <w:b/>
          <w:bCs/>
        </w:rPr>
        <w:t>FCA authorised firms conducting designated investment business with retail customers under COB Rules are reminded that securities admitted to trading on the Specialist Fund Segment will be securities that may have characteristics such as: (</w:t>
      </w:r>
      <w:proofErr w:type="spellStart"/>
      <w:r w:rsidRPr="003C7543">
        <w:rPr>
          <w:rFonts w:cstheme="minorHAnsi"/>
          <w:b/>
          <w:bCs/>
        </w:rPr>
        <w:t>i</w:t>
      </w:r>
      <w:proofErr w:type="spellEnd"/>
      <w:r w:rsidRPr="003C7543">
        <w:rPr>
          <w:rFonts w:cstheme="minorHAnsi"/>
          <w:b/>
          <w:bCs/>
        </w:rPr>
        <w:t>) variable levels of secondary market liquidity; (ii) sophisticated corporate structures; (iii) highly leveraged structures; and (iv) sophisticated investment propositions with concentrated risks and are therefore intended for institutional, professional and knowledgeable</w:t>
      </w:r>
      <w:r w:rsidRPr="00E16C15">
        <w:rPr>
          <w:rFonts w:cstheme="minorHAnsi"/>
          <w:b/>
          <w:bCs/>
        </w:rPr>
        <w:t xml:space="preserve"> investors.</w:t>
      </w:r>
      <w:r w:rsidRPr="00E16C15">
        <w:rPr>
          <w:rFonts w:cstheme="minorHAnsi"/>
          <w:b/>
          <w:bCs/>
        </w:rPr>
        <w:br w:type="page"/>
      </w:r>
    </w:p>
    <w:bookmarkStart w:name="_Ref65762965" w:id="111"/>
    <w:p w:rsidRPr="00DE5D68" w:rsidR="000273B2" w:rsidP="00D73005" w:rsidRDefault="00003777" w14:paraId="0138353B" w14:textId="10B32667">
      <w:pPr>
        <w:pStyle w:val="Part"/>
        <w:rPr>
          <w:b/>
        </w:rPr>
      </w:pPr>
      <w:r w:rsidRPr="00DE5D68">
        <w:rPr>
          <w:b/>
        </w:rPr>
        <w:lastRenderedPageBreak/>
        <w:fldChar w:fldCharType="begin"/>
      </w:r>
      <w:r w:rsidRPr="00DE5D68" w:rsidR="000273B2">
        <w:instrText xml:space="preserve"> TC </w:instrText>
      </w:r>
      <w:r w:rsidRPr="00DE5D68" w:rsidR="00170F35">
        <w:instrText>"</w:instrText>
      </w:r>
      <w:bookmarkStart w:name="_Toc329599169" w:id="112"/>
      <w:bookmarkStart w:name="_Toc405805324" w:id="113"/>
      <w:bookmarkStart w:name="_Toc493520579" w:id="114"/>
      <w:bookmarkStart w:name="_Toc78485971" w:id="115"/>
      <w:bookmarkStart w:name="_Toc190288031" w:id="116"/>
      <w:r w:rsidRPr="00DE5D68" w:rsidR="000273B2">
        <w:instrText xml:space="preserve">PART 1 </w:instrText>
      </w:r>
      <w:r w:rsidRPr="00DE5D68" w:rsidR="004D3ACA">
        <w:instrText>–</w:instrText>
      </w:r>
      <w:r w:rsidRPr="00DE5D68" w:rsidR="000273B2">
        <w:instrText xml:space="preserve"> </w:instrText>
      </w:r>
      <w:r w:rsidRPr="00DE5D68" w:rsidR="004D3ACA">
        <w:instrText xml:space="preserve">INFORMATION ON </w:instrText>
      </w:r>
      <w:r w:rsidRPr="00DE5D68" w:rsidR="000273B2">
        <w:instrText xml:space="preserve">THE </w:instrText>
      </w:r>
      <w:bookmarkEnd w:id="112"/>
      <w:bookmarkEnd w:id="113"/>
      <w:r w:rsidRPr="00DE5D68" w:rsidR="00A47D47">
        <w:instrText>COMPANY</w:instrText>
      </w:r>
      <w:bookmarkEnd w:id="114"/>
      <w:bookmarkEnd w:id="115"/>
      <w:bookmarkEnd w:id="116"/>
      <w:r w:rsidRPr="00DE5D68" w:rsidR="00170F35">
        <w:instrText>"</w:instrText>
      </w:r>
      <w:r w:rsidRPr="00DE5D68" w:rsidR="000273B2">
        <w:instrText xml:space="preserve"> \f C \l </w:instrText>
      </w:r>
      <w:r w:rsidRPr="00DE5D68" w:rsidR="00170F35">
        <w:instrText>"</w:instrText>
      </w:r>
      <w:r w:rsidRPr="00DE5D68" w:rsidR="000273B2">
        <w:instrText>1</w:instrText>
      </w:r>
      <w:r w:rsidRPr="00DE5D68" w:rsidR="00170F35">
        <w:instrText>"</w:instrText>
      </w:r>
      <w:r w:rsidRPr="00DE5D68" w:rsidR="000273B2">
        <w:instrText xml:space="preserve"> </w:instrText>
      </w:r>
      <w:r w:rsidRPr="00DE5D68">
        <w:rPr>
          <w:b/>
        </w:rPr>
        <w:fldChar w:fldCharType="end"/>
      </w:r>
      <w:bookmarkEnd w:id="111"/>
    </w:p>
    <w:p w:rsidRPr="00DE5D68" w:rsidR="001777B4" w:rsidP="00C27D12" w:rsidRDefault="004D3ACA" w14:paraId="645EC025" w14:textId="77777777">
      <w:pPr>
        <w:jc w:val="center"/>
        <w:rPr>
          <w:rFonts w:cs="Arial"/>
          <w:b/>
        </w:rPr>
      </w:pPr>
      <w:r w:rsidRPr="00DE5D68">
        <w:rPr>
          <w:rFonts w:cs="Arial"/>
          <w:b/>
        </w:rPr>
        <w:t xml:space="preserve">INFORMATION ON </w:t>
      </w:r>
      <w:r w:rsidRPr="00DE5D68" w:rsidR="001777B4">
        <w:rPr>
          <w:rFonts w:cs="Arial"/>
          <w:b/>
        </w:rPr>
        <w:t>THE COMPANY</w:t>
      </w:r>
    </w:p>
    <w:p w:rsidRPr="00DE5D68" w:rsidR="001777B4" w:rsidP="00565AD4" w:rsidRDefault="001777B4" w14:paraId="21FE2FA0" w14:textId="77777777">
      <w:pPr>
        <w:pStyle w:val="Heading1"/>
        <w:numPr>
          <w:ilvl w:val="0"/>
          <w:numId w:val="40"/>
        </w:numPr>
        <w:rPr>
          <w:rFonts w:cs="Arial"/>
          <w:caps w:val="0"/>
        </w:rPr>
      </w:pPr>
      <w:r w:rsidRPr="00DE5D68">
        <w:rPr>
          <w:rFonts w:cs="Arial"/>
          <w:caps w:val="0"/>
        </w:rPr>
        <w:t>INTRODUCTION</w:t>
      </w:r>
    </w:p>
    <w:p w:rsidRPr="00DE5D68" w:rsidR="00573172" w:rsidP="00C27D12" w:rsidRDefault="009F2785" w14:paraId="2F75C672" w14:textId="1D3CE3E3">
      <w:pPr>
        <w:autoSpaceDE w:val="0"/>
        <w:autoSpaceDN w:val="0"/>
        <w:adjustRightInd w:val="0"/>
        <w:rPr>
          <w:rFonts w:cs="Arial"/>
        </w:rPr>
      </w:pPr>
      <w:r w:rsidRPr="00DE5D68">
        <w:rPr>
          <w:rFonts w:cs="Arial"/>
        </w:rPr>
        <w:t>Th</w:t>
      </w:r>
      <w:r w:rsidRPr="00DE5D68" w:rsidR="007944F4">
        <w:rPr>
          <w:rFonts w:cs="Arial"/>
        </w:rPr>
        <w:t>e Company</w:t>
      </w:r>
      <w:r w:rsidRPr="00DE5D68">
        <w:rPr>
          <w:rFonts w:cs="Arial"/>
        </w:rPr>
        <w:t xml:space="preserve"> </w:t>
      </w:r>
      <w:r w:rsidRPr="00DE5D68" w:rsidR="00407E46">
        <w:rPr>
          <w:rFonts w:cs="Arial"/>
        </w:rPr>
        <w:t xml:space="preserve">was incorporated </w:t>
      </w:r>
      <w:r w:rsidRPr="00DE5D68" w:rsidR="007944F4">
        <w:rPr>
          <w:rFonts w:cs="Arial"/>
        </w:rPr>
        <w:t>with limited liability in Guernse</w:t>
      </w:r>
      <w:r w:rsidRPr="00DE5D68" w:rsidR="009A3B74">
        <w:rPr>
          <w:rFonts w:cs="Arial"/>
        </w:rPr>
        <w:t>y und</w:t>
      </w:r>
      <w:r w:rsidR="00890EBC">
        <w:rPr>
          <w:rFonts w:cs="Arial"/>
        </w:rPr>
        <w:t xml:space="preserve">er the Companies Law on </w:t>
      </w:r>
      <w:r w:rsidR="00AE31CD">
        <w:rPr>
          <w:rFonts w:cs="Arial"/>
        </w:rPr>
        <w:t xml:space="preserve">20 January </w:t>
      </w:r>
      <w:r w:rsidR="00525B5A">
        <w:rPr>
          <w:rFonts w:cs="Arial"/>
        </w:rPr>
        <w:t>202</w:t>
      </w:r>
      <w:r w:rsidR="00824CF6">
        <w:rPr>
          <w:rFonts w:cs="Arial"/>
        </w:rPr>
        <w:t>5</w:t>
      </w:r>
      <w:r w:rsidRPr="00DE5D68" w:rsidR="00B56DB9">
        <w:rPr>
          <w:rFonts w:cs="Arial"/>
        </w:rPr>
        <w:t xml:space="preserve"> as a </w:t>
      </w:r>
      <w:r w:rsidR="00855666">
        <w:rPr>
          <w:rFonts w:cs="Arial"/>
        </w:rPr>
        <w:t>non-cellular company</w:t>
      </w:r>
      <w:r w:rsidRPr="00DE5D68" w:rsidR="00B56DB9">
        <w:rPr>
          <w:rFonts w:cs="Arial"/>
        </w:rPr>
        <w:t xml:space="preserve"> limited by shares. </w:t>
      </w:r>
      <w:r w:rsidRPr="00DE5D68" w:rsidR="00170F35">
        <w:rPr>
          <w:rFonts w:cs="Arial"/>
        </w:rPr>
        <w:t>The Company</w:t>
      </w:r>
      <w:r w:rsidRPr="00DE5D68" w:rsidR="00385FF3">
        <w:rPr>
          <w:rFonts w:cs="Arial"/>
        </w:rPr>
        <w:t>'s</w:t>
      </w:r>
      <w:r w:rsidRPr="00DE5D68" w:rsidR="00170F35">
        <w:rPr>
          <w:rFonts w:cs="Arial"/>
        </w:rPr>
        <w:t xml:space="preserve"> investme</w:t>
      </w:r>
      <w:r w:rsidR="00D96531">
        <w:rPr>
          <w:rFonts w:cs="Arial"/>
        </w:rPr>
        <w:t xml:space="preserve">nt </w:t>
      </w:r>
      <w:r w:rsidR="00084701">
        <w:rPr>
          <w:rFonts w:cs="Arial"/>
        </w:rPr>
        <w:t>strategy</w:t>
      </w:r>
      <w:r w:rsidR="00D96531">
        <w:rPr>
          <w:rFonts w:cs="Arial"/>
        </w:rPr>
        <w:t xml:space="preserve"> is to</w:t>
      </w:r>
      <w:r w:rsidR="004E26F5">
        <w:rPr>
          <w:rFonts w:cs="Arial"/>
        </w:rPr>
        <w:t xml:space="preserve"> </w:t>
      </w:r>
      <w:r w:rsidRPr="004E26F5" w:rsidR="004E26F5">
        <w:rPr>
          <w:rFonts w:cs="Arial"/>
        </w:rPr>
        <w:t xml:space="preserve">invest in the shares of </w:t>
      </w:r>
      <w:r w:rsidR="007711B7">
        <w:rPr>
          <w:rFonts w:cs="Arial"/>
        </w:rPr>
        <w:t>closed-ended investment companies,</w:t>
      </w:r>
      <w:r w:rsidRPr="004E26F5" w:rsidR="004E26F5">
        <w:rPr>
          <w:rFonts w:cs="Arial"/>
        </w:rPr>
        <w:t xml:space="preserve"> </w:t>
      </w:r>
      <w:r w:rsidR="007711B7">
        <w:rPr>
          <w:rFonts w:cs="Arial"/>
        </w:rPr>
        <w:t>admitted to trading on a market of the London Stock Exchange,</w:t>
      </w:r>
      <w:r w:rsidRPr="004E26F5" w:rsidR="007711B7">
        <w:rPr>
          <w:rFonts w:cs="Arial"/>
        </w:rPr>
        <w:t xml:space="preserve"> </w:t>
      </w:r>
      <w:r w:rsidRPr="004E26F5" w:rsidR="004E26F5">
        <w:rPr>
          <w:rFonts w:cs="Arial"/>
        </w:rPr>
        <w:t xml:space="preserve">with a focus on alternative assets </w:t>
      </w:r>
      <w:r w:rsidR="007711B7">
        <w:rPr>
          <w:rFonts w:cs="Arial"/>
        </w:rPr>
        <w:t>(being assets other than publicly quoted e</w:t>
      </w:r>
      <w:r w:rsidR="007F6CFA">
        <w:rPr>
          <w:rFonts w:cs="Arial"/>
        </w:rPr>
        <w:t>quities</w:t>
      </w:r>
      <w:r w:rsidR="007711B7">
        <w:rPr>
          <w:rFonts w:cs="Arial"/>
        </w:rPr>
        <w:t xml:space="preserve">) </w:t>
      </w:r>
      <w:r w:rsidRPr="004E26F5" w:rsidR="004E26F5">
        <w:rPr>
          <w:rFonts w:cs="Arial"/>
        </w:rPr>
        <w:t xml:space="preserve">and </w:t>
      </w:r>
      <w:r w:rsidR="00C34330">
        <w:rPr>
          <w:rFonts w:cs="Arial"/>
        </w:rPr>
        <w:t xml:space="preserve">to seek to </w:t>
      </w:r>
      <w:r w:rsidRPr="004E26F5" w:rsidR="004E26F5">
        <w:rPr>
          <w:rFonts w:cs="Arial"/>
        </w:rPr>
        <w:t>maximise value for shareholders through constructive activism</w:t>
      </w:r>
      <w:r w:rsidR="004E26F5">
        <w:rPr>
          <w:rFonts w:cs="Arial"/>
        </w:rPr>
        <w:t>.</w:t>
      </w:r>
    </w:p>
    <w:p w:rsidR="00722843" w:rsidP="00C27D12" w:rsidRDefault="00C42326" w14:paraId="544ADB87" w14:textId="01364992">
      <w:pPr>
        <w:rPr>
          <w:rFonts w:eastAsia="Arial" w:cs="Arial"/>
        </w:rPr>
      </w:pPr>
      <w:r w:rsidRPr="00DE5D68">
        <w:rPr>
          <w:rFonts w:cs="Arial"/>
        </w:rPr>
        <w:t xml:space="preserve">The Company </w:t>
      </w:r>
      <w:r w:rsidR="004177A2">
        <w:rPr>
          <w:rFonts w:cs="Arial"/>
        </w:rPr>
        <w:t xml:space="preserve">will issue </w:t>
      </w:r>
      <w:r w:rsidR="00893EA6">
        <w:rPr>
          <w:rFonts w:cs="Arial"/>
        </w:rPr>
        <w:t>54</w:t>
      </w:r>
      <w:r w:rsidRPr="00DE5D68" w:rsidR="00951AEE">
        <w:rPr>
          <w:rFonts w:cs="Arial"/>
        </w:rPr>
        <w:t xml:space="preserve"> </w:t>
      </w:r>
      <w:r w:rsidRPr="00DE5D68">
        <w:rPr>
          <w:rFonts w:cs="Arial"/>
        </w:rPr>
        <w:t>million</w:t>
      </w:r>
      <w:r w:rsidRPr="00DE5D68" w:rsidR="00A570E1">
        <w:rPr>
          <w:rFonts w:cs="Arial"/>
        </w:rPr>
        <w:t xml:space="preserve"> Ordinary Shares</w:t>
      </w:r>
      <w:r w:rsidRPr="00DE5D68" w:rsidR="009F2785">
        <w:rPr>
          <w:rFonts w:cs="Arial"/>
        </w:rPr>
        <w:t xml:space="preserve"> pursuant to</w:t>
      </w:r>
      <w:r w:rsidR="00783C20">
        <w:rPr>
          <w:rFonts w:cs="Arial"/>
        </w:rPr>
        <w:t xml:space="preserve"> </w:t>
      </w:r>
      <w:r w:rsidRPr="00DE5D68" w:rsidR="009F2785">
        <w:rPr>
          <w:rFonts w:cs="Arial"/>
        </w:rPr>
        <w:t xml:space="preserve">the </w:t>
      </w:r>
      <w:r w:rsidR="00B97B41">
        <w:rPr>
          <w:rFonts w:cs="Arial"/>
        </w:rPr>
        <w:t xml:space="preserve">Initial </w:t>
      </w:r>
      <w:r w:rsidRPr="001F5465" w:rsidR="00B97B41">
        <w:rPr>
          <w:rFonts w:cs="Arial"/>
        </w:rPr>
        <w:t>Placing</w:t>
      </w:r>
      <w:r w:rsidR="00A46153">
        <w:rPr>
          <w:rFonts w:cs="Arial"/>
        </w:rPr>
        <w:t xml:space="preserve"> (which number includes the single Ordinary Share issued on the Company's incorporation)</w:t>
      </w:r>
      <w:r w:rsidR="004E26F5">
        <w:rPr>
          <w:rFonts w:eastAsia="Arial" w:cs="Arial"/>
        </w:rPr>
        <w:t xml:space="preserve">. </w:t>
      </w:r>
    </w:p>
    <w:p w:rsidRPr="00690B51" w:rsidR="00174957" w:rsidP="00C27D12" w:rsidRDefault="00174957" w14:paraId="7D68E065" w14:textId="50E7BF12">
      <w:pPr>
        <w:rPr>
          <w:rFonts w:cs="Arial"/>
          <w:szCs w:val="20"/>
        </w:rPr>
      </w:pPr>
      <w:r>
        <w:rPr>
          <w:rFonts w:eastAsia="Arial" w:cs="Arial"/>
        </w:rPr>
        <w:t xml:space="preserve">As described more fully below, the Company will seek to maximise the value of its portfolio through a policy of constructive engagement with the underlying </w:t>
      </w:r>
      <w:r w:rsidR="00084701">
        <w:rPr>
          <w:rFonts w:eastAsia="Arial" w:cs="Arial"/>
        </w:rPr>
        <w:t>portfolio companies</w:t>
      </w:r>
      <w:r>
        <w:rPr>
          <w:rFonts w:eastAsia="Arial" w:cs="Arial"/>
        </w:rPr>
        <w:t xml:space="preserve"> in which it invests. </w:t>
      </w:r>
      <w:r w:rsidRPr="00D8094B" w:rsidR="00690B51">
        <w:rPr>
          <w:rFonts w:cs="Arial"/>
          <w:szCs w:val="20"/>
        </w:rPr>
        <w:t xml:space="preserve">As a mechanism for returning capital </w:t>
      </w:r>
      <w:r w:rsidR="00690B51">
        <w:rPr>
          <w:rFonts w:cs="Arial"/>
          <w:szCs w:val="20"/>
        </w:rPr>
        <w:t xml:space="preserve">(including realised </w:t>
      </w:r>
      <w:r w:rsidRPr="00D8094B" w:rsidR="00690B51">
        <w:rPr>
          <w:rFonts w:cs="Arial"/>
          <w:szCs w:val="20"/>
        </w:rPr>
        <w:t>profits</w:t>
      </w:r>
      <w:r w:rsidR="00690B51">
        <w:rPr>
          <w:rFonts w:cs="Arial"/>
          <w:szCs w:val="20"/>
        </w:rPr>
        <w:t>)</w:t>
      </w:r>
      <w:r w:rsidRPr="00D8094B" w:rsidR="00690B51">
        <w:rPr>
          <w:rFonts w:cs="Arial"/>
          <w:szCs w:val="20"/>
        </w:rPr>
        <w:t xml:space="preserve"> to Shareholders, the Company may, from time to time, invite Shareholders to tender some or all of their Ordinary</w:t>
      </w:r>
      <w:r w:rsidRPr="00132D42" w:rsidR="00690B51">
        <w:rPr>
          <w:rFonts w:cs="Arial"/>
          <w:szCs w:val="20"/>
        </w:rPr>
        <w:t xml:space="preserve"> Shares for redemption. </w:t>
      </w:r>
      <w:r>
        <w:rPr>
          <w:rFonts w:eastAsia="Arial" w:cs="Arial"/>
        </w:rPr>
        <w:t>The Company does not have a fixed life</w:t>
      </w:r>
      <w:r w:rsidR="00525B5A">
        <w:rPr>
          <w:rFonts w:eastAsia="Arial" w:cs="Arial"/>
        </w:rPr>
        <w:t>.</w:t>
      </w:r>
      <w:r>
        <w:rPr>
          <w:rFonts w:eastAsia="Arial" w:cs="Arial"/>
        </w:rPr>
        <w:t xml:space="preserve"> </w:t>
      </w:r>
    </w:p>
    <w:p w:rsidR="00460890" w:rsidP="00C27D12" w:rsidRDefault="00783C20" w14:paraId="644B1E71" w14:textId="7B03491C">
      <w:pPr>
        <w:rPr>
          <w:rFonts w:eastAsia="Arial" w:cs="Arial"/>
          <w:spacing w:val="-4"/>
        </w:rPr>
      </w:pPr>
      <w:r>
        <w:rPr>
          <w:rFonts w:eastAsia="Arial" w:cs="Arial"/>
          <w:spacing w:val="-4"/>
        </w:rPr>
        <w:t>The Company has a</w:t>
      </w:r>
      <w:r w:rsidR="00525B5A">
        <w:rPr>
          <w:rFonts w:eastAsia="Arial" w:cs="Arial"/>
          <w:spacing w:val="-4"/>
        </w:rPr>
        <w:t xml:space="preserve"> majority</w:t>
      </w:r>
      <w:r>
        <w:rPr>
          <w:rFonts w:eastAsia="Arial" w:cs="Arial"/>
          <w:spacing w:val="-4"/>
        </w:rPr>
        <w:t xml:space="preserve"> </w:t>
      </w:r>
      <w:r w:rsidRPr="00DE5D68" w:rsidR="00F14C2E">
        <w:rPr>
          <w:rFonts w:eastAsia="Arial" w:cs="Arial"/>
          <w:spacing w:val="-4"/>
        </w:rPr>
        <w:t xml:space="preserve">independent </w:t>
      </w:r>
      <w:r w:rsidRPr="00DE5D68" w:rsidR="000C0D70">
        <w:rPr>
          <w:rFonts w:eastAsia="Arial" w:cs="Arial"/>
          <w:spacing w:val="-4"/>
        </w:rPr>
        <w:t>Board</w:t>
      </w:r>
      <w:r w:rsidRPr="00DE5D68" w:rsidR="00722843">
        <w:rPr>
          <w:rFonts w:eastAsia="Arial" w:cs="Arial"/>
          <w:spacing w:val="-4"/>
        </w:rPr>
        <w:t xml:space="preserve"> of non-executive </w:t>
      </w:r>
      <w:r w:rsidRPr="00DE5D68" w:rsidR="000C0D70">
        <w:rPr>
          <w:rFonts w:eastAsia="Arial" w:cs="Arial"/>
          <w:spacing w:val="-4"/>
        </w:rPr>
        <w:t>Directors</w:t>
      </w:r>
      <w:r w:rsidRPr="00DE5D68" w:rsidR="00722843">
        <w:rPr>
          <w:rFonts w:eastAsia="Arial" w:cs="Arial"/>
          <w:spacing w:val="-4"/>
        </w:rPr>
        <w:t xml:space="preserve"> and has engaged </w:t>
      </w:r>
      <w:r w:rsidR="005B78A8">
        <w:rPr>
          <w:rFonts w:cs="Arial"/>
          <w:spacing w:val="6"/>
        </w:rPr>
        <w:t>Harwood Capital Management (Gibraltar) Limited</w:t>
      </w:r>
      <w:r w:rsidRPr="00DE5D68" w:rsidR="00722843">
        <w:rPr>
          <w:rFonts w:cs="Arial"/>
          <w:spacing w:val="6"/>
        </w:rPr>
        <w:t xml:space="preserve"> </w:t>
      </w:r>
      <w:r w:rsidRPr="00DE5D68" w:rsidR="00722843">
        <w:rPr>
          <w:rFonts w:eastAsia="Arial" w:cs="Arial"/>
          <w:spacing w:val="-4"/>
        </w:rPr>
        <w:t xml:space="preserve">as the Company’s alternative investment fund manager to provide portfolio and risk management services to the Company. </w:t>
      </w:r>
      <w:r w:rsidRPr="00DE5D68" w:rsidR="00951AEE">
        <w:rPr>
          <w:rFonts w:eastAsia="Arial" w:cs="Arial"/>
          <w:spacing w:val="-4"/>
        </w:rPr>
        <w:t xml:space="preserve">Subject to the overall supervision and control of the Directors, the Investment Manager will be responsible for the portfolio and risk management of the Company's assets. </w:t>
      </w:r>
    </w:p>
    <w:p w:rsidRPr="00DE5D68" w:rsidR="00460890" w:rsidP="00460890" w:rsidRDefault="00460890" w14:paraId="7BB79966" w14:textId="6D371060">
      <w:pPr>
        <w:pStyle w:val="Body2"/>
        <w:ind w:left="0"/>
        <w:rPr>
          <w:rFonts w:cs="Arial"/>
          <w:sz w:val="20"/>
          <w:szCs w:val="20"/>
        </w:rPr>
      </w:pPr>
      <w:r w:rsidRPr="00DE5D68">
        <w:rPr>
          <w:rFonts w:cs="Arial"/>
          <w:sz w:val="20"/>
          <w:szCs w:val="20"/>
        </w:rPr>
        <w:t xml:space="preserve">Further information relating to the Investment Manager </w:t>
      </w:r>
      <w:r w:rsidR="003338B4">
        <w:rPr>
          <w:rFonts w:cs="Arial"/>
          <w:sz w:val="20"/>
          <w:szCs w:val="20"/>
        </w:rPr>
        <w:t xml:space="preserve">and its track record </w:t>
      </w:r>
      <w:r w:rsidRPr="00DE5D68">
        <w:rPr>
          <w:rFonts w:cs="Arial"/>
          <w:sz w:val="20"/>
          <w:szCs w:val="20"/>
        </w:rPr>
        <w:t xml:space="preserve">is set out in </w:t>
      </w:r>
      <w:r w:rsidR="00637905">
        <w:rPr>
          <w:rFonts w:cs="Arial"/>
          <w:sz w:val="20"/>
          <w:szCs w:val="20"/>
        </w:rPr>
        <w:fldChar w:fldCharType="begin" w:fldLock="1"/>
      </w:r>
      <w:r w:rsidR="00637905">
        <w:rPr>
          <w:rFonts w:cs="Arial"/>
          <w:sz w:val="20"/>
          <w:szCs w:val="20"/>
        </w:rPr>
        <w:instrText xml:space="preserve"> REF _Ref65763481 \n \h </w:instrText>
      </w:r>
      <w:r w:rsidR="00637905">
        <w:rPr>
          <w:rFonts w:cs="Arial"/>
          <w:sz w:val="20"/>
          <w:szCs w:val="20"/>
        </w:rPr>
      </w:r>
      <w:r w:rsidR="00637905">
        <w:rPr>
          <w:rFonts w:cs="Arial"/>
          <w:sz w:val="20"/>
          <w:szCs w:val="20"/>
        </w:rPr>
        <w:fldChar w:fldCharType="separate"/>
      </w:r>
      <w:r w:rsidR="00DA4048">
        <w:rPr>
          <w:rFonts w:cs="Arial"/>
          <w:sz w:val="20"/>
          <w:szCs w:val="20"/>
        </w:rPr>
        <w:t>Part 2</w:t>
      </w:r>
      <w:r w:rsidR="00637905">
        <w:rPr>
          <w:rFonts w:cs="Arial"/>
          <w:sz w:val="20"/>
          <w:szCs w:val="20"/>
        </w:rPr>
        <w:fldChar w:fldCharType="end"/>
      </w:r>
      <w:r w:rsidRPr="00DE5D68">
        <w:rPr>
          <w:rFonts w:cs="Arial"/>
          <w:sz w:val="20"/>
          <w:szCs w:val="20"/>
        </w:rPr>
        <w:t xml:space="preserve"> of this document.</w:t>
      </w:r>
    </w:p>
    <w:p w:rsidRPr="00DE5D68" w:rsidR="00722843" w:rsidP="00C27D12" w:rsidRDefault="006548C6" w14:paraId="3A20BE6D" w14:textId="79CF2CA3">
      <w:pPr>
        <w:rPr>
          <w:rFonts w:cs="Arial"/>
        </w:rPr>
      </w:pPr>
      <w:r w:rsidRPr="00DE5D68">
        <w:rPr>
          <w:rFonts w:cs="Arial"/>
        </w:rPr>
        <w:t>Application</w:t>
      </w:r>
      <w:r w:rsidRPr="00DE5D68" w:rsidR="00722843">
        <w:rPr>
          <w:rFonts w:cs="Arial"/>
        </w:rPr>
        <w:t xml:space="preserve"> </w:t>
      </w:r>
      <w:r w:rsidR="004177A2">
        <w:rPr>
          <w:rFonts w:cs="Arial"/>
        </w:rPr>
        <w:t>has been</w:t>
      </w:r>
      <w:r w:rsidRPr="00DE5D68" w:rsidR="00722843">
        <w:rPr>
          <w:rFonts w:cs="Arial"/>
        </w:rPr>
        <w:t xml:space="preserve"> made to </w:t>
      </w:r>
      <w:r w:rsidR="00640CB6">
        <w:rPr>
          <w:rFonts w:cs="Arial"/>
        </w:rPr>
        <w:fldChar w:fldCharType="begin">
          <w:fldData xml:space="preserve">dgAxAHwAMQAwADAAMQA3AHwAdABoAGUAIABMAG8AbgBkAG8AbgB8AEEAbQBiAGkAZwAtADEAMAAw
ADEANwB8AHwA
</w:fldData>
        </w:fldChar>
      </w:r>
      <w:r w:rsidR="00640CB6">
        <w:rPr>
          <w:rFonts w:cs="Arial"/>
        </w:rPr>
        <w:instrText xml:space="preserve"> ADDIN CiteCheck Marker </w:instrText>
      </w:r>
      <w:r w:rsidR="00640CB6">
        <w:rPr>
          <w:rFonts w:cs="Arial"/>
        </w:rPr>
      </w:r>
      <w:r w:rsidR="00640CB6">
        <w:rPr>
          <w:rFonts w:cs="Arial"/>
        </w:rPr>
        <w:fldChar w:fldCharType="end"/>
      </w:r>
      <w:r w:rsidRPr="00DE5D68" w:rsidR="00722843">
        <w:rPr>
          <w:rFonts w:cs="Arial"/>
        </w:rPr>
        <w:t>the London Stock Exchange for all of the Ordinary Shares (issued and to be issued</w:t>
      </w:r>
      <w:r w:rsidR="00DD7F23">
        <w:rPr>
          <w:rFonts w:cs="Arial"/>
        </w:rPr>
        <w:t xml:space="preserve"> pursuant to the Initial </w:t>
      </w:r>
      <w:r w:rsidR="00525B5A">
        <w:rPr>
          <w:rFonts w:cs="Arial"/>
        </w:rPr>
        <w:t>Placing</w:t>
      </w:r>
      <w:r w:rsidRPr="00DE5D68" w:rsidR="00722843">
        <w:rPr>
          <w:rFonts w:cs="Arial"/>
        </w:rPr>
        <w:t xml:space="preserve">) to be admitted to </w:t>
      </w:r>
      <w:r w:rsidRPr="00DE5D68">
        <w:rPr>
          <w:rFonts w:cs="Arial"/>
        </w:rPr>
        <w:t>trading on the Specialist Fund Segment</w:t>
      </w:r>
      <w:r w:rsidRPr="00DE5D68" w:rsidR="00041024">
        <w:rPr>
          <w:rFonts w:cs="Arial"/>
        </w:rPr>
        <w:t xml:space="preserve"> of the </w:t>
      </w:r>
      <w:r w:rsidRPr="00DE5D68" w:rsidR="00E355F0">
        <w:rPr>
          <w:rFonts w:cs="Arial"/>
        </w:rPr>
        <w:t>M</w:t>
      </w:r>
      <w:r w:rsidRPr="00DE5D68" w:rsidR="00041024">
        <w:rPr>
          <w:rFonts w:cs="Arial"/>
        </w:rPr>
        <w:t xml:space="preserve">ain </w:t>
      </w:r>
      <w:r w:rsidRPr="00DE5D68" w:rsidR="00E355F0">
        <w:rPr>
          <w:rFonts w:cs="Arial"/>
        </w:rPr>
        <w:t>M</w:t>
      </w:r>
      <w:r w:rsidRPr="00DE5D68" w:rsidR="00041024">
        <w:rPr>
          <w:rFonts w:cs="Arial"/>
        </w:rPr>
        <w:t>arket</w:t>
      </w:r>
      <w:r w:rsidRPr="00DE5D68" w:rsidR="00722843">
        <w:rPr>
          <w:rFonts w:cs="Arial"/>
        </w:rPr>
        <w:t xml:space="preserve">. It is expected that </w:t>
      </w:r>
      <w:r w:rsidRPr="00DE5D68" w:rsidR="000277AD">
        <w:rPr>
          <w:rFonts w:cs="Arial"/>
        </w:rPr>
        <w:t xml:space="preserve">Initial </w:t>
      </w:r>
      <w:r w:rsidRPr="00DE5D68" w:rsidR="00722843">
        <w:rPr>
          <w:rFonts w:cs="Arial"/>
        </w:rPr>
        <w:t>Admission will become effective, and that dealings in the Ordinary</w:t>
      </w:r>
      <w:r w:rsidRPr="00DE5D68" w:rsidR="002456B9">
        <w:rPr>
          <w:rFonts w:cs="Arial"/>
        </w:rPr>
        <w:t xml:space="preserve"> Shares </w:t>
      </w:r>
      <w:r w:rsidRPr="00DE5D68" w:rsidR="00722843">
        <w:rPr>
          <w:rFonts w:cs="Arial"/>
        </w:rPr>
        <w:t xml:space="preserve">will commence, at 8.00 a.m. on </w:t>
      </w:r>
      <w:r w:rsidR="0055680D">
        <w:rPr>
          <w:rFonts w:cs="Arial"/>
        </w:rPr>
        <w:t>2</w:t>
      </w:r>
      <w:r w:rsidR="007D3786">
        <w:rPr>
          <w:rFonts w:cs="Arial"/>
        </w:rPr>
        <w:t>5</w:t>
      </w:r>
      <w:r w:rsidRPr="00DE5D68" w:rsidR="00722843">
        <w:rPr>
          <w:rFonts w:cs="Arial"/>
        </w:rPr>
        <w:t xml:space="preserve"> </w:t>
      </w:r>
      <w:r w:rsidR="004F0EF4">
        <w:rPr>
          <w:rFonts w:cs="Arial"/>
        </w:rPr>
        <w:t xml:space="preserve">February </w:t>
      </w:r>
      <w:r w:rsidR="003338B4">
        <w:rPr>
          <w:rFonts w:cs="Arial"/>
        </w:rPr>
        <w:t>202</w:t>
      </w:r>
      <w:r w:rsidR="00525B5A">
        <w:rPr>
          <w:rFonts w:cs="Arial"/>
        </w:rPr>
        <w:t>5</w:t>
      </w:r>
      <w:r w:rsidRPr="00DE5D68" w:rsidR="00722843">
        <w:rPr>
          <w:rFonts w:cs="Arial"/>
        </w:rPr>
        <w:t xml:space="preserve">.  </w:t>
      </w:r>
    </w:p>
    <w:p w:rsidRPr="00DE5D68" w:rsidR="00730F38" w:rsidP="00C27D12" w:rsidRDefault="001777B4" w14:paraId="15362135" w14:textId="79037A6D">
      <w:pPr>
        <w:pStyle w:val="Heading1"/>
        <w:rPr>
          <w:rFonts w:cs="Arial"/>
          <w:caps w:val="0"/>
        </w:rPr>
      </w:pPr>
      <w:r w:rsidRPr="00DE5D68">
        <w:rPr>
          <w:rFonts w:cs="Arial"/>
          <w:caps w:val="0"/>
        </w:rPr>
        <w:t>INVESTMENT OBJECTIVE</w:t>
      </w:r>
      <w:r w:rsidRPr="00DE5D68" w:rsidR="00C5700F">
        <w:rPr>
          <w:rFonts w:cs="Arial"/>
          <w:caps w:val="0"/>
        </w:rPr>
        <w:t xml:space="preserve"> AND</w:t>
      </w:r>
      <w:r w:rsidRPr="00DE5D68" w:rsidR="00FA2B0C">
        <w:rPr>
          <w:rFonts w:cs="Arial"/>
          <w:caps w:val="0"/>
        </w:rPr>
        <w:t xml:space="preserve"> INVESTMENT POLICY </w:t>
      </w:r>
      <w:r w:rsidRPr="00DE5D68" w:rsidR="007018EB">
        <w:rPr>
          <w:rFonts w:cs="Arial"/>
          <w:i/>
          <w:caps w:val="0"/>
        </w:rPr>
        <w:t xml:space="preserve"> </w:t>
      </w:r>
    </w:p>
    <w:p w:rsidRPr="00DE5D68" w:rsidR="00C96BEA" w:rsidP="00C27D12" w:rsidRDefault="00C96BEA" w14:paraId="49E69D20" w14:textId="46960E70">
      <w:pPr>
        <w:rPr>
          <w:rFonts w:cs="Arial"/>
          <w:bCs/>
          <w:szCs w:val="20"/>
        </w:rPr>
      </w:pPr>
      <w:r w:rsidRPr="00DE5D68">
        <w:rPr>
          <w:rFonts w:cs="Arial"/>
          <w:bCs/>
          <w:szCs w:val="20"/>
        </w:rPr>
        <w:t>The Company's i</w:t>
      </w:r>
      <w:r w:rsidRPr="00DE5D68" w:rsidR="006B787B">
        <w:rPr>
          <w:rFonts w:cs="Arial"/>
          <w:bCs/>
          <w:szCs w:val="20"/>
        </w:rPr>
        <w:t xml:space="preserve">nvestment objective and </w:t>
      </w:r>
      <w:r w:rsidR="00781CCC">
        <w:rPr>
          <w:rFonts w:cs="Arial"/>
          <w:bCs/>
          <w:szCs w:val="20"/>
        </w:rPr>
        <w:t xml:space="preserve">investment </w:t>
      </w:r>
      <w:r w:rsidRPr="00DE5D68" w:rsidR="006B787B">
        <w:rPr>
          <w:rFonts w:cs="Arial"/>
          <w:bCs/>
          <w:szCs w:val="20"/>
        </w:rPr>
        <w:t xml:space="preserve">policy </w:t>
      </w:r>
      <w:r w:rsidRPr="00DE5D68">
        <w:rPr>
          <w:rFonts w:cs="Arial"/>
          <w:bCs/>
          <w:szCs w:val="20"/>
        </w:rPr>
        <w:t xml:space="preserve">are set out below. </w:t>
      </w:r>
    </w:p>
    <w:p w:rsidRPr="00DE5D68" w:rsidR="00EA40A7" w:rsidP="00C27D12" w:rsidRDefault="00DE4044" w14:paraId="58A4BE47" w14:textId="741DC8A6">
      <w:pPr>
        <w:keepNext/>
        <w:autoSpaceDE w:val="0"/>
        <w:autoSpaceDN w:val="0"/>
        <w:adjustRightInd w:val="0"/>
        <w:rPr>
          <w:rFonts w:cs="Arial"/>
          <w:b/>
          <w:i/>
          <w:szCs w:val="20"/>
        </w:rPr>
      </w:pPr>
      <w:bookmarkStart w:name="_Hlk189669849" w:id="117"/>
      <w:r w:rsidRPr="00DE5D68">
        <w:rPr>
          <w:rFonts w:cs="Arial"/>
          <w:b/>
          <w:i/>
          <w:szCs w:val="20"/>
        </w:rPr>
        <w:t>Investment Objective</w:t>
      </w:r>
    </w:p>
    <w:p w:rsidRPr="00DE5D68" w:rsidR="00EA40A7" w:rsidP="00654E58" w:rsidRDefault="004E26F5" w14:paraId="43248355" w14:textId="112887BC">
      <w:pPr>
        <w:autoSpaceDE w:val="0"/>
        <w:autoSpaceDN w:val="0"/>
        <w:adjustRightInd w:val="0"/>
        <w:rPr>
          <w:rFonts w:cs="Arial"/>
          <w:highlight w:val="yellow"/>
        </w:rPr>
      </w:pPr>
      <w:r w:rsidRPr="00DE5D68">
        <w:rPr>
          <w:rFonts w:cs="Arial"/>
        </w:rPr>
        <w:t>The Company's investme</w:t>
      </w:r>
      <w:r>
        <w:rPr>
          <w:rFonts w:cs="Arial"/>
        </w:rPr>
        <w:t xml:space="preserve">nt objective is to </w:t>
      </w:r>
      <w:r w:rsidRPr="004E26F5">
        <w:rPr>
          <w:rFonts w:cs="Arial"/>
        </w:rPr>
        <w:t xml:space="preserve">invest in the shares of </w:t>
      </w:r>
      <w:r w:rsidR="00011230">
        <w:rPr>
          <w:rFonts w:cs="Arial"/>
        </w:rPr>
        <w:t>closed-ended investment companies</w:t>
      </w:r>
      <w:r w:rsidR="007711B7">
        <w:rPr>
          <w:rFonts w:cs="Arial"/>
        </w:rPr>
        <w:t>, admitted to trading on a market of the London Stock Exchange,</w:t>
      </w:r>
      <w:r w:rsidRPr="004E26F5">
        <w:rPr>
          <w:rFonts w:cs="Arial"/>
        </w:rPr>
        <w:t xml:space="preserve"> and </w:t>
      </w:r>
      <w:r w:rsidR="00690B51">
        <w:rPr>
          <w:rFonts w:cs="Arial"/>
        </w:rPr>
        <w:t xml:space="preserve">seek to </w:t>
      </w:r>
      <w:r w:rsidRPr="004E26F5">
        <w:rPr>
          <w:rFonts w:cs="Arial"/>
        </w:rPr>
        <w:t xml:space="preserve">maximise </w:t>
      </w:r>
      <w:r w:rsidR="00011230">
        <w:rPr>
          <w:rFonts w:cs="Arial"/>
        </w:rPr>
        <w:t xml:space="preserve">the </w:t>
      </w:r>
      <w:r w:rsidRPr="004E26F5">
        <w:rPr>
          <w:rFonts w:cs="Arial"/>
        </w:rPr>
        <w:t>value</w:t>
      </w:r>
      <w:r w:rsidR="00011230">
        <w:rPr>
          <w:rFonts w:cs="Arial"/>
        </w:rPr>
        <w:t xml:space="preserve"> of such investments</w:t>
      </w:r>
      <w:r w:rsidRPr="004E26F5">
        <w:rPr>
          <w:rFonts w:cs="Arial"/>
        </w:rPr>
        <w:t xml:space="preserve"> for </w:t>
      </w:r>
      <w:r w:rsidR="00373F95">
        <w:rPr>
          <w:rFonts w:cs="Arial"/>
        </w:rPr>
        <w:t>S</w:t>
      </w:r>
      <w:r w:rsidRPr="004E26F5">
        <w:rPr>
          <w:rFonts w:cs="Arial"/>
        </w:rPr>
        <w:t>hareholders</w:t>
      </w:r>
      <w:r>
        <w:rPr>
          <w:rFonts w:cs="Arial"/>
        </w:rPr>
        <w:t>.</w:t>
      </w:r>
    </w:p>
    <w:p w:rsidRPr="00DE5D68" w:rsidR="00347710" w:rsidP="00347710" w:rsidRDefault="00347710" w14:paraId="7A5CBC85" w14:textId="37D5E82A">
      <w:pPr>
        <w:keepNext/>
        <w:autoSpaceDE w:val="0"/>
        <w:autoSpaceDN w:val="0"/>
        <w:adjustRightInd w:val="0"/>
        <w:rPr>
          <w:rFonts w:cs="Arial"/>
          <w:b/>
          <w:i/>
        </w:rPr>
      </w:pPr>
      <w:r w:rsidRPr="00DE5D68">
        <w:rPr>
          <w:rFonts w:cs="Arial"/>
          <w:b/>
          <w:i/>
        </w:rPr>
        <w:t xml:space="preserve">Investment Policy </w:t>
      </w:r>
    </w:p>
    <w:p w:rsidR="00373F95" w:rsidP="00174957" w:rsidRDefault="00525B5A" w14:paraId="3CD8D319" w14:textId="148BF704">
      <w:pPr>
        <w:keepNext/>
        <w:autoSpaceDE w:val="0"/>
        <w:autoSpaceDN w:val="0"/>
        <w:adjustRightInd w:val="0"/>
        <w:rPr>
          <w:rFonts w:cs="Arial"/>
        </w:rPr>
      </w:pPr>
      <w:r w:rsidRPr="00525B5A">
        <w:rPr>
          <w:rFonts w:cs="Arial"/>
        </w:rPr>
        <w:t xml:space="preserve">The Company will achieve the investment objective by </w:t>
      </w:r>
      <w:r w:rsidRPr="004E26F5" w:rsidR="00373F95">
        <w:rPr>
          <w:rFonts w:cs="Arial"/>
        </w:rPr>
        <w:t>invest</w:t>
      </w:r>
      <w:r w:rsidR="00373F95">
        <w:rPr>
          <w:rFonts w:cs="Arial"/>
        </w:rPr>
        <w:t>ing</w:t>
      </w:r>
      <w:r w:rsidRPr="004E26F5" w:rsidR="00373F95">
        <w:rPr>
          <w:rFonts w:cs="Arial"/>
        </w:rPr>
        <w:t xml:space="preserve"> in the shares of </w:t>
      </w:r>
      <w:r w:rsidR="00373F95">
        <w:rPr>
          <w:rFonts w:cs="Arial"/>
        </w:rPr>
        <w:t xml:space="preserve">closed-ended investment companies, admitted to trading on a market of the London Stock Exchange, </w:t>
      </w:r>
      <w:r w:rsidRPr="004E26F5" w:rsidR="00373F95">
        <w:rPr>
          <w:rFonts w:cs="Arial"/>
        </w:rPr>
        <w:t xml:space="preserve">with a focus on alternative assets </w:t>
      </w:r>
      <w:r w:rsidR="00373F95">
        <w:rPr>
          <w:rFonts w:cs="Arial"/>
        </w:rPr>
        <w:t xml:space="preserve">(being assets other than publicly quoted equities) and will seek to maximise returns to Shareholders through the use of </w:t>
      </w:r>
      <w:r w:rsidRPr="00525B5A">
        <w:rPr>
          <w:rFonts w:cs="Arial"/>
        </w:rPr>
        <w:t xml:space="preserve">constructive activism. </w:t>
      </w:r>
    </w:p>
    <w:p w:rsidR="00174957" w:rsidP="00174957" w:rsidRDefault="00525B5A" w14:paraId="23E39794" w14:textId="1CA4F71E">
      <w:pPr>
        <w:keepNext/>
        <w:autoSpaceDE w:val="0"/>
        <w:autoSpaceDN w:val="0"/>
        <w:adjustRightInd w:val="0"/>
        <w:rPr>
          <w:rFonts w:cs="Arial"/>
        </w:rPr>
      </w:pPr>
      <w:r w:rsidRPr="00525B5A">
        <w:rPr>
          <w:rFonts w:cs="Arial"/>
        </w:rPr>
        <w:t xml:space="preserve">The Company expects to hold a concentrated portfolio of investments and the Company will not seek to reduce concentration risk through diversification. The Company will seek to identify underperforming or undervalued assets and unlock value. The Company will take an active role in engaging with the boards </w:t>
      </w:r>
      <w:r w:rsidRPr="00525B5A">
        <w:rPr>
          <w:rFonts w:cs="Arial"/>
        </w:rPr>
        <w:lastRenderedPageBreak/>
        <w:t xml:space="preserve">and the investment managers of </w:t>
      </w:r>
      <w:r w:rsidR="00373F95">
        <w:rPr>
          <w:rFonts w:cs="Arial"/>
        </w:rPr>
        <w:t xml:space="preserve">investment </w:t>
      </w:r>
      <w:r w:rsidRPr="00525B5A">
        <w:rPr>
          <w:rFonts w:cs="Arial"/>
        </w:rPr>
        <w:t>companies within its portfolio. This may include advocating selling the entire company</w:t>
      </w:r>
      <w:r w:rsidR="00F0253E">
        <w:rPr>
          <w:rFonts w:cs="Arial"/>
        </w:rPr>
        <w:t xml:space="preserve"> or any or all of its </w:t>
      </w:r>
      <w:r w:rsidRPr="00525B5A">
        <w:rPr>
          <w:rFonts w:cs="Arial"/>
        </w:rPr>
        <w:t>assets, changes in strategy or restructuring</w:t>
      </w:r>
      <w:r w:rsidR="00174957">
        <w:rPr>
          <w:rFonts w:cs="Arial"/>
        </w:rPr>
        <w:t>.</w:t>
      </w:r>
    </w:p>
    <w:p w:rsidR="00174957" w:rsidP="00174957" w:rsidRDefault="00525B5A" w14:paraId="6D3AC0CF" w14:textId="39A6C439">
      <w:pPr>
        <w:keepNext/>
        <w:autoSpaceDE w:val="0"/>
        <w:autoSpaceDN w:val="0"/>
        <w:adjustRightInd w:val="0"/>
        <w:rPr>
          <w:rFonts w:cstheme="minorHAnsi"/>
        </w:rPr>
      </w:pPr>
      <w:r w:rsidRPr="00E16C15">
        <w:rPr>
          <w:rFonts w:cstheme="minorHAnsi"/>
        </w:rPr>
        <w:t>Investments are expected to be mainly in the form of equity</w:t>
      </w:r>
      <w:r w:rsidRPr="00BF3E6C">
        <w:rPr>
          <w:rFonts w:cstheme="minorHAnsi"/>
        </w:rPr>
        <w:t xml:space="preserve"> </w:t>
      </w:r>
      <w:r>
        <w:rPr>
          <w:rFonts w:cstheme="minorHAnsi"/>
        </w:rPr>
        <w:t xml:space="preserve">and </w:t>
      </w:r>
      <w:r w:rsidRPr="00E16C15">
        <w:rPr>
          <w:rFonts w:cstheme="minorHAnsi"/>
        </w:rPr>
        <w:t>equity-related instruments</w:t>
      </w:r>
      <w:r>
        <w:rPr>
          <w:rFonts w:cstheme="minorHAnsi"/>
        </w:rPr>
        <w:t xml:space="preserve"> such as contracts for difference. T</w:t>
      </w:r>
      <w:r w:rsidRPr="00E16C15">
        <w:rPr>
          <w:rFonts w:cstheme="minorHAnsi"/>
        </w:rPr>
        <w:t xml:space="preserve">he equity interest in any investment may range from a minority position </w:t>
      </w:r>
      <w:r>
        <w:rPr>
          <w:rFonts w:cstheme="minorHAnsi"/>
        </w:rPr>
        <w:t xml:space="preserve">up </w:t>
      </w:r>
      <w:r w:rsidRPr="00E16C15">
        <w:rPr>
          <w:rFonts w:cstheme="minorHAnsi"/>
        </w:rPr>
        <w:t xml:space="preserve">to </w:t>
      </w:r>
      <w:r>
        <w:rPr>
          <w:rFonts w:cstheme="minorHAnsi"/>
        </w:rPr>
        <w:t>29.99</w:t>
      </w:r>
      <w:r w:rsidRPr="00E16C15">
        <w:rPr>
          <w:rFonts w:cstheme="minorHAnsi"/>
        </w:rPr>
        <w:t xml:space="preserve"> per cent. ownership.</w:t>
      </w:r>
    </w:p>
    <w:p w:rsidRPr="00D16ED7" w:rsidR="00525B5A" w:rsidP="00D16ED7" w:rsidRDefault="00525B5A" w14:paraId="7E49FC57" w14:textId="023654E2">
      <w:pPr>
        <w:spacing w:after="0"/>
        <w:rPr>
          <w:rFonts w:cstheme="minorHAnsi"/>
        </w:rPr>
      </w:pPr>
      <w:r>
        <w:rPr>
          <w:rFonts w:cstheme="minorHAnsi"/>
        </w:rPr>
        <w:t>W</w:t>
      </w:r>
      <w:r w:rsidRPr="00E16C15">
        <w:rPr>
          <w:rFonts w:cstheme="minorHAnsi"/>
        </w:rPr>
        <w:t>here appropriate</w:t>
      </w:r>
      <w:r>
        <w:rPr>
          <w:rFonts w:cstheme="minorHAnsi"/>
        </w:rPr>
        <w:t xml:space="preserve">, the Investment Manager </w:t>
      </w:r>
      <w:r w:rsidRPr="00E16C15">
        <w:rPr>
          <w:rFonts w:cstheme="minorHAnsi"/>
        </w:rPr>
        <w:t xml:space="preserve">may seek a position on </w:t>
      </w:r>
      <w:r w:rsidR="00D013EE">
        <w:rPr>
          <w:rFonts w:cstheme="minorHAnsi"/>
        </w:rPr>
        <w:t xml:space="preserve">an </w:t>
      </w:r>
      <w:r>
        <w:rPr>
          <w:rFonts w:cstheme="minorHAnsi"/>
        </w:rPr>
        <w:t>i</w:t>
      </w:r>
      <w:r w:rsidRPr="00E16C15">
        <w:rPr>
          <w:rFonts w:cstheme="minorHAnsi"/>
        </w:rPr>
        <w:t xml:space="preserve">nvestee </w:t>
      </w:r>
      <w:r>
        <w:rPr>
          <w:rFonts w:cstheme="minorHAnsi"/>
        </w:rPr>
        <w:t>c</w:t>
      </w:r>
      <w:r w:rsidRPr="00E16C15">
        <w:rPr>
          <w:rFonts w:cstheme="minorHAnsi"/>
        </w:rPr>
        <w:t>ompan</w:t>
      </w:r>
      <w:r w:rsidR="00D013EE">
        <w:rPr>
          <w:rFonts w:cstheme="minorHAnsi"/>
        </w:rPr>
        <w:t>y</w:t>
      </w:r>
      <w:r w:rsidRPr="00E16C15">
        <w:rPr>
          <w:rFonts w:cstheme="minorHAnsi"/>
        </w:rPr>
        <w:t>’</w:t>
      </w:r>
      <w:r w:rsidR="00D013EE">
        <w:rPr>
          <w:rFonts w:cstheme="minorHAnsi"/>
        </w:rPr>
        <w:t>s</w:t>
      </w:r>
      <w:r w:rsidRPr="00E16C15">
        <w:rPr>
          <w:rFonts w:cstheme="minorHAnsi"/>
        </w:rPr>
        <w:t xml:space="preserve"> board. </w:t>
      </w:r>
    </w:p>
    <w:p w:rsidRPr="00972C7C" w:rsidR="00AD156B" w:rsidP="00AD156B" w:rsidRDefault="00AD156B" w14:paraId="348FEE25" w14:textId="35A77A1F">
      <w:pPr>
        <w:keepNext/>
        <w:autoSpaceDE w:val="0"/>
        <w:autoSpaceDN w:val="0"/>
        <w:adjustRightInd w:val="0"/>
        <w:rPr>
          <w:rFonts w:cs="Arial"/>
        </w:rPr>
      </w:pPr>
      <w:r w:rsidRPr="00AD156B">
        <w:rPr>
          <w:rFonts w:cs="Arial"/>
        </w:rPr>
        <w:t>Th</w:t>
      </w:r>
      <w:r>
        <w:rPr>
          <w:rFonts w:cs="Arial"/>
        </w:rPr>
        <w:t>e Company may hold cash in its p</w:t>
      </w:r>
      <w:r w:rsidRPr="00AD156B">
        <w:rPr>
          <w:rFonts w:cs="Arial"/>
        </w:rPr>
        <w:t>ortfolio from time to time to maintai</w:t>
      </w:r>
      <w:r>
        <w:rPr>
          <w:rFonts w:cs="Arial"/>
        </w:rPr>
        <w:t xml:space="preserve">n investment flexibility. There </w:t>
      </w:r>
      <w:r w:rsidRPr="00AD156B">
        <w:rPr>
          <w:rFonts w:cs="Arial"/>
        </w:rPr>
        <w:t>is no limit on the amount of cash which may be held by the Company from time to time.</w:t>
      </w:r>
    </w:p>
    <w:p w:rsidRPr="00972C7C" w:rsidR="00174957" w:rsidP="00174957" w:rsidRDefault="00174957" w14:paraId="0203C04F" w14:textId="79D01E93">
      <w:pPr>
        <w:keepNext/>
        <w:autoSpaceDE w:val="0"/>
        <w:autoSpaceDN w:val="0"/>
        <w:adjustRightInd w:val="0"/>
        <w:rPr>
          <w:rFonts w:cs="Arial"/>
          <w:i/>
          <w:iCs/>
        </w:rPr>
      </w:pPr>
      <w:r w:rsidRPr="00972C7C">
        <w:rPr>
          <w:rFonts w:cs="Arial"/>
          <w:i/>
          <w:iCs/>
        </w:rPr>
        <w:t>Investment restrictions</w:t>
      </w:r>
    </w:p>
    <w:p w:rsidRPr="00D013EE" w:rsidR="00D013EE" w:rsidP="00D013EE" w:rsidRDefault="00D013EE" w14:paraId="726F8C54" w14:textId="38C8A2F8">
      <w:pPr>
        <w:spacing w:after="0"/>
        <w:rPr>
          <w:rFonts w:cstheme="minorHAnsi"/>
        </w:rPr>
      </w:pPr>
      <w:r w:rsidRPr="00D013EE">
        <w:rPr>
          <w:rFonts w:cstheme="minorHAnsi"/>
        </w:rPr>
        <w:t>The Company will observe the following investment restrictions</w:t>
      </w:r>
      <w:r w:rsidR="00AF01B0">
        <w:rPr>
          <w:rFonts w:cstheme="minorHAnsi"/>
        </w:rPr>
        <w:t>:</w:t>
      </w:r>
    </w:p>
    <w:p w:rsidRPr="00D013EE" w:rsidR="00D013EE" w:rsidP="00D013EE" w:rsidRDefault="00D013EE" w14:paraId="3C67568C" w14:textId="77777777">
      <w:pPr>
        <w:spacing w:after="0"/>
        <w:rPr>
          <w:rFonts w:cstheme="minorHAnsi"/>
        </w:rPr>
      </w:pPr>
    </w:p>
    <w:p w:rsidR="00D013EE" w:rsidP="00565AD4" w:rsidRDefault="00D013EE" w14:paraId="1F96574C" w14:textId="6DB70C58">
      <w:pPr>
        <w:pStyle w:val="ListParagraph"/>
        <w:numPr>
          <w:ilvl w:val="0"/>
          <w:numId w:val="56"/>
        </w:numPr>
        <w:spacing w:after="0" w:line="259" w:lineRule="auto"/>
        <w:contextualSpacing/>
        <w:rPr>
          <w:rFonts w:cstheme="minorHAnsi"/>
          <w:b w:val="0"/>
        </w:rPr>
      </w:pPr>
      <w:r w:rsidRPr="00D013EE">
        <w:rPr>
          <w:rFonts w:cstheme="minorHAnsi"/>
          <w:b w:val="0"/>
        </w:rPr>
        <w:t xml:space="preserve">there will be no cross-financing between the companies forming part of the portfolio and no operation of a common treasury function between the Company and any of its investee companies; </w:t>
      </w:r>
    </w:p>
    <w:p w:rsidR="00127EE6" w:rsidP="00565AD4" w:rsidRDefault="00D013EE" w14:paraId="1B130848" w14:textId="77777777">
      <w:pPr>
        <w:pStyle w:val="ListParagraph"/>
        <w:numPr>
          <w:ilvl w:val="0"/>
          <w:numId w:val="56"/>
        </w:numPr>
        <w:spacing w:after="0" w:line="259" w:lineRule="auto"/>
        <w:contextualSpacing/>
        <w:rPr>
          <w:rFonts w:cstheme="minorHAnsi"/>
          <w:b w:val="0"/>
        </w:rPr>
      </w:pPr>
      <w:r>
        <w:rPr>
          <w:rFonts w:cstheme="minorHAnsi"/>
          <w:b w:val="0"/>
        </w:rPr>
        <w:t xml:space="preserve">the Company </w:t>
      </w:r>
      <w:r w:rsidRPr="00D013EE">
        <w:rPr>
          <w:rFonts w:cstheme="minorHAnsi"/>
          <w:b w:val="0"/>
        </w:rPr>
        <w:t xml:space="preserve">will not hold more than </w:t>
      </w:r>
      <w:r>
        <w:rPr>
          <w:rFonts w:cstheme="minorHAnsi"/>
          <w:b w:val="0"/>
        </w:rPr>
        <w:t>29.99</w:t>
      </w:r>
      <w:r w:rsidRPr="00D013EE">
        <w:rPr>
          <w:rFonts w:cstheme="minorHAnsi"/>
          <w:b w:val="0"/>
        </w:rPr>
        <w:t xml:space="preserve"> per cent. of the </w:t>
      </w:r>
      <w:r>
        <w:rPr>
          <w:rFonts w:cstheme="minorHAnsi"/>
          <w:b w:val="0"/>
        </w:rPr>
        <w:t>voting rights</w:t>
      </w:r>
      <w:r w:rsidRPr="00D013EE">
        <w:rPr>
          <w:rFonts w:cstheme="minorHAnsi"/>
          <w:b w:val="0"/>
        </w:rPr>
        <w:t xml:space="preserve"> of an </w:t>
      </w:r>
      <w:r>
        <w:rPr>
          <w:rFonts w:cstheme="minorHAnsi"/>
          <w:b w:val="0"/>
        </w:rPr>
        <w:t>i</w:t>
      </w:r>
      <w:r w:rsidRPr="00D013EE">
        <w:rPr>
          <w:rFonts w:cstheme="minorHAnsi"/>
          <w:b w:val="0"/>
        </w:rPr>
        <w:t xml:space="preserve">nvestee </w:t>
      </w:r>
      <w:r>
        <w:rPr>
          <w:rFonts w:cstheme="minorHAnsi"/>
          <w:b w:val="0"/>
        </w:rPr>
        <w:t>c</w:t>
      </w:r>
      <w:r w:rsidRPr="00D013EE">
        <w:rPr>
          <w:rFonts w:cstheme="minorHAnsi"/>
          <w:b w:val="0"/>
        </w:rPr>
        <w:t>ompany; and</w:t>
      </w:r>
    </w:p>
    <w:p w:rsidRPr="00F75E06" w:rsidR="006522BA" w:rsidP="00127EE6" w:rsidRDefault="00AF01B0" w14:paraId="38750ED0" w14:textId="16CE9D61">
      <w:pPr>
        <w:pStyle w:val="ListParagraph"/>
        <w:numPr>
          <w:ilvl w:val="0"/>
          <w:numId w:val="56"/>
        </w:numPr>
        <w:spacing w:after="0" w:line="259" w:lineRule="auto"/>
        <w:contextualSpacing/>
        <w:rPr>
          <w:rFonts w:cstheme="minorHAnsi"/>
          <w:b w:val="0"/>
          <w:bCs/>
        </w:rPr>
      </w:pPr>
      <w:r>
        <w:rPr>
          <w:rFonts w:cstheme="minorHAnsi"/>
          <w:b w:val="0"/>
          <w:bCs/>
        </w:rPr>
        <w:t xml:space="preserve">the Company </w:t>
      </w:r>
      <w:r w:rsidRPr="00F75E06" w:rsidR="00D013EE">
        <w:rPr>
          <w:rFonts w:cstheme="minorHAnsi"/>
          <w:b w:val="0"/>
          <w:bCs/>
        </w:rPr>
        <w:t xml:space="preserve">will not invest in </w:t>
      </w:r>
      <w:r w:rsidRPr="00F75E06" w:rsidR="00373F95">
        <w:rPr>
          <w:rFonts w:cstheme="minorHAnsi"/>
          <w:b w:val="0"/>
          <w:bCs/>
        </w:rPr>
        <w:t>unquoted</w:t>
      </w:r>
      <w:r w:rsidRPr="00F75E06" w:rsidR="00D013EE">
        <w:rPr>
          <w:rFonts w:cstheme="minorHAnsi"/>
          <w:b w:val="0"/>
          <w:bCs/>
        </w:rPr>
        <w:t xml:space="preserve"> companies, however, in order to ensure the maximum realisation of shareholder value, the</w:t>
      </w:r>
      <w:r w:rsidRPr="00F75E06" w:rsidR="00373F95">
        <w:rPr>
          <w:rFonts w:cstheme="minorHAnsi"/>
          <w:b w:val="0"/>
          <w:bCs/>
        </w:rPr>
        <w:t xml:space="preserve"> </w:t>
      </w:r>
      <w:r w:rsidRPr="00F75E06" w:rsidR="00286E93">
        <w:rPr>
          <w:rFonts w:cstheme="minorHAnsi"/>
          <w:b w:val="0"/>
          <w:bCs/>
        </w:rPr>
        <w:t xml:space="preserve">Company will be permitted to remain invested in an investee company that delists, or its acquiring entity, following </w:t>
      </w:r>
      <w:r w:rsidRPr="00F75E06" w:rsidR="00D013EE">
        <w:rPr>
          <w:rFonts w:cstheme="minorHAnsi"/>
          <w:b w:val="0"/>
          <w:bCs/>
        </w:rPr>
        <w:t>a public-to-private transaction.</w:t>
      </w:r>
    </w:p>
    <w:p w:rsidRPr="00F75E06" w:rsidR="00D013EE" w:rsidP="006522BA" w:rsidRDefault="00D013EE" w14:paraId="627C1748" w14:textId="77777777">
      <w:pPr>
        <w:pStyle w:val="ListParagraph"/>
        <w:numPr>
          <w:ilvl w:val="0"/>
          <w:numId w:val="0"/>
        </w:numPr>
        <w:spacing w:after="0" w:line="259" w:lineRule="auto"/>
        <w:ind w:left="360"/>
        <w:contextualSpacing/>
        <w:rPr>
          <w:b w:val="0"/>
          <w:bCs/>
        </w:rPr>
      </w:pPr>
    </w:p>
    <w:p w:rsidRPr="00AD156B" w:rsidR="00AD156B" w:rsidP="00AD156B" w:rsidRDefault="00D013EE" w14:paraId="2ACDEB49" w14:textId="11C2A784">
      <w:pPr>
        <w:keepNext/>
        <w:autoSpaceDE w:val="0"/>
        <w:autoSpaceDN w:val="0"/>
        <w:adjustRightInd w:val="0"/>
        <w:rPr>
          <w:bCs/>
        </w:rPr>
      </w:pPr>
      <w:r w:rsidRPr="00E16C15">
        <w:rPr>
          <w:rFonts w:cstheme="minorHAnsi"/>
        </w:rPr>
        <w:t xml:space="preserve">Each of the restrictions above will be calculated at the time of investment. </w:t>
      </w:r>
      <w:r w:rsidR="00AD156B">
        <w:t>The Company will not be required to dispose of any asset or to rebalance its portfolio as a result of a change in the resp</w:t>
      </w:r>
      <w:r w:rsidR="0011469B">
        <w:t xml:space="preserve">ective valuations of its assets </w:t>
      </w:r>
      <w:r w:rsidRPr="0011469B" w:rsidR="0011469B">
        <w:t>or as a result of any portfolio holding ceasing to be admitted to trading on a market of the London Stock Exchange.</w:t>
      </w:r>
      <w:r w:rsidRPr="00796434" w:rsidR="00796434">
        <w:rPr>
          <w:rFonts w:cs="Arial"/>
          <w:b/>
          <w:noProof/>
        </w:rPr>
        <w:t xml:space="preserve"> </w:t>
      </w:r>
    </w:p>
    <w:p w:rsidRPr="00DE5D68" w:rsidR="00347710" w:rsidP="00347710" w:rsidRDefault="004E26F5" w14:paraId="6CE02FBC" w14:textId="7504CDCD">
      <w:pPr>
        <w:keepNext/>
        <w:autoSpaceDE w:val="0"/>
        <w:autoSpaceDN w:val="0"/>
        <w:adjustRightInd w:val="0"/>
        <w:rPr>
          <w:rFonts w:cs="Arial"/>
          <w:i/>
        </w:rPr>
      </w:pPr>
      <w:bookmarkStart w:name="_Hlk189669913" w:id="118"/>
      <w:bookmarkEnd w:id="117"/>
      <w:r>
        <w:rPr>
          <w:rFonts w:cs="Arial"/>
          <w:i/>
        </w:rPr>
        <w:t>Gearing</w:t>
      </w:r>
      <w:r w:rsidRPr="00DE5D68" w:rsidR="00347710">
        <w:rPr>
          <w:rFonts w:cs="Arial"/>
          <w:i/>
        </w:rPr>
        <w:t xml:space="preserve"> Policy </w:t>
      </w:r>
    </w:p>
    <w:p w:rsidRPr="00084701" w:rsidR="00084701" w:rsidP="00084701" w:rsidRDefault="00084701" w14:paraId="074A1C59" w14:textId="77777777">
      <w:pPr>
        <w:autoSpaceDE w:val="0"/>
        <w:autoSpaceDN w:val="0"/>
        <w:adjustRightInd w:val="0"/>
        <w:rPr>
          <w:rFonts w:cs="Arial"/>
          <w:iCs/>
        </w:rPr>
      </w:pPr>
      <w:r w:rsidRPr="00084701">
        <w:rPr>
          <w:rFonts w:cs="Arial"/>
          <w:iCs/>
        </w:rPr>
        <w:t xml:space="preserve">The Company does not intend to incur borrowings for investment purposes, although the Company may, from time to time, utilise borrowings over the short term for working capital purposes up to 10 per cent. of Net Asset Value at the time of borrowing. </w:t>
      </w:r>
    </w:p>
    <w:p w:rsidRPr="00084701" w:rsidR="00084701" w:rsidP="00084701" w:rsidRDefault="00084701" w14:paraId="577A14D7" w14:textId="412E3A74">
      <w:pPr>
        <w:autoSpaceDE w:val="0"/>
        <w:autoSpaceDN w:val="0"/>
        <w:adjustRightInd w:val="0"/>
        <w:rPr>
          <w:rFonts w:cs="Arial"/>
          <w:iCs/>
        </w:rPr>
      </w:pPr>
      <w:r w:rsidRPr="00084701">
        <w:rPr>
          <w:rFonts w:cs="Arial"/>
          <w:iCs/>
        </w:rPr>
        <w:t>The Company may invest in portfolio companies which themselves employ gearing or incur leverage.</w:t>
      </w:r>
    </w:p>
    <w:p w:rsidRPr="004E26F5" w:rsidR="004E26F5" w:rsidP="004E26F5" w:rsidRDefault="004E26F5" w14:paraId="6E027C58" w14:textId="41CC58DE">
      <w:pPr>
        <w:autoSpaceDE w:val="0"/>
        <w:autoSpaceDN w:val="0"/>
        <w:adjustRightInd w:val="0"/>
        <w:rPr>
          <w:rFonts w:cs="Arial"/>
          <w:i/>
        </w:rPr>
      </w:pPr>
      <w:r w:rsidRPr="004E26F5">
        <w:rPr>
          <w:rFonts w:cs="Arial"/>
          <w:i/>
        </w:rPr>
        <w:t>Hedging and derivatives</w:t>
      </w:r>
    </w:p>
    <w:p w:rsidRPr="004E26F5" w:rsidR="004E26F5" w:rsidP="004E26F5" w:rsidRDefault="004E26F5" w14:paraId="49C9B175" w14:textId="1D8712D6">
      <w:pPr>
        <w:autoSpaceDE w:val="0"/>
        <w:autoSpaceDN w:val="0"/>
        <w:adjustRightInd w:val="0"/>
        <w:rPr>
          <w:rFonts w:cs="Arial"/>
        </w:rPr>
      </w:pPr>
      <w:r w:rsidRPr="004E26F5">
        <w:rPr>
          <w:rFonts w:cs="Arial"/>
        </w:rPr>
        <w:t>The Company may enter into hedging contracts and other derivative contracts for the purposes of efficient portfolio management. No hedging transactions will be undertaken for speculative p</w:t>
      </w:r>
      <w:r w:rsidR="007F6CFA">
        <w:rPr>
          <w:rFonts w:cs="Arial"/>
        </w:rPr>
        <w:t>urposes.</w:t>
      </w:r>
    </w:p>
    <w:p w:rsidRPr="00DE5D68" w:rsidR="00347710" w:rsidP="00347710" w:rsidRDefault="00347710" w14:paraId="258B80DE" w14:textId="5A71EF48">
      <w:pPr>
        <w:rPr>
          <w:rFonts w:cs="Arial"/>
          <w:i/>
          <w:szCs w:val="20"/>
        </w:rPr>
      </w:pPr>
      <w:r w:rsidRPr="00DE5D68">
        <w:rPr>
          <w:rFonts w:cs="Arial"/>
          <w:i/>
          <w:szCs w:val="20"/>
        </w:rPr>
        <w:t>Cash management</w:t>
      </w:r>
    </w:p>
    <w:p w:rsidRPr="00DE5D68" w:rsidR="00347710" w:rsidP="00347710" w:rsidRDefault="004E26F5" w14:paraId="73DB841C" w14:textId="24AEE6E3">
      <w:pPr>
        <w:rPr>
          <w:rFonts w:cs="Arial"/>
          <w:szCs w:val="20"/>
        </w:rPr>
      </w:pPr>
      <w:r w:rsidRPr="004E26F5">
        <w:rPr>
          <w:rFonts w:cs="Arial"/>
          <w:szCs w:val="20"/>
        </w:rPr>
        <w:t>The Company may hold cash on deposit for working capital purposes and while awaiting investment and, as well as cash deposits, may invest in cash equivalent investments, which may include government issued treasury bills, money market collective investment schemes, other money market instruments and short-term investments in money market type funds (“</w:t>
      </w:r>
      <w:r w:rsidRPr="004E26F5">
        <w:rPr>
          <w:rFonts w:cs="Arial"/>
          <w:b/>
          <w:szCs w:val="20"/>
        </w:rPr>
        <w:t>Cash and Cash Equivalents</w:t>
      </w:r>
      <w:r w:rsidRPr="004E26F5">
        <w:rPr>
          <w:rFonts w:cs="Arial"/>
          <w:szCs w:val="20"/>
        </w:rPr>
        <w:t>”). There is no restriction on the amount of Cash and Cash Equivalents that the Company may hold and there may be times when it is appropriate for the Company to have a signiﬁcant Cash and Cash Equivalents position.</w:t>
      </w:r>
    </w:p>
    <w:bookmarkEnd w:id="118"/>
    <w:p w:rsidRPr="004E26F5" w:rsidR="004E26F5" w:rsidP="004E26F5" w:rsidRDefault="004E26F5" w14:paraId="7612827E" w14:textId="545829CE">
      <w:pPr>
        <w:autoSpaceDE w:val="0"/>
        <w:autoSpaceDN w:val="0"/>
        <w:adjustRightInd w:val="0"/>
        <w:rPr>
          <w:rFonts w:cs="Arial"/>
          <w:b/>
          <w:i/>
          <w:szCs w:val="20"/>
        </w:rPr>
      </w:pPr>
      <w:r w:rsidRPr="004E26F5">
        <w:rPr>
          <w:rFonts w:cs="Arial"/>
          <w:b/>
          <w:i/>
          <w:szCs w:val="20"/>
        </w:rPr>
        <w:t>Changes to and compliance with the investment policy</w:t>
      </w:r>
    </w:p>
    <w:p w:rsidRPr="004E26F5" w:rsidR="004E26F5" w:rsidP="004E26F5" w:rsidRDefault="004E26F5" w14:paraId="3F25232B" w14:textId="7FA8F730">
      <w:pPr>
        <w:pStyle w:val="2style"/>
        <w:jc w:val="both"/>
        <w:rPr>
          <w:szCs w:val="20"/>
        </w:rPr>
      </w:pPr>
      <w:r w:rsidRPr="004E26F5">
        <w:rPr>
          <w:szCs w:val="20"/>
        </w:rPr>
        <w:t xml:space="preserve">Any material change to the Company’s investment policy will require the approval of Shareholders by way of an ordinary resolution at a general meeting.  </w:t>
      </w:r>
    </w:p>
    <w:p w:rsidRPr="004E26F5" w:rsidR="00347710" w:rsidP="004E26F5" w:rsidRDefault="004E26F5" w14:paraId="4768209B" w14:textId="3D56DD1E">
      <w:pPr>
        <w:pStyle w:val="2style"/>
        <w:jc w:val="both"/>
        <w:rPr>
          <w:szCs w:val="20"/>
        </w:rPr>
      </w:pPr>
      <w:r w:rsidRPr="004E26F5">
        <w:rPr>
          <w:szCs w:val="20"/>
        </w:rPr>
        <w:t xml:space="preserve">In the event of a breach of the investment guidelines and/or the investment restrictions set out above, the Investment </w:t>
      </w:r>
      <w:r w:rsidRPr="004E26F5">
        <w:rPr>
          <w:rFonts w:cs="Times New Roman"/>
          <w:szCs w:val="20"/>
        </w:rPr>
        <w:t>Manager</w:t>
      </w:r>
      <w:r w:rsidRPr="004E26F5">
        <w:rPr>
          <w:szCs w:val="20"/>
        </w:rPr>
        <w:t xml:space="preserve"> shall inform the Board as soon as practicable upon becoming aware of that breach. If the Board considers the breach to be material, notification will be made through an announcement via a Regulatory Information Service. </w:t>
      </w:r>
    </w:p>
    <w:p w:rsidR="0022222D" w:rsidP="00C27D12" w:rsidRDefault="00D013EE" w14:paraId="53251C85" w14:textId="3E49566A">
      <w:pPr>
        <w:pStyle w:val="Heading1"/>
        <w:rPr>
          <w:rFonts w:cs="Arial"/>
          <w:caps w:val="0"/>
        </w:rPr>
      </w:pPr>
      <w:r>
        <w:rPr>
          <w:rFonts w:cs="Arial"/>
          <w:caps w:val="0"/>
        </w:rPr>
        <w:lastRenderedPageBreak/>
        <w:t>MARKET OPPORTUNITY</w:t>
      </w:r>
    </w:p>
    <w:p w:rsidRPr="00684E36" w:rsidR="00D013EE" w:rsidP="00D013EE" w:rsidRDefault="00D013EE" w14:paraId="4C455059" w14:textId="77777777">
      <w:r w:rsidRPr="00684E36">
        <w:t>The alternative asset investment sector is at a pivotal juncture, presenting a unique and compelling market opportunity for astute investors. Several key dynamics are reshaping the landscape:</w:t>
      </w:r>
    </w:p>
    <w:p w:rsidR="00D013EE" w:rsidP="00F32BF2" w:rsidRDefault="00D013EE" w14:paraId="1A284498" w14:textId="0661086E">
      <w:pPr>
        <w:keepNext/>
        <w:spacing w:after="0"/>
        <w:rPr>
          <w:b/>
          <w:bCs/>
        </w:rPr>
      </w:pPr>
      <w:r w:rsidRPr="00684E36">
        <w:rPr>
          <w:b/>
          <w:bCs/>
        </w:rPr>
        <w:t xml:space="preserve">Significant </w:t>
      </w:r>
      <w:r w:rsidR="005F1497">
        <w:rPr>
          <w:b/>
          <w:bCs/>
        </w:rPr>
        <w:t>d</w:t>
      </w:r>
      <w:r w:rsidRPr="00684E36">
        <w:rPr>
          <w:b/>
          <w:bCs/>
        </w:rPr>
        <w:t>e-</w:t>
      </w:r>
      <w:r w:rsidR="005F1497">
        <w:rPr>
          <w:b/>
          <w:bCs/>
        </w:rPr>
        <w:t>r</w:t>
      </w:r>
      <w:r w:rsidRPr="00684E36">
        <w:rPr>
          <w:b/>
          <w:bCs/>
        </w:rPr>
        <w:t xml:space="preserve">ating of </w:t>
      </w:r>
      <w:r w:rsidR="005F1497">
        <w:rPr>
          <w:b/>
          <w:bCs/>
        </w:rPr>
        <w:t>a</w:t>
      </w:r>
      <w:r w:rsidRPr="00684E36">
        <w:rPr>
          <w:b/>
          <w:bCs/>
        </w:rPr>
        <w:t xml:space="preserve">lternative </w:t>
      </w:r>
      <w:r w:rsidR="005F1497">
        <w:rPr>
          <w:b/>
          <w:bCs/>
        </w:rPr>
        <w:t>a</w:t>
      </w:r>
      <w:r w:rsidRPr="00684E36">
        <w:rPr>
          <w:b/>
          <w:bCs/>
        </w:rPr>
        <w:t xml:space="preserve">sset </w:t>
      </w:r>
      <w:r w:rsidR="005F1497">
        <w:rPr>
          <w:b/>
          <w:bCs/>
        </w:rPr>
        <w:t>i</w:t>
      </w:r>
      <w:r w:rsidRPr="00684E36">
        <w:rPr>
          <w:b/>
          <w:bCs/>
        </w:rPr>
        <w:t xml:space="preserve">nvestment </w:t>
      </w:r>
      <w:r w:rsidR="005F1497">
        <w:rPr>
          <w:b/>
          <w:bCs/>
        </w:rPr>
        <w:t>c</w:t>
      </w:r>
      <w:r w:rsidRPr="00684E36">
        <w:rPr>
          <w:b/>
          <w:bCs/>
        </w:rPr>
        <w:t>ompanies</w:t>
      </w:r>
    </w:p>
    <w:p w:rsidR="00D013EE" w:rsidP="00F32BF2" w:rsidRDefault="00D013EE" w14:paraId="06A8B1DB" w14:textId="77777777">
      <w:pPr>
        <w:keepNext/>
        <w:spacing w:after="0"/>
        <w:rPr>
          <w:b/>
          <w:bCs/>
        </w:rPr>
      </w:pPr>
    </w:p>
    <w:p w:rsidRPr="00684E36" w:rsidR="00D013EE" w:rsidP="00F32BF2" w:rsidRDefault="00D013EE" w14:paraId="15DC4207" w14:textId="6590C895">
      <w:pPr>
        <w:keepNext/>
        <w:spacing w:after="0"/>
      </w:pPr>
      <w:bookmarkStart w:name="_Hlk190161474" w:id="119"/>
      <w:r w:rsidRPr="00684E36">
        <w:t>The sector has experienced a substantial de-rating, with average discounts to net asset value (NAV) reaching approximately 30</w:t>
      </w:r>
      <w:r>
        <w:t xml:space="preserve"> per cent.</w:t>
      </w:r>
      <w:r w:rsidRPr="00684E36">
        <w:t xml:space="preserve"> </w:t>
      </w:r>
      <w:bookmarkEnd w:id="119"/>
      <w:r w:rsidRPr="00684E36">
        <w:t xml:space="preserve">This has led to a </w:t>
      </w:r>
      <w:r w:rsidR="00855666">
        <w:t>c.</w:t>
      </w:r>
      <w:r w:rsidRPr="00684E36">
        <w:t>£</w:t>
      </w:r>
      <w:r w:rsidR="00855666">
        <w:t>39</w:t>
      </w:r>
      <w:r w:rsidRPr="00684E36">
        <w:t xml:space="preserve"> billion value gap between market capitali</w:t>
      </w:r>
      <w:r>
        <w:t>s</w:t>
      </w:r>
      <w:r w:rsidRPr="00684E36">
        <w:t>ations and the underlying asset values of these companies. This disparity underscores a potential for value reali</w:t>
      </w:r>
      <w:r>
        <w:t>s</w:t>
      </w:r>
      <w:r w:rsidRPr="00684E36">
        <w:t>ation through targeted strategies.</w:t>
      </w:r>
    </w:p>
    <w:p w:rsidR="00D013EE" w:rsidP="00D013EE" w:rsidRDefault="00D013EE" w14:paraId="3DDDD2F8" w14:textId="77777777">
      <w:pPr>
        <w:spacing w:after="0"/>
        <w:rPr>
          <w:b/>
          <w:bCs/>
        </w:rPr>
      </w:pPr>
    </w:p>
    <w:p w:rsidR="00D013EE" w:rsidP="00D013EE" w:rsidRDefault="00D013EE" w14:paraId="01F3586D" w14:textId="47128723">
      <w:pPr>
        <w:spacing w:after="0"/>
        <w:rPr>
          <w:b/>
          <w:bCs/>
        </w:rPr>
      </w:pPr>
      <w:r w:rsidRPr="00684E36">
        <w:rPr>
          <w:b/>
          <w:bCs/>
        </w:rPr>
        <w:t xml:space="preserve">Challenges in </w:t>
      </w:r>
      <w:r w:rsidR="005F1497">
        <w:rPr>
          <w:b/>
          <w:bCs/>
        </w:rPr>
        <w:t>"l</w:t>
      </w:r>
      <w:r w:rsidRPr="00684E36">
        <w:rPr>
          <w:b/>
          <w:bCs/>
        </w:rPr>
        <w:t>ow-</w:t>
      </w:r>
      <w:r w:rsidR="005F1497">
        <w:rPr>
          <w:b/>
          <w:bCs/>
        </w:rPr>
        <w:t>r</w:t>
      </w:r>
      <w:r w:rsidRPr="00684E36">
        <w:rPr>
          <w:b/>
          <w:bCs/>
        </w:rPr>
        <w:t>isk</w:t>
      </w:r>
      <w:r w:rsidR="005F1497">
        <w:rPr>
          <w:b/>
          <w:bCs/>
        </w:rPr>
        <w:t>" p</w:t>
      </w:r>
      <w:r w:rsidRPr="00684E36">
        <w:rPr>
          <w:b/>
          <w:bCs/>
        </w:rPr>
        <w:t>ropositions</w:t>
      </w:r>
    </w:p>
    <w:p w:rsidR="00D013EE" w:rsidP="00D013EE" w:rsidRDefault="00D013EE" w14:paraId="0FEB7B27" w14:textId="77777777">
      <w:pPr>
        <w:spacing w:after="0"/>
      </w:pPr>
    </w:p>
    <w:p w:rsidRPr="00684E36" w:rsidR="00D013EE" w:rsidP="00D013EE" w:rsidRDefault="00D013EE" w14:paraId="6F940963" w14:textId="7D5124B1">
      <w:pPr>
        <w:spacing w:after="0"/>
      </w:pPr>
      <w:r w:rsidRPr="00684E36">
        <w:t xml:space="preserve">Recent vintages of </w:t>
      </w:r>
      <w:r w:rsidR="005F1497">
        <w:t>"</w:t>
      </w:r>
      <w:r w:rsidRPr="00684E36">
        <w:t>low-risk</w:t>
      </w:r>
      <w:r w:rsidR="005F1497">
        <w:t>"</w:t>
      </w:r>
      <w:r w:rsidRPr="00684E36">
        <w:t xml:space="preserve"> alternative investment company launches have underperformed, with many propositions failing to mature effectively. This has created scepticism but also an opportunity for differentiated offerings that address these shortcomings and demonstrate resilience.</w:t>
      </w:r>
    </w:p>
    <w:p w:rsidR="00D013EE" w:rsidP="00D013EE" w:rsidRDefault="00D013EE" w14:paraId="1D391939" w14:textId="77777777">
      <w:pPr>
        <w:spacing w:after="0"/>
        <w:rPr>
          <w:b/>
          <w:bCs/>
        </w:rPr>
      </w:pPr>
    </w:p>
    <w:p w:rsidR="00D013EE" w:rsidP="00D013EE" w:rsidRDefault="00D013EE" w14:paraId="32896CA9" w14:textId="7BBAB9AF">
      <w:pPr>
        <w:spacing w:after="0"/>
        <w:rPr>
          <w:b/>
          <w:bCs/>
        </w:rPr>
      </w:pPr>
      <w:r w:rsidRPr="00684E36">
        <w:rPr>
          <w:b/>
          <w:bCs/>
        </w:rPr>
        <w:t xml:space="preserve">Addressing </w:t>
      </w:r>
      <w:r w:rsidR="005F1497">
        <w:rPr>
          <w:b/>
          <w:bCs/>
        </w:rPr>
        <w:t>m</w:t>
      </w:r>
      <w:r w:rsidRPr="00684E36">
        <w:rPr>
          <w:b/>
          <w:bCs/>
        </w:rPr>
        <w:t xml:space="preserve">isalignment </w:t>
      </w:r>
      <w:r w:rsidR="005F1497">
        <w:rPr>
          <w:b/>
          <w:bCs/>
        </w:rPr>
        <w:t>i</w:t>
      </w:r>
      <w:r w:rsidRPr="00684E36">
        <w:rPr>
          <w:b/>
          <w:bCs/>
        </w:rPr>
        <w:t>ssues</w:t>
      </w:r>
    </w:p>
    <w:p w:rsidR="00D013EE" w:rsidP="00D013EE" w:rsidRDefault="00D013EE" w14:paraId="510B540B" w14:textId="77777777">
      <w:pPr>
        <w:spacing w:after="0"/>
      </w:pPr>
    </w:p>
    <w:p w:rsidRPr="00684E36" w:rsidR="00D013EE" w:rsidP="00D013EE" w:rsidRDefault="00D013EE" w14:paraId="5D1A57C6" w14:textId="417FCAB4">
      <w:pPr>
        <w:spacing w:after="0"/>
      </w:pPr>
      <w:r w:rsidRPr="00684E36">
        <w:t>Concerns around misaligned valuations, fees, and cost disclosures have eroded investor confidence. Governance deficiencies, spanning managers, boards, and advis</w:t>
      </w:r>
      <w:r w:rsidR="005F1497">
        <w:t>e</w:t>
      </w:r>
      <w:r w:rsidRPr="00684E36">
        <w:t>rs, further exacerbate the problem. Addressing these misalignments provides a pathway to restoring trust and unlocking latent investor interest.</w:t>
      </w:r>
    </w:p>
    <w:p w:rsidR="00D013EE" w:rsidP="00D013EE" w:rsidRDefault="00D013EE" w14:paraId="56A6329A" w14:textId="77777777">
      <w:pPr>
        <w:spacing w:after="0"/>
        <w:rPr>
          <w:b/>
          <w:bCs/>
        </w:rPr>
      </w:pPr>
    </w:p>
    <w:p w:rsidR="00D013EE" w:rsidP="00D013EE" w:rsidRDefault="00D013EE" w14:paraId="40F01875" w14:textId="6F7D5922">
      <w:pPr>
        <w:spacing w:after="0"/>
        <w:rPr>
          <w:b/>
          <w:bCs/>
        </w:rPr>
      </w:pPr>
      <w:r w:rsidRPr="00684E36">
        <w:rPr>
          <w:b/>
          <w:bCs/>
        </w:rPr>
        <w:t xml:space="preserve">Shift from </w:t>
      </w:r>
      <w:r w:rsidR="005F1497">
        <w:rPr>
          <w:b/>
          <w:bCs/>
        </w:rPr>
        <w:t>b</w:t>
      </w:r>
      <w:r w:rsidRPr="00684E36">
        <w:rPr>
          <w:b/>
          <w:bCs/>
        </w:rPr>
        <w:t xml:space="preserve">uyers’ </w:t>
      </w:r>
      <w:r w:rsidR="005F1497">
        <w:rPr>
          <w:b/>
          <w:bCs/>
        </w:rPr>
        <w:t>s</w:t>
      </w:r>
      <w:r w:rsidRPr="00684E36">
        <w:rPr>
          <w:b/>
          <w:bCs/>
        </w:rPr>
        <w:t xml:space="preserve">trike to </w:t>
      </w:r>
      <w:r w:rsidR="005F1497">
        <w:rPr>
          <w:b/>
          <w:bCs/>
        </w:rPr>
        <w:t>s</w:t>
      </w:r>
      <w:r w:rsidRPr="00684E36">
        <w:rPr>
          <w:b/>
          <w:bCs/>
        </w:rPr>
        <w:t xml:space="preserve">elective </w:t>
      </w:r>
      <w:r w:rsidR="005F1497">
        <w:rPr>
          <w:b/>
          <w:bCs/>
        </w:rPr>
        <w:t>e</w:t>
      </w:r>
      <w:r w:rsidRPr="00684E36">
        <w:rPr>
          <w:b/>
          <w:bCs/>
        </w:rPr>
        <w:t>fficiency</w:t>
      </w:r>
    </w:p>
    <w:p w:rsidR="00D013EE" w:rsidP="00D013EE" w:rsidRDefault="00D013EE" w14:paraId="416D77D4" w14:textId="77777777">
      <w:pPr>
        <w:spacing w:after="0"/>
      </w:pPr>
    </w:p>
    <w:p w:rsidR="00D013EE" w:rsidP="00D013EE" w:rsidRDefault="00D013EE" w14:paraId="55E72A87" w14:textId="78AC71B7">
      <w:pPr>
        <w:spacing w:after="0"/>
      </w:pPr>
      <w:r w:rsidRPr="00684E36">
        <w:t xml:space="preserve">While the sector has seen a prolonged buyers’ strike, there is a growing appetite </w:t>
      </w:r>
      <w:r w:rsidR="00B43818">
        <w:t>from</w:t>
      </w:r>
      <w:r w:rsidRPr="00684E36" w:rsidR="00B43818">
        <w:t xml:space="preserve"> </w:t>
      </w:r>
      <w:r w:rsidRPr="00684E36">
        <w:t xml:space="preserve">discerning </w:t>
      </w:r>
      <w:r w:rsidR="00B43818">
        <w:t>investors</w:t>
      </w:r>
      <w:r w:rsidRPr="00684E36">
        <w:t>. Investors are now more focused on valuing opportunities efficiently and distinguishing between robust and weaker propositions. This shift rewards well-governed, transparent and high-performing companies.</w:t>
      </w:r>
    </w:p>
    <w:p w:rsidRPr="00684E36" w:rsidR="00D013EE" w:rsidP="00D013EE" w:rsidRDefault="00D013EE" w14:paraId="205757B5" w14:textId="77777777">
      <w:pPr>
        <w:spacing w:after="0"/>
      </w:pPr>
    </w:p>
    <w:p w:rsidR="00D013EE" w:rsidP="00D013EE" w:rsidRDefault="00D013EE" w14:paraId="51CC8C5A" w14:textId="77777777">
      <w:pPr>
        <w:spacing w:after="0"/>
      </w:pPr>
      <w:r w:rsidRPr="00684E36">
        <w:t>By capitali</w:t>
      </w:r>
      <w:r>
        <w:t>s</w:t>
      </w:r>
      <w:r w:rsidRPr="00684E36">
        <w:t>ing on these dynamics, there is a clear opportunity to bridge valuation gaps, introduce innovative governance and operational frameworks, and cater to an increasingly selective investor base seeking sustainable returns.</w:t>
      </w:r>
    </w:p>
    <w:p w:rsidRPr="00684E36" w:rsidR="00D013EE" w:rsidP="00D013EE" w:rsidRDefault="00D013EE" w14:paraId="54D2CA2A" w14:textId="77777777">
      <w:pPr>
        <w:spacing w:after="0"/>
      </w:pPr>
    </w:p>
    <w:p w:rsidRPr="005F1497" w:rsidR="00D013EE" w:rsidP="005F1497" w:rsidRDefault="00D013EE" w14:paraId="4241BCF9" w14:textId="6584CA88">
      <w:pPr>
        <w:pStyle w:val="Heading1"/>
        <w:rPr>
          <w:rFonts w:cs="Arial"/>
          <w:caps w:val="0"/>
        </w:rPr>
      </w:pPr>
      <w:r>
        <w:rPr>
          <w:rFonts w:cs="Arial"/>
          <w:caps w:val="0"/>
        </w:rPr>
        <w:t>INVESTMENT PROCESS</w:t>
      </w:r>
    </w:p>
    <w:p w:rsidRPr="0045505E" w:rsidR="00D013EE" w:rsidP="00D013EE" w:rsidRDefault="00D013EE" w14:paraId="7C56D0D9" w14:textId="1A3DC016">
      <w:pPr>
        <w:spacing w:after="0"/>
        <w:textAlignment w:val="baseline"/>
        <w:rPr>
          <w:rFonts w:eastAsia="Arial" w:cstheme="minorHAnsi"/>
          <w:color w:val="000000"/>
        </w:rPr>
      </w:pPr>
      <w:r w:rsidRPr="0045505E">
        <w:rPr>
          <w:rFonts w:eastAsia="Arial" w:cstheme="minorHAnsi"/>
          <w:color w:val="000000"/>
        </w:rPr>
        <w:t xml:space="preserve">The </w:t>
      </w:r>
      <w:r w:rsidR="004D1CD4">
        <w:rPr>
          <w:rFonts w:eastAsia="Arial" w:cstheme="minorHAnsi"/>
          <w:color w:val="000000"/>
        </w:rPr>
        <w:t>Investment Manager</w:t>
      </w:r>
      <w:r w:rsidRPr="0045505E">
        <w:rPr>
          <w:rFonts w:eastAsia="Arial" w:cstheme="minorHAnsi"/>
          <w:color w:val="000000"/>
        </w:rPr>
        <w:t>’s investment process is underpinned by a rigorous and multi-faceted approach to identifying and unlocking value in its target assets. Th</w:t>
      </w:r>
      <w:r w:rsidR="005F1497">
        <w:rPr>
          <w:rFonts w:eastAsia="Arial" w:cstheme="minorHAnsi"/>
          <w:color w:val="000000"/>
        </w:rPr>
        <w:t>is</w:t>
      </w:r>
      <w:r w:rsidRPr="0045505E">
        <w:rPr>
          <w:rFonts w:eastAsia="Arial" w:cstheme="minorHAnsi"/>
          <w:color w:val="000000"/>
        </w:rPr>
        <w:t xml:space="preserve"> process is informed by a deep understanding of the assets, strong relationships with shareholders, access to cost-effective advis</w:t>
      </w:r>
      <w:r w:rsidR="005F1497">
        <w:rPr>
          <w:rFonts w:eastAsia="Arial" w:cstheme="minorHAnsi"/>
          <w:color w:val="000000"/>
        </w:rPr>
        <w:t>e</w:t>
      </w:r>
      <w:r w:rsidRPr="0045505E">
        <w:rPr>
          <w:rFonts w:eastAsia="Arial" w:cstheme="minorHAnsi"/>
          <w:color w:val="000000"/>
        </w:rPr>
        <w:t>rs, and a robust yet flexible approach to activism.</w:t>
      </w:r>
    </w:p>
    <w:p w:rsidR="00D013EE" w:rsidP="00D013EE" w:rsidRDefault="00D013EE" w14:paraId="2997017B" w14:textId="77777777">
      <w:pPr>
        <w:spacing w:after="0"/>
        <w:textAlignment w:val="baseline"/>
        <w:rPr>
          <w:rFonts w:eastAsia="Arial" w:cstheme="minorHAnsi"/>
          <w:b/>
          <w:bCs/>
          <w:color w:val="000000"/>
        </w:rPr>
      </w:pPr>
    </w:p>
    <w:p w:rsidR="00D013EE" w:rsidP="00D013EE" w:rsidRDefault="00D013EE" w14:paraId="21208DD9" w14:textId="6C8DF5F1">
      <w:pPr>
        <w:spacing w:after="0"/>
        <w:textAlignment w:val="baseline"/>
        <w:rPr>
          <w:rFonts w:eastAsia="Arial" w:cstheme="minorHAnsi"/>
          <w:b/>
          <w:bCs/>
          <w:color w:val="000000"/>
        </w:rPr>
      </w:pPr>
      <w:r w:rsidRPr="0045505E">
        <w:rPr>
          <w:rFonts w:eastAsia="Arial" w:cstheme="minorHAnsi"/>
          <w:b/>
          <w:bCs/>
          <w:color w:val="000000"/>
        </w:rPr>
        <w:t xml:space="preserve">Gaining a </w:t>
      </w:r>
      <w:r w:rsidR="005F1497">
        <w:rPr>
          <w:rFonts w:eastAsia="Arial" w:cstheme="minorHAnsi"/>
          <w:b/>
          <w:bCs/>
          <w:color w:val="000000"/>
        </w:rPr>
        <w:t>d</w:t>
      </w:r>
      <w:r w:rsidRPr="0045505E">
        <w:rPr>
          <w:rFonts w:eastAsia="Arial" w:cstheme="minorHAnsi"/>
          <w:b/>
          <w:bCs/>
          <w:color w:val="000000"/>
        </w:rPr>
        <w:t xml:space="preserve">eep </w:t>
      </w:r>
      <w:r w:rsidR="005F1497">
        <w:rPr>
          <w:rFonts w:eastAsia="Arial" w:cstheme="minorHAnsi"/>
          <w:b/>
          <w:bCs/>
          <w:color w:val="000000"/>
        </w:rPr>
        <w:t>u</w:t>
      </w:r>
      <w:r w:rsidRPr="0045505E">
        <w:rPr>
          <w:rFonts w:eastAsia="Arial" w:cstheme="minorHAnsi"/>
          <w:b/>
          <w:bCs/>
          <w:color w:val="000000"/>
        </w:rPr>
        <w:t xml:space="preserve">nderstanding of the </w:t>
      </w:r>
      <w:r w:rsidR="005F1497">
        <w:rPr>
          <w:rFonts w:eastAsia="Arial" w:cstheme="minorHAnsi"/>
          <w:b/>
          <w:bCs/>
          <w:color w:val="000000"/>
        </w:rPr>
        <w:t>a</w:t>
      </w:r>
      <w:r w:rsidRPr="0045505E">
        <w:rPr>
          <w:rFonts w:eastAsia="Arial" w:cstheme="minorHAnsi"/>
          <w:b/>
          <w:bCs/>
          <w:color w:val="000000"/>
        </w:rPr>
        <w:t>ssets</w:t>
      </w:r>
    </w:p>
    <w:p w:rsidRPr="0045505E" w:rsidR="00D013EE" w:rsidP="00D013EE" w:rsidRDefault="00D013EE" w14:paraId="3EB141E5" w14:textId="77777777">
      <w:pPr>
        <w:spacing w:after="0"/>
        <w:textAlignment w:val="baseline"/>
        <w:rPr>
          <w:rFonts w:eastAsia="Arial" w:cstheme="minorHAnsi"/>
          <w:b/>
          <w:bCs/>
          <w:color w:val="000000"/>
        </w:rPr>
      </w:pPr>
    </w:p>
    <w:p w:rsidR="00D013EE" w:rsidP="00D013EE" w:rsidRDefault="00D013EE" w14:paraId="78EE8037" w14:textId="1D210834">
      <w:pPr>
        <w:spacing w:after="0"/>
        <w:textAlignment w:val="baseline"/>
        <w:rPr>
          <w:rFonts w:eastAsia="Arial" w:cstheme="minorHAnsi"/>
          <w:color w:val="000000"/>
        </w:rPr>
      </w:pPr>
      <w:r w:rsidRPr="0045505E">
        <w:rPr>
          <w:rFonts w:eastAsia="Arial" w:cstheme="minorHAnsi"/>
          <w:color w:val="000000"/>
        </w:rPr>
        <w:t xml:space="preserve">The </w:t>
      </w:r>
      <w:r>
        <w:rPr>
          <w:rFonts w:eastAsia="Arial" w:cstheme="minorHAnsi"/>
          <w:color w:val="000000"/>
        </w:rPr>
        <w:t>Investment Manager</w:t>
      </w:r>
      <w:r w:rsidRPr="0045505E">
        <w:rPr>
          <w:rFonts w:eastAsia="Arial" w:cstheme="minorHAnsi"/>
          <w:color w:val="000000"/>
        </w:rPr>
        <w:t xml:space="preserve"> prioriti</w:t>
      </w:r>
      <w:r>
        <w:rPr>
          <w:rFonts w:eastAsia="Arial" w:cstheme="minorHAnsi"/>
          <w:color w:val="000000"/>
        </w:rPr>
        <w:t>s</w:t>
      </w:r>
      <w:r w:rsidRPr="0045505E">
        <w:rPr>
          <w:rFonts w:eastAsia="Arial" w:cstheme="minorHAnsi"/>
          <w:color w:val="000000"/>
        </w:rPr>
        <w:t xml:space="preserve">es a comprehensive and nuanced understanding of each potential investment. This begins with an </w:t>
      </w:r>
      <w:r w:rsidRPr="00D54892">
        <w:rPr>
          <w:rFonts w:eastAsia="Arial" w:cstheme="minorHAnsi"/>
          <w:color w:val="000000"/>
        </w:rPr>
        <w:t>extensive desktop review of available resources, including brokers’ research notes, third-party reports, and publicly available data. The team delves beyond the surface of public market information by leveraging its extensive network of experts, including directors of similar companies, investment bankers and private secondary market brokers and agents.</w:t>
      </w:r>
    </w:p>
    <w:p w:rsidRPr="00D54892" w:rsidR="00D013EE" w:rsidP="00D013EE" w:rsidRDefault="00D013EE" w14:paraId="70B9BBA2" w14:textId="77777777">
      <w:pPr>
        <w:spacing w:after="0"/>
        <w:textAlignment w:val="baseline"/>
        <w:rPr>
          <w:rFonts w:eastAsia="Arial" w:cstheme="minorHAnsi"/>
          <w:color w:val="000000"/>
        </w:rPr>
      </w:pPr>
    </w:p>
    <w:p w:rsidRPr="0045505E" w:rsidR="00D013EE" w:rsidP="00D013EE" w:rsidRDefault="00D013EE" w14:paraId="20602738" w14:textId="77777777">
      <w:pPr>
        <w:spacing w:after="0"/>
        <w:textAlignment w:val="baseline"/>
        <w:rPr>
          <w:rFonts w:eastAsia="Arial" w:cstheme="minorHAnsi"/>
          <w:color w:val="000000"/>
        </w:rPr>
      </w:pPr>
      <w:r w:rsidRPr="00D54892">
        <w:rPr>
          <w:rFonts w:eastAsia="Arial" w:cstheme="minorHAnsi"/>
          <w:color w:val="000000"/>
        </w:rPr>
        <w:t>A thorough evaluation of legal and contractual issues</w:t>
      </w:r>
      <w:r w:rsidRPr="0045505E">
        <w:rPr>
          <w:rFonts w:eastAsia="Arial" w:cstheme="minorHAnsi"/>
          <w:color w:val="000000"/>
        </w:rPr>
        <w:t xml:space="preserve"> is a key aspect of the process, ensuring that potential complexities or risks are fully understood and appropriately mitigated. Furthermore, the </w:t>
      </w:r>
      <w:r>
        <w:rPr>
          <w:rFonts w:eastAsia="Arial" w:cstheme="minorHAnsi"/>
          <w:color w:val="000000"/>
        </w:rPr>
        <w:t>Investment Manager</w:t>
      </w:r>
      <w:r w:rsidRPr="0045505E">
        <w:rPr>
          <w:rFonts w:eastAsia="Arial" w:cstheme="minorHAnsi"/>
          <w:color w:val="000000"/>
        </w:rPr>
        <w:t xml:space="preserve"> seeks to assess the broader context of the investment, including manager incentives and assets under management (AUM) outside public vehicles, to form a complete picture of the opportunity.</w:t>
      </w:r>
    </w:p>
    <w:p w:rsidR="00D013EE" w:rsidP="00D013EE" w:rsidRDefault="00D013EE" w14:paraId="23CD6271" w14:textId="77777777">
      <w:pPr>
        <w:spacing w:after="0"/>
        <w:textAlignment w:val="baseline"/>
        <w:rPr>
          <w:rFonts w:eastAsia="Arial" w:cstheme="minorHAnsi"/>
          <w:b/>
          <w:bCs/>
          <w:color w:val="000000"/>
        </w:rPr>
      </w:pPr>
    </w:p>
    <w:p w:rsidR="00D013EE" w:rsidP="00D013EE" w:rsidRDefault="00D013EE" w14:paraId="19464D63" w14:textId="0CB7706B">
      <w:pPr>
        <w:spacing w:after="0"/>
        <w:textAlignment w:val="baseline"/>
        <w:rPr>
          <w:rFonts w:eastAsia="Arial" w:cstheme="minorHAnsi"/>
          <w:b/>
          <w:bCs/>
          <w:color w:val="000000"/>
        </w:rPr>
      </w:pPr>
      <w:r w:rsidRPr="0045505E">
        <w:rPr>
          <w:rFonts w:eastAsia="Arial" w:cstheme="minorHAnsi"/>
          <w:b/>
          <w:bCs/>
          <w:color w:val="000000"/>
        </w:rPr>
        <w:t xml:space="preserve">Building </w:t>
      </w:r>
      <w:r w:rsidR="005F1497">
        <w:rPr>
          <w:rFonts w:eastAsia="Arial" w:cstheme="minorHAnsi"/>
          <w:b/>
          <w:bCs/>
          <w:color w:val="000000"/>
        </w:rPr>
        <w:t>s</w:t>
      </w:r>
      <w:r w:rsidRPr="0045505E">
        <w:rPr>
          <w:rFonts w:eastAsia="Arial" w:cstheme="minorHAnsi"/>
          <w:b/>
          <w:bCs/>
          <w:color w:val="000000"/>
        </w:rPr>
        <w:t xml:space="preserve">trong </w:t>
      </w:r>
      <w:r w:rsidR="005F1497">
        <w:rPr>
          <w:rFonts w:eastAsia="Arial" w:cstheme="minorHAnsi"/>
          <w:b/>
          <w:bCs/>
          <w:color w:val="000000"/>
        </w:rPr>
        <w:t>r</w:t>
      </w:r>
      <w:r w:rsidRPr="0045505E">
        <w:rPr>
          <w:rFonts w:eastAsia="Arial" w:cstheme="minorHAnsi"/>
          <w:b/>
          <w:bCs/>
          <w:color w:val="000000"/>
        </w:rPr>
        <w:t xml:space="preserve">elationships with </w:t>
      </w:r>
      <w:r w:rsidR="005F1497">
        <w:rPr>
          <w:rFonts w:eastAsia="Arial" w:cstheme="minorHAnsi"/>
          <w:b/>
          <w:bCs/>
          <w:color w:val="000000"/>
        </w:rPr>
        <w:t>s</w:t>
      </w:r>
      <w:r w:rsidRPr="0045505E">
        <w:rPr>
          <w:rFonts w:eastAsia="Arial" w:cstheme="minorHAnsi"/>
          <w:b/>
          <w:bCs/>
          <w:color w:val="000000"/>
        </w:rPr>
        <w:t>hareholders</w:t>
      </w:r>
    </w:p>
    <w:p w:rsidRPr="0045505E" w:rsidR="00D013EE" w:rsidP="00D013EE" w:rsidRDefault="00D013EE" w14:paraId="1179640C" w14:textId="77777777">
      <w:pPr>
        <w:spacing w:after="0"/>
        <w:textAlignment w:val="baseline"/>
        <w:rPr>
          <w:rFonts w:eastAsia="Arial" w:cstheme="minorHAnsi"/>
          <w:b/>
          <w:bCs/>
          <w:color w:val="000000"/>
        </w:rPr>
      </w:pPr>
    </w:p>
    <w:p w:rsidRPr="0045505E" w:rsidR="00D013EE" w:rsidP="00D013EE" w:rsidRDefault="00D013EE" w14:paraId="39139B9E" w14:textId="48D901E9">
      <w:pPr>
        <w:spacing w:after="0"/>
        <w:textAlignment w:val="baseline"/>
        <w:rPr>
          <w:rFonts w:eastAsia="Arial" w:cstheme="minorHAnsi"/>
          <w:color w:val="000000"/>
        </w:rPr>
      </w:pPr>
      <w:r w:rsidRPr="0045505E">
        <w:rPr>
          <w:rFonts w:eastAsia="Arial" w:cstheme="minorHAnsi"/>
          <w:color w:val="000000"/>
        </w:rPr>
        <w:t xml:space="preserve">The Company benefits from the </w:t>
      </w:r>
      <w:r>
        <w:rPr>
          <w:rFonts w:eastAsia="Arial" w:cstheme="minorHAnsi"/>
          <w:color w:val="000000"/>
        </w:rPr>
        <w:t>Investment Manager</w:t>
      </w:r>
      <w:r w:rsidRPr="00D54892">
        <w:rPr>
          <w:rFonts w:eastAsia="Arial" w:cstheme="minorHAnsi"/>
          <w:color w:val="000000"/>
        </w:rPr>
        <w:t>’s</w:t>
      </w:r>
      <w:r w:rsidR="00081E2E">
        <w:rPr>
          <w:rFonts w:eastAsia="Arial" w:cstheme="minorHAnsi"/>
          <w:color w:val="000000"/>
        </w:rPr>
        <w:t xml:space="preserve">, and the wider Harwood Capital </w:t>
      </w:r>
      <w:r w:rsidR="000432FC">
        <w:rPr>
          <w:rFonts w:eastAsia="Arial" w:cstheme="minorHAnsi"/>
          <w:color w:val="000000"/>
        </w:rPr>
        <w:t>Management Group's,</w:t>
      </w:r>
      <w:r w:rsidRPr="00D54892">
        <w:rPr>
          <w:rFonts w:eastAsia="Arial" w:cstheme="minorHAnsi"/>
          <w:color w:val="000000"/>
        </w:rPr>
        <w:t xml:space="preserve"> extensive relationships with shareholders across the </w:t>
      </w:r>
      <w:r w:rsidR="005F1497">
        <w:rPr>
          <w:rFonts w:eastAsia="Arial" w:cstheme="minorHAnsi"/>
          <w:color w:val="000000"/>
        </w:rPr>
        <w:t>UK</w:t>
      </w:r>
      <w:r w:rsidRPr="00D54892">
        <w:rPr>
          <w:rFonts w:eastAsia="Arial" w:cstheme="minorHAnsi"/>
          <w:color w:val="000000"/>
        </w:rPr>
        <w:t xml:space="preserve"> closed-end</w:t>
      </w:r>
      <w:r>
        <w:rPr>
          <w:rFonts w:eastAsia="Arial" w:cstheme="minorHAnsi"/>
          <w:color w:val="000000"/>
        </w:rPr>
        <w:t>ed investment</w:t>
      </w:r>
      <w:r w:rsidRPr="00D54892">
        <w:rPr>
          <w:rFonts w:eastAsia="Arial" w:cstheme="minorHAnsi"/>
          <w:color w:val="000000"/>
        </w:rPr>
        <w:t xml:space="preserve"> </w:t>
      </w:r>
      <w:r w:rsidR="005F1497">
        <w:rPr>
          <w:rFonts w:eastAsia="Arial" w:cstheme="minorHAnsi"/>
          <w:color w:val="000000"/>
        </w:rPr>
        <w:t>companies</w:t>
      </w:r>
      <w:r w:rsidRPr="00D54892">
        <w:rPr>
          <w:rFonts w:eastAsia="Arial" w:cstheme="minorHAnsi"/>
          <w:color w:val="000000"/>
        </w:rPr>
        <w:t xml:space="preserve"> market. These connections facilitate direct, persuasive communication and enable the </w:t>
      </w:r>
      <w:r w:rsidR="005F1497">
        <w:rPr>
          <w:rFonts w:eastAsia="Arial" w:cstheme="minorHAnsi"/>
          <w:color w:val="000000"/>
        </w:rPr>
        <w:t>Investment Manager</w:t>
      </w:r>
      <w:r w:rsidRPr="00D54892">
        <w:rPr>
          <w:rFonts w:eastAsia="Arial" w:cstheme="minorHAnsi"/>
          <w:color w:val="000000"/>
        </w:rPr>
        <w:t xml:space="preserve"> to secure support for its strategic initiatives. In addition, the </w:t>
      </w:r>
      <w:r>
        <w:rPr>
          <w:rFonts w:eastAsia="Arial" w:cstheme="minorHAnsi"/>
          <w:color w:val="000000"/>
        </w:rPr>
        <w:t>Investment Manager</w:t>
      </w:r>
      <w:r w:rsidR="000432FC">
        <w:rPr>
          <w:rFonts w:eastAsia="Arial" w:cstheme="minorHAnsi"/>
          <w:color w:val="000000"/>
        </w:rPr>
        <w:t>, and the wider Harwood Capital Management Group,</w:t>
      </w:r>
      <w:r w:rsidRPr="00D54892">
        <w:rPr>
          <w:rFonts w:eastAsia="Arial" w:cstheme="minorHAnsi"/>
          <w:color w:val="000000"/>
        </w:rPr>
        <w:t xml:space="preserve"> maintains excellent relationships within the financial media, which can be utili</w:t>
      </w:r>
      <w:r>
        <w:rPr>
          <w:rFonts w:eastAsia="Arial" w:cstheme="minorHAnsi"/>
          <w:color w:val="000000"/>
        </w:rPr>
        <w:t>s</w:t>
      </w:r>
      <w:r w:rsidRPr="00D54892">
        <w:rPr>
          <w:rFonts w:eastAsia="Arial" w:cstheme="minorHAnsi"/>
          <w:color w:val="000000"/>
        </w:rPr>
        <w:t>ed to effectively communicate the Company’s perspective when necessary</w:t>
      </w:r>
      <w:r w:rsidRPr="0045505E">
        <w:rPr>
          <w:rFonts w:eastAsia="Arial" w:cstheme="minorHAnsi"/>
          <w:color w:val="000000"/>
        </w:rPr>
        <w:t>.</w:t>
      </w:r>
    </w:p>
    <w:p w:rsidR="00D013EE" w:rsidP="00D013EE" w:rsidRDefault="00D013EE" w14:paraId="4045CF45" w14:textId="77777777">
      <w:pPr>
        <w:spacing w:after="0"/>
        <w:textAlignment w:val="baseline"/>
        <w:rPr>
          <w:rFonts w:eastAsia="Arial" w:cstheme="minorHAnsi"/>
          <w:b/>
          <w:bCs/>
          <w:color w:val="000000"/>
        </w:rPr>
      </w:pPr>
    </w:p>
    <w:p w:rsidR="00D013EE" w:rsidP="00D013EE" w:rsidRDefault="00D013EE" w14:paraId="512D5FDC" w14:textId="2C5DBEB1">
      <w:pPr>
        <w:spacing w:after="0"/>
        <w:textAlignment w:val="baseline"/>
        <w:rPr>
          <w:rFonts w:eastAsia="Arial" w:cstheme="minorHAnsi"/>
          <w:b/>
          <w:bCs/>
          <w:color w:val="000000"/>
        </w:rPr>
      </w:pPr>
      <w:r w:rsidRPr="0045505E">
        <w:rPr>
          <w:rFonts w:eastAsia="Arial" w:cstheme="minorHAnsi"/>
          <w:b/>
          <w:bCs/>
          <w:color w:val="000000"/>
        </w:rPr>
        <w:lastRenderedPageBreak/>
        <w:t xml:space="preserve">Access to </w:t>
      </w:r>
      <w:r w:rsidR="005F1497">
        <w:rPr>
          <w:rFonts w:eastAsia="Arial" w:cstheme="minorHAnsi"/>
          <w:b/>
          <w:bCs/>
          <w:color w:val="000000"/>
        </w:rPr>
        <w:t>cost-effective</w:t>
      </w:r>
      <w:r w:rsidRPr="0045505E">
        <w:rPr>
          <w:rFonts w:eastAsia="Arial" w:cstheme="minorHAnsi"/>
          <w:b/>
          <w:bCs/>
          <w:color w:val="000000"/>
        </w:rPr>
        <w:t xml:space="preserve">, </w:t>
      </w:r>
      <w:r w:rsidR="005F1497">
        <w:rPr>
          <w:rFonts w:eastAsia="Arial" w:cstheme="minorHAnsi"/>
          <w:b/>
          <w:bCs/>
          <w:color w:val="000000"/>
        </w:rPr>
        <w:t>h</w:t>
      </w:r>
      <w:r w:rsidRPr="0045505E">
        <w:rPr>
          <w:rFonts w:eastAsia="Arial" w:cstheme="minorHAnsi"/>
          <w:b/>
          <w:bCs/>
          <w:color w:val="000000"/>
        </w:rPr>
        <w:t>igh-</w:t>
      </w:r>
      <w:r w:rsidR="005F1497">
        <w:rPr>
          <w:rFonts w:eastAsia="Arial" w:cstheme="minorHAnsi"/>
          <w:b/>
          <w:bCs/>
          <w:color w:val="000000"/>
        </w:rPr>
        <w:t>q</w:t>
      </w:r>
      <w:r w:rsidRPr="0045505E">
        <w:rPr>
          <w:rFonts w:eastAsia="Arial" w:cstheme="minorHAnsi"/>
          <w:b/>
          <w:bCs/>
          <w:color w:val="000000"/>
        </w:rPr>
        <w:t xml:space="preserve">uality </w:t>
      </w:r>
      <w:r w:rsidR="005F1497">
        <w:rPr>
          <w:rFonts w:eastAsia="Arial" w:cstheme="minorHAnsi"/>
          <w:b/>
          <w:bCs/>
          <w:color w:val="000000"/>
        </w:rPr>
        <w:t>a</w:t>
      </w:r>
      <w:r w:rsidRPr="0045505E">
        <w:rPr>
          <w:rFonts w:eastAsia="Arial" w:cstheme="minorHAnsi"/>
          <w:b/>
          <w:bCs/>
          <w:color w:val="000000"/>
        </w:rPr>
        <w:t>dvis</w:t>
      </w:r>
      <w:r w:rsidR="005F1497">
        <w:rPr>
          <w:rFonts w:eastAsia="Arial" w:cstheme="minorHAnsi"/>
          <w:b/>
          <w:bCs/>
          <w:color w:val="000000"/>
        </w:rPr>
        <w:t>e</w:t>
      </w:r>
      <w:r w:rsidRPr="0045505E">
        <w:rPr>
          <w:rFonts w:eastAsia="Arial" w:cstheme="minorHAnsi"/>
          <w:b/>
          <w:bCs/>
          <w:color w:val="000000"/>
        </w:rPr>
        <w:t>rs</w:t>
      </w:r>
    </w:p>
    <w:p w:rsidRPr="0045505E" w:rsidR="00D013EE" w:rsidP="00D013EE" w:rsidRDefault="00D013EE" w14:paraId="08D91125" w14:textId="77777777">
      <w:pPr>
        <w:spacing w:after="0"/>
        <w:textAlignment w:val="baseline"/>
        <w:rPr>
          <w:rFonts w:eastAsia="Arial" w:cstheme="minorHAnsi"/>
          <w:b/>
          <w:bCs/>
          <w:color w:val="000000"/>
        </w:rPr>
      </w:pPr>
    </w:p>
    <w:p w:rsidRPr="0045505E" w:rsidR="00D013EE" w:rsidP="00D013EE" w:rsidRDefault="00D013EE" w14:paraId="54C353F0" w14:textId="4C929186">
      <w:pPr>
        <w:spacing w:after="0"/>
        <w:textAlignment w:val="baseline"/>
        <w:rPr>
          <w:rFonts w:eastAsia="Arial" w:cstheme="minorHAnsi"/>
          <w:color w:val="000000"/>
        </w:rPr>
      </w:pPr>
      <w:r w:rsidRPr="0045505E">
        <w:rPr>
          <w:rFonts w:eastAsia="Arial" w:cstheme="minorHAnsi"/>
          <w:color w:val="000000"/>
        </w:rPr>
        <w:t xml:space="preserve">The Company is committed to working with </w:t>
      </w:r>
      <w:r w:rsidRPr="00D54892">
        <w:rPr>
          <w:rFonts w:eastAsia="Arial" w:cstheme="minorHAnsi"/>
          <w:color w:val="000000"/>
        </w:rPr>
        <w:t>excellent yet cost-eff</w:t>
      </w:r>
      <w:r w:rsidR="005F1497">
        <w:rPr>
          <w:rFonts w:eastAsia="Arial" w:cstheme="minorHAnsi"/>
          <w:color w:val="000000"/>
        </w:rPr>
        <w:t>ective</w:t>
      </w:r>
      <w:r w:rsidRPr="00D54892">
        <w:rPr>
          <w:rFonts w:eastAsia="Arial" w:cstheme="minorHAnsi"/>
          <w:color w:val="000000"/>
        </w:rPr>
        <w:t xml:space="preserve"> advis</w:t>
      </w:r>
      <w:r w:rsidR="005F1497">
        <w:rPr>
          <w:rFonts w:eastAsia="Arial" w:cstheme="minorHAnsi"/>
          <w:color w:val="000000"/>
        </w:rPr>
        <w:t>e</w:t>
      </w:r>
      <w:r w:rsidRPr="00D54892">
        <w:rPr>
          <w:rFonts w:eastAsia="Arial" w:cstheme="minorHAnsi"/>
          <w:color w:val="000000"/>
        </w:rPr>
        <w:t>rs,</w:t>
      </w:r>
      <w:r w:rsidRPr="0045505E">
        <w:rPr>
          <w:rFonts w:eastAsia="Arial" w:cstheme="minorHAnsi"/>
          <w:color w:val="000000"/>
        </w:rPr>
        <w:t xml:space="preserve"> recogni</w:t>
      </w:r>
      <w:r>
        <w:rPr>
          <w:rFonts w:eastAsia="Arial" w:cstheme="minorHAnsi"/>
          <w:color w:val="000000"/>
        </w:rPr>
        <w:t>s</w:t>
      </w:r>
      <w:r w:rsidRPr="0045505E">
        <w:rPr>
          <w:rFonts w:eastAsia="Arial" w:cstheme="minorHAnsi"/>
          <w:color w:val="000000"/>
        </w:rPr>
        <w:t xml:space="preserve">ing that advisory costs can have a material impact on the returns ultimately delivered to </w:t>
      </w:r>
      <w:r w:rsidR="00E44256">
        <w:rPr>
          <w:rFonts w:eastAsia="Arial" w:cstheme="minorHAnsi"/>
          <w:color w:val="000000"/>
        </w:rPr>
        <w:t>S</w:t>
      </w:r>
      <w:r w:rsidRPr="0045505E">
        <w:rPr>
          <w:rFonts w:eastAsia="Arial" w:cstheme="minorHAnsi"/>
          <w:color w:val="000000"/>
        </w:rPr>
        <w:t xml:space="preserve">hareholders. By </w:t>
      </w:r>
      <w:r w:rsidR="005F1497">
        <w:rPr>
          <w:rFonts w:eastAsia="Arial" w:cstheme="minorHAnsi"/>
          <w:color w:val="000000"/>
        </w:rPr>
        <w:t>controlling</w:t>
      </w:r>
      <w:r w:rsidRPr="0045505E">
        <w:rPr>
          <w:rFonts w:eastAsia="Arial" w:cstheme="minorHAnsi"/>
          <w:color w:val="000000"/>
        </w:rPr>
        <w:t xml:space="preserve"> advisory costs, the Company ensures that more value is preserved for its </w:t>
      </w:r>
      <w:r w:rsidR="00E44256">
        <w:rPr>
          <w:rFonts w:eastAsia="Arial" w:cstheme="minorHAnsi"/>
          <w:color w:val="000000"/>
        </w:rPr>
        <w:t>Shareholders</w:t>
      </w:r>
      <w:r w:rsidRPr="0045505E">
        <w:rPr>
          <w:rFonts w:eastAsia="Arial" w:cstheme="minorHAnsi"/>
          <w:color w:val="000000"/>
        </w:rPr>
        <w:t xml:space="preserve"> while still benefiting from expert guidance throughout the investment process.</w:t>
      </w:r>
    </w:p>
    <w:p w:rsidR="00D013EE" w:rsidP="00D013EE" w:rsidRDefault="00D013EE" w14:paraId="6477EFEF" w14:textId="77777777">
      <w:pPr>
        <w:spacing w:after="0"/>
        <w:textAlignment w:val="baseline"/>
        <w:rPr>
          <w:rFonts w:eastAsia="Arial" w:cstheme="minorHAnsi"/>
          <w:b/>
          <w:bCs/>
          <w:color w:val="000000"/>
        </w:rPr>
      </w:pPr>
    </w:p>
    <w:p w:rsidR="00D013EE" w:rsidP="00F1182F" w:rsidRDefault="00D013EE" w14:paraId="683C842E" w14:textId="1870F6E1">
      <w:pPr>
        <w:keepNext/>
        <w:spacing w:after="0"/>
        <w:textAlignment w:val="baseline"/>
        <w:rPr>
          <w:rFonts w:eastAsia="Arial" w:cstheme="minorHAnsi"/>
          <w:b/>
          <w:bCs/>
          <w:color w:val="000000"/>
        </w:rPr>
      </w:pPr>
      <w:r w:rsidRPr="0045505E">
        <w:rPr>
          <w:rFonts w:eastAsia="Arial" w:cstheme="minorHAnsi"/>
          <w:b/>
          <w:bCs/>
          <w:color w:val="000000"/>
        </w:rPr>
        <w:t xml:space="preserve">Approach to </w:t>
      </w:r>
      <w:r w:rsidR="00E44256">
        <w:rPr>
          <w:rFonts w:eastAsia="Arial" w:cstheme="minorHAnsi"/>
          <w:b/>
          <w:bCs/>
          <w:color w:val="000000"/>
        </w:rPr>
        <w:t>c</w:t>
      </w:r>
      <w:r>
        <w:rPr>
          <w:rFonts w:eastAsia="Arial" w:cstheme="minorHAnsi"/>
          <w:b/>
          <w:bCs/>
          <w:color w:val="000000"/>
        </w:rPr>
        <w:t xml:space="preserve">onstructive </w:t>
      </w:r>
      <w:r w:rsidR="00E44256">
        <w:rPr>
          <w:rFonts w:eastAsia="Arial" w:cstheme="minorHAnsi"/>
          <w:b/>
          <w:bCs/>
          <w:color w:val="000000"/>
        </w:rPr>
        <w:t>a</w:t>
      </w:r>
      <w:r w:rsidRPr="0045505E">
        <w:rPr>
          <w:rFonts w:eastAsia="Arial" w:cstheme="minorHAnsi"/>
          <w:b/>
          <w:bCs/>
          <w:color w:val="000000"/>
        </w:rPr>
        <w:t>ctivism</w:t>
      </w:r>
    </w:p>
    <w:p w:rsidRPr="0045505E" w:rsidR="00D013EE" w:rsidP="00F1182F" w:rsidRDefault="00D013EE" w14:paraId="069303FB" w14:textId="77777777">
      <w:pPr>
        <w:keepNext/>
        <w:spacing w:after="0"/>
        <w:textAlignment w:val="baseline"/>
        <w:rPr>
          <w:rFonts w:eastAsia="Arial" w:cstheme="minorHAnsi"/>
          <w:b/>
          <w:bCs/>
          <w:color w:val="000000"/>
        </w:rPr>
      </w:pPr>
    </w:p>
    <w:p w:rsidR="00D013EE" w:rsidP="00F1182F" w:rsidRDefault="00D013EE" w14:paraId="74A7C92D" w14:textId="7F0935D0">
      <w:pPr>
        <w:keepNext/>
        <w:spacing w:after="0"/>
        <w:textAlignment w:val="baseline"/>
        <w:rPr>
          <w:rFonts w:eastAsia="Arial" w:cstheme="minorHAnsi"/>
          <w:color w:val="000000"/>
        </w:rPr>
      </w:pPr>
      <w:r w:rsidRPr="0045505E">
        <w:rPr>
          <w:rFonts w:eastAsia="Arial" w:cstheme="minorHAnsi"/>
          <w:color w:val="000000"/>
        </w:rPr>
        <w:t xml:space="preserve">The </w:t>
      </w:r>
      <w:r w:rsidR="004D1CD4">
        <w:rPr>
          <w:rFonts w:eastAsia="Arial" w:cstheme="minorHAnsi"/>
          <w:color w:val="000000"/>
        </w:rPr>
        <w:t>Investment Manager</w:t>
      </w:r>
      <w:r w:rsidRPr="0045505E">
        <w:rPr>
          <w:rFonts w:eastAsia="Arial" w:cstheme="minorHAnsi"/>
          <w:color w:val="000000"/>
        </w:rPr>
        <w:t xml:space="preserve">’s approach to </w:t>
      </w:r>
      <w:r>
        <w:rPr>
          <w:rFonts w:eastAsia="Arial" w:cstheme="minorHAnsi"/>
          <w:color w:val="000000"/>
        </w:rPr>
        <w:t xml:space="preserve">constructive </w:t>
      </w:r>
      <w:r w:rsidRPr="0045505E">
        <w:rPr>
          <w:rFonts w:eastAsia="Arial" w:cstheme="minorHAnsi"/>
          <w:color w:val="000000"/>
        </w:rPr>
        <w:t>activism is thoughtful and balanced, aiming to create value while minimi</w:t>
      </w:r>
      <w:r>
        <w:rPr>
          <w:rFonts w:eastAsia="Arial" w:cstheme="minorHAnsi"/>
          <w:color w:val="000000"/>
        </w:rPr>
        <w:t>s</w:t>
      </w:r>
      <w:r w:rsidRPr="0045505E">
        <w:rPr>
          <w:rFonts w:eastAsia="Arial" w:cstheme="minorHAnsi"/>
          <w:color w:val="000000"/>
        </w:rPr>
        <w:t xml:space="preserve">ing unnecessary conflict. The preferred strategy </w:t>
      </w:r>
      <w:r w:rsidRPr="00D54892">
        <w:rPr>
          <w:rFonts w:eastAsia="Arial" w:cstheme="minorHAnsi"/>
          <w:color w:val="000000"/>
        </w:rPr>
        <w:t xml:space="preserve">is always to resolve issues privately, maintaining constructive dialogue with stakeholders. However, the </w:t>
      </w:r>
      <w:r w:rsidR="004D1CD4">
        <w:rPr>
          <w:rFonts w:eastAsia="Arial" w:cstheme="minorHAnsi"/>
          <w:color w:val="000000"/>
        </w:rPr>
        <w:t>Investment Manager</w:t>
      </w:r>
      <w:r w:rsidRPr="00D54892">
        <w:rPr>
          <w:rFonts w:eastAsia="Arial" w:cstheme="minorHAnsi"/>
          <w:color w:val="000000"/>
        </w:rPr>
        <w:t xml:space="preserve"> is willing to go public when required to protect or enhance </w:t>
      </w:r>
      <w:r w:rsidR="00E44256">
        <w:rPr>
          <w:rFonts w:eastAsia="Arial" w:cstheme="minorHAnsi"/>
          <w:color w:val="000000"/>
        </w:rPr>
        <w:t>S</w:t>
      </w:r>
      <w:r w:rsidRPr="00D54892">
        <w:rPr>
          <w:rFonts w:eastAsia="Arial" w:cstheme="minorHAnsi"/>
          <w:color w:val="000000"/>
        </w:rPr>
        <w:t>hareholder value.</w:t>
      </w:r>
    </w:p>
    <w:p w:rsidRPr="00D54892" w:rsidR="00D013EE" w:rsidP="00D013EE" w:rsidRDefault="00D013EE" w14:paraId="408A309B" w14:textId="77777777">
      <w:pPr>
        <w:spacing w:after="0"/>
        <w:textAlignment w:val="baseline"/>
        <w:rPr>
          <w:rFonts w:eastAsia="Arial" w:cstheme="minorHAnsi"/>
          <w:color w:val="000000"/>
        </w:rPr>
      </w:pPr>
    </w:p>
    <w:p w:rsidR="00D013EE" w:rsidP="00D013EE" w:rsidRDefault="00D013EE" w14:paraId="63DDB5D6" w14:textId="23BE1FEC">
      <w:pPr>
        <w:spacing w:after="0"/>
        <w:textAlignment w:val="baseline"/>
        <w:rPr>
          <w:rFonts w:eastAsia="Arial" w:cstheme="minorHAnsi"/>
          <w:color w:val="000000"/>
        </w:rPr>
      </w:pPr>
      <w:r w:rsidRPr="0045505E">
        <w:rPr>
          <w:rFonts w:eastAsia="Arial" w:cstheme="minorHAnsi"/>
          <w:color w:val="000000"/>
        </w:rPr>
        <w:t xml:space="preserve">The </w:t>
      </w:r>
      <w:r w:rsidR="004D1CD4">
        <w:rPr>
          <w:rFonts w:eastAsia="Arial" w:cstheme="minorHAnsi"/>
          <w:color w:val="000000"/>
        </w:rPr>
        <w:t>Investment Manager</w:t>
      </w:r>
      <w:r w:rsidRPr="0045505E">
        <w:rPr>
          <w:rFonts w:eastAsia="Arial" w:cstheme="minorHAnsi"/>
          <w:color w:val="000000"/>
        </w:rPr>
        <w:t xml:space="preserve"> employs a variety of activism strategies, including:</w:t>
      </w:r>
    </w:p>
    <w:p w:rsidRPr="0045505E" w:rsidR="00D013EE" w:rsidP="00D013EE" w:rsidRDefault="00D013EE" w14:paraId="531882DB" w14:textId="77777777">
      <w:pPr>
        <w:spacing w:after="0"/>
        <w:textAlignment w:val="baseline"/>
        <w:rPr>
          <w:rFonts w:eastAsia="Arial" w:cstheme="minorHAnsi"/>
          <w:color w:val="000000"/>
        </w:rPr>
      </w:pPr>
    </w:p>
    <w:p w:rsidRPr="00D54892" w:rsidR="00D013EE" w:rsidP="00565AD4" w:rsidRDefault="00D013EE" w14:paraId="4B95C190" w14:textId="77777777">
      <w:pPr>
        <w:numPr>
          <w:ilvl w:val="0"/>
          <w:numId w:val="57"/>
        </w:numPr>
        <w:spacing w:after="0" w:line="259" w:lineRule="auto"/>
        <w:textAlignment w:val="baseline"/>
        <w:rPr>
          <w:rFonts w:eastAsia="Arial" w:cstheme="minorHAnsi"/>
          <w:color w:val="000000"/>
        </w:rPr>
      </w:pPr>
      <w:r w:rsidRPr="00D54892">
        <w:rPr>
          <w:rFonts w:eastAsia="Arial" w:cstheme="minorHAnsi"/>
          <w:color w:val="000000"/>
        </w:rPr>
        <w:t>Requisitioning changes to board composition when governance improvements are necessary.</w:t>
      </w:r>
    </w:p>
    <w:p w:rsidRPr="00D54892" w:rsidR="00D013EE" w:rsidP="00565AD4" w:rsidRDefault="00D013EE" w14:paraId="4B2F7D97" w14:textId="77777777">
      <w:pPr>
        <w:numPr>
          <w:ilvl w:val="0"/>
          <w:numId w:val="57"/>
        </w:numPr>
        <w:spacing w:after="0" w:line="259" w:lineRule="auto"/>
        <w:textAlignment w:val="baseline"/>
        <w:rPr>
          <w:rFonts w:eastAsia="Arial" w:cstheme="minorHAnsi"/>
          <w:color w:val="000000"/>
        </w:rPr>
      </w:pPr>
      <w:r w:rsidRPr="00D54892">
        <w:rPr>
          <w:rFonts w:eastAsia="Arial" w:cstheme="minorHAnsi"/>
          <w:color w:val="000000"/>
        </w:rPr>
        <w:t>Engaging with the media to communicate its position effectively to a wider audience.</w:t>
      </w:r>
    </w:p>
    <w:p w:rsidR="00D013EE" w:rsidP="00D013EE" w:rsidRDefault="00D013EE" w14:paraId="77F1E03F" w14:textId="77777777">
      <w:pPr>
        <w:spacing w:after="0"/>
        <w:textAlignment w:val="baseline"/>
        <w:rPr>
          <w:rFonts w:eastAsia="Arial" w:cstheme="minorHAnsi"/>
          <w:color w:val="000000"/>
        </w:rPr>
      </w:pPr>
    </w:p>
    <w:p w:rsidR="00D013EE" w:rsidP="00D013EE" w:rsidRDefault="00D013EE" w14:paraId="1534BB4A" w14:textId="272B9200">
      <w:pPr>
        <w:spacing w:after="0"/>
        <w:textAlignment w:val="baseline"/>
        <w:rPr>
          <w:rFonts w:eastAsia="Arial" w:cstheme="minorHAnsi"/>
          <w:color w:val="000000"/>
        </w:rPr>
      </w:pPr>
      <w:r w:rsidRPr="00D54892">
        <w:rPr>
          <w:rFonts w:eastAsia="Arial" w:cstheme="minorHAnsi"/>
          <w:color w:val="000000"/>
        </w:rPr>
        <w:t xml:space="preserve">The </w:t>
      </w:r>
      <w:r>
        <w:rPr>
          <w:rFonts w:eastAsia="Arial" w:cstheme="minorHAnsi"/>
          <w:color w:val="000000"/>
        </w:rPr>
        <w:t>Investment Manager</w:t>
      </w:r>
      <w:r w:rsidRPr="00D54892">
        <w:rPr>
          <w:rFonts w:eastAsia="Arial" w:cstheme="minorHAnsi"/>
          <w:color w:val="000000"/>
        </w:rPr>
        <w:t xml:space="preserve"> has a deep understanding of the regulatory environment, particularly the </w:t>
      </w:r>
      <w:r>
        <w:rPr>
          <w:rFonts w:eastAsia="Arial" w:cstheme="minorHAnsi"/>
          <w:color w:val="000000"/>
        </w:rPr>
        <w:t xml:space="preserve">Takeover </w:t>
      </w:r>
      <w:r w:rsidRPr="00D54892">
        <w:rPr>
          <w:rFonts w:eastAsia="Arial" w:cstheme="minorHAnsi"/>
          <w:color w:val="000000"/>
        </w:rPr>
        <w:t>Code, which is essential when</w:t>
      </w:r>
      <w:r w:rsidRPr="0045505E">
        <w:rPr>
          <w:rFonts w:eastAsia="Arial" w:cstheme="minorHAnsi"/>
          <w:color w:val="000000"/>
        </w:rPr>
        <w:t xml:space="preserve"> navigating collective shareholder action. Additionally, </w:t>
      </w:r>
      <w:r>
        <w:rPr>
          <w:rFonts w:eastAsia="Arial" w:cstheme="minorHAnsi"/>
          <w:color w:val="000000"/>
        </w:rPr>
        <w:t>Chris</w:t>
      </w:r>
      <w:r w:rsidR="004B118C">
        <w:rPr>
          <w:rFonts w:eastAsia="Arial" w:cstheme="minorHAnsi"/>
          <w:color w:val="000000"/>
        </w:rPr>
        <w:t>t</w:t>
      </w:r>
      <w:r>
        <w:rPr>
          <w:rFonts w:eastAsia="Arial" w:cstheme="minorHAnsi"/>
          <w:color w:val="000000"/>
        </w:rPr>
        <w:t xml:space="preserve">opher Mills and Robert Naylor are </w:t>
      </w:r>
      <w:r w:rsidRPr="0045505E">
        <w:rPr>
          <w:rFonts w:eastAsia="Arial" w:cstheme="minorHAnsi"/>
          <w:color w:val="000000"/>
        </w:rPr>
        <w:t xml:space="preserve">prepared to take bold steps, including putting themselves </w:t>
      </w:r>
      <w:r w:rsidR="00E44256">
        <w:rPr>
          <w:rFonts w:eastAsia="Arial" w:cstheme="minorHAnsi"/>
          <w:color w:val="000000"/>
        </w:rPr>
        <w:t>"</w:t>
      </w:r>
      <w:r w:rsidRPr="0045505E">
        <w:rPr>
          <w:rFonts w:eastAsia="Arial" w:cstheme="minorHAnsi"/>
          <w:color w:val="000000"/>
        </w:rPr>
        <w:t>in the firing line</w:t>
      </w:r>
      <w:r w:rsidR="00E44256">
        <w:rPr>
          <w:rFonts w:eastAsia="Arial" w:cstheme="minorHAnsi"/>
          <w:color w:val="000000"/>
        </w:rPr>
        <w:t>"</w:t>
      </w:r>
      <w:r w:rsidRPr="0045505E">
        <w:rPr>
          <w:rFonts w:eastAsia="Arial" w:cstheme="minorHAnsi"/>
          <w:color w:val="000000"/>
        </w:rPr>
        <w:t xml:space="preserve"> when advocating for change i</w:t>
      </w:r>
      <w:r w:rsidR="00E44256">
        <w:rPr>
          <w:rFonts w:eastAsia="Arial" w:cstheme="minorHAnsi"/>
          <w:color w:val="000000"/>
        </w:rPr>
        <w:t>f</w:t>
      </w:r>
      <w:r w:rsidRPr="0045505E">
        <w:rPr>
          <w:rFonts w:eastAsia="Arial" w:cstheme="minorHAnsi"/>
          <w:color w:val="000000"/>
        </w:rPr>
        <w:t xml:space="preserve"> necessary to unlock value for</w:t>
      </w:r>
      <w:r w:rsidR="004D1CD4">
        <w:rPr>
          <w:rFonts w:eastAsia="Arial" w:cstheme="minorHAnsi"/>
          <w:color w:val="000000"/>
        </w:rPr>
        <w:t xml:space="preserve"> </w:t>
      </w:r>
      <w:r w:rsidR="00E44256">
        <w:rPr>
          <w:rFonts w:eastAsia="Arial" w:cstheme="minorHAnsi"/>
          <w:color w:val="000000"/>
        </w:rPr>
        <w:t>S</w:t>
      </w:r>
      <w:r w:rsidRPr="0045505E">
        <w:rPr>
          <w:rFonts w:eastAsia="Arial" w:cstheme="minorHAnsi"/>
          <w:color w:val="000000"/>
        </w:rPr>
        <w:t>hareholders.</w:t>
      </w:r>
    </w:p>
    <w:p w:rsidRPr="0045505E" w:rsidR="00D013EE" w:rsidP="00D013EE" w:rsidRDefault="00D013EE" w14:paraId="2301B6AA" w14:textId="77777777">
      <w:pPr>
        <w:spacing w:after="0"/>
        <w:textAlignment w:val="baseline"/>
        <w:rPr>
          <w:rFonts w:eastAsia="Arial" w:cstheme="minorHAnsi"/>
          <w:color w:val="000000"/>
        </w:rPr>
      </w:pPr>
    </w:p>
    <w:p w:rsidR="00D013EE" w:rsidP="00D013EE" w:rsidRDefault="00D013EE" w14:paraId="13C954C1" w14:textId="101FDC9C">
      <w:pPr>
        <w:spacing w:after="0"/>
        <w:textAlignment w:val="baseline"/>
        <w:rPr>
          <w:rFonts w:eastAsia="Arial" w:cstheme="minorHAnsi"/>
          <w:color w:val="000000"/>
        </w:rPr>
      </w:pPr>
      <w:r w:rsidRPr="0045505E">
        <w:rPr>
          <w:rFonts w:eastAsia="Arial" w:cstheme="minorHAnsi"/>
          <w:color w:val="000000"/>
        </w:rPr>
        <w:t xml:space="preserve">This disciplined and proactive investment process </w:t>
      </w:r>
      <w:r w:rsidR="00E44256">
        <w:rPr>
          <w:rFonts w:eastAsia="Arial" w:cstheme="minorHAnsi"/>
          <w:color w:val="000000"/>
        </w:rPr>
        <w:t xml:space="preserve">is intended to </w:t>
      </w:r>
      <w:r w:rsidRPr="0045505E">
        <w:rPr>
          <w:rFonts w:eastAsia="Arial" w:cstheme="minorHAnsi"/>
          <w:color w:val="000000"/>
        </w:rPr>
        <w:t xml:space="preserve">enable the </w:t>
      </w:r>
      <w:r w:rsidR="004D1CD4">
        <w:rPr>
          <w:rFonts w:eastAsia="Arial" w:cstheme="minorHAnsi"/>
          <w:color w:val="000000"/>
        </w:rPr>
        <w:t>Investment Manager</w:t>
      </w:r>
      <w:r w:rsidRPr="0045505E">
        <w:rPr>
          <w:rFonts w:eastAsia="Arial" w:cstheme="minorHAnsi"/>
          <w:color w:val="000000"/>
        </w:rPr>
        <w:t xml:space="preserve"> to identify compelling opportunities, build strong partnerships and create sustainable value for </w:t>
      </w:r>
      <w:r w:rsidR="00E44256">
        <w:rPr>
          <w:rFonts w:eastAsia="Arial" w:cstheme="minorHAnsi"/>
          <w:color w:val="000000"/>
        </w:rPr>
        <w:t>Shareholders</w:t>
      </w:r>
      <w:r w:rsidRPr="0045505E">
        <w:rPr>
          <w:rFonts w:eastAsia="Arial" w:cstheme="minorHAnsi"/>
          <w:color w:val="000000"/>
        </w:rPr>
        <w:t>.</w:t>
      </w:r>
    </w:p>
    <w:p w:rsidR="00EB2825" w:rsidP="00D013EE" w:rsidRDefault="00EB2825" w14:paraId="3A5E5557" w14:textId="77777777">
      <w:pPr>
        <w:spacing w:after="0"/>
        <w:textAlignment w:val="baseline"/>
        <w:rPr>
          <w:rFonts w:eastAsia="Arial" w:cstheme="minorHAnsi"/>
          <w:color w:val="000000"/>
        </w:rPr>
      </w:pPr>
    </w:p>
    <w:p w:rsidR="00EB2825" w:rsidP="00D013EE" w:rsidRDefault="00EB2825" w14:paraId="30032FD6" w14:textId="56AC70D4">
      <w:pPr>
        <w:spacing w:after="0"/>
        <w:textAlignment w:val="baseline"/>
        <w:rPr>
          <w:rFonts w:eastAsia="Arial" w:cstheme="minorHAnsi"/>
          <w:b/>
          <w:bCs/>
          <w:color w:val="000000"/>
        </w:rPr>
      </w:pPr>
      <w:r>
        <w:rPr>
          <w:rFonts w:eastAsia="Arial" w:cstheme="minorHAnsi"/>
          <w:b/>
          <w:bCs/>
          <w:color w:val="000000"/>
        </w:rPr>
        <w:t xml:space="preserve">Investment </w:t>
      </w:r>
      <w:r w:rsidR="00E44256">
        <w:rPr>
          <w:rFonts w:eastAsia="Arial" w:cstheme="minorHAnsi"/>
          <w:b/>
          <w:bCs/>
          <w:color w:val="000000"/>
        </w:rPr>
        <w:t>a</w:t>
      </w:r>
      <w:r>
        <w:rPr>
          <w:rFonts w:eastAsia="Arial" w:cstheme="minorHAnsi"/>
          <w:b/>
          <w:bCs/>
          <w:color w:val="000000"/>
        </w:rPr>
        <w:t>pproval</w:t>
      </w:r>
    </w:p>
    <w:p w:rsidR="00EB2825" w:rsidP="00D013EE" w:rsidRDefault="00EB2825" w14:paraId="7B88C2D6" w14:textId="77777777">
      <w:pPr>
        <w:spacing w:after="0"/>
        <w:textAlignment w:val="baseline"/>
        <w:rPr>
          <w:rFonts w:eastAsia="Arial" w:cstheme="minorHAnsi"/>
          <w:b/>
          <w:bCs/>
          <w:color w:val="000000"/>
        </w:rPr>
      </w:pPr>
    </w:p>
    <w:p w:rsidRPr="00EB2825" w:rsidR="00EB2825" w:rsidP="00D013EE" w:rsidRDefault="00EB2825" w14:paraId="5FFB25DD" w14:textId="63F4113A">
      <w:pPr>
        <w:spacing w:after="0"/>
        <w:textAlignment w:val="baseline"/>
        <w:rPr>
          <w:rFonts w:eastAsia="Arial" w:cstheme="minorHAnsi"/>
          <w:color w:val="000000"/>
        </w:rPr>
      </w:pPr>
      <w:r>
        <w:rPr>
          <w:rFonts w:eastAsia="Arial" w:cstheme="minorHAnsi"/>
          <w:color w:val="000000"/>
        </w:rPr>
        <w:t xml:space="preserve">As the Company's AIFM, the Investment Manager will have </w:t>
      </w:r>
      <w:r w:rsidR="00EF6639">
        <w:rPr>
          <w:rFonts w:eastAsia="Arial" w:cstheme="minorHAnsi"/>
          <w:color w:val="000000"/>
        </w:rPr>
        <w:t xml:space="preserve">discretionary investment authority to make investment decisions on behalf of the Company, provided that </w:t>
      </w:r>
      <w:r w:rsidRPr="00EF6639" w:rsidR="00EF6639">
        <w:rPr>
          <w:rFonts w:eastAsia="Arial" w:cstheme="minorHAnsi"/>
          <w:color w:val="000000"/>
        </w:rPr>
        <w:t xml:space="preserve">any </w:t>
      </w:r>
      <w:r w:rsidR="00EF6639">
        <w:rPr>
          <w:rFonts w:eastAsia="Arial" w:cstheme="minorHAnsi"/>
          <w:color w:val="000000"/>
        </w:rPr>
        <w:t>i</w:t>
      </w:r>
      <w:r w:rsidRPr="00EF6639" w:rsidR="00EF6639">
        <w:rPr>
          <w:rFonts w:eastAsia="Arial" w:cstheme="minorHAnsi"/>
          <w:color w:val="000000"/>
        </w:rPr>
        <w:t xml:space="preserve">nvestment which represents more than 25 per cent. of Net Asset Value at the time that such </w:t>
      </w:r>
      <w:r w:rsidR="00EF6639">
        <w:rPr>
          <w:rFonts w:eastAsia="Arial" w:cstheme="minorHAnsi"/>
          <w:color w:val="000000"/>
        </w:rPr>
        <w:t>i</w:t>
      </w:r>
      <w:r w:rsidRPr="00EF6639" w:rsidR="00EF6639">
        <w:rPr>
          <w:rFonts w:eastAsia="Arial" w:cstheme="minorHAnsi"/>
          <w:color w:val="000000"/>
        </w:rPr>
        <w:t xml:space="preserve">nvestment is made will need the </w:t>
      </w:r>
      <w:r w:rsidR="00E44256">
        <w:rPr>
          <w:rFonts w:eastAsia="Arial" w:cstheme="minorHAnsi"/>
          <w:color w:val="000000"/>
        </w:rPr>
        <w:t xml:space="preserve">additional </w:t>
      </w:r>
      <w:r w:rsidRPr="00EF6639" w:rsidR="00EF6639">
        <w:rPr>
          <w:rFonts w:eastAsia="Arial" w:cstheme="minorHAnsi"/>
          <w:color w:val="000000"/>
        </w:rPr>
        <w:t xml:space="preserve">prior approval of the </w:t>
      </w:r>
      <w:r w:rsidR="00040C8C">
        <w:rPr>
          <w:rFonts w:eastAsia="Arial" w:cstheme="minorHAnsi"/>
          <w:color w:val="000000"/>
        </w:rPr>
        <w:t>Directors</w:t>
      </w:r>
      <w:r w:rsidR="00EF6639">
        <w:rPr>
          <w:rFonts w:eastAsia="Arial" w:cstheme="minorHAnsi"/>
          <w:color w:val="000000"/>
        </w:rPr>
        <w:t>. A</w:t>
      </w:r>
      <w:r w:rsidRPr="00EF6639" w:rsidR="00EF6639">
        <w:rPr>
          <w:rFonts w:eastAsia="Arial" w:cstheme="minorHAnsi"/>
          <w:color w:val="000000"/>
        </w:rPr>
        <w:t>ny investment or divestment decision shall</w:t>
      </w:r>
      <w:r w:rsidR="00E44256">
        <w:rPr>
          <w:rFonts w:eastAsia="Arial" w:cstheme="minorHAnsi"/>
          <w:color w:val="000000"/>
        </w:rPr>
        <w:t>, however,</w:t>
      </w:r>
      <w:r w:rsidRPr="00EF6639" w:rsidR="00EF6639">
        <w:rPr>
          <w:rFonts w:eastAsia="Arial" w:cstheme="minorHAnsi"/>
          <w:color w:val="000000"/>
        </w:rPr>
        <w:t xml:space="preserve"> be made </w:t>
      </w:r>
      <w:r w:rsidR="00EF6639">
        <w:rPr>
          <w:rFonts w:eastAsia="Arial" w:cstheme="minorHAnsi"/>
          <w:color w:val="000000"/>
        </w:rPr>
        <w:t xml:space="preserve">solely </w:t>
      </w:r>
      <w:r w:rsidRPr="00EF6639" w:rsidR="00EF6639">
        <w:rPr>
          <w:rFonts w:eastAsia="Arial" w:cstheme="minorHAnsi"/>
          <w:color w:val="000000"/>
        </w:rPr>
        <w:t>by the Investment Manager</w:t>
      </w:r>
      <w:r w:rsidR="00EF6639">
        <w:rPr>
          <w:rFonts w:eastAsia="Arial" w:cstheme="minorHAnsi"/>
          <w:color w:val="000000"/>
        </w:rPr>
        <w:t xml:space="preserve"> in its capacity as the Company's AIFM.</w:t>
      </w:r>
    </w:p>
    <w:p w:rsidR="004D1CD4" w:rsidP="00D013EE" w:rsidRDefault="004D1CD4" w14:paraId="6628EA66" w14:textId="77777777">
      <w:pPr>
        <w:spacing w:after="0"/>
        <w:textAlignment w:val="baseline"/>
        <w:rPr>
          <w:rFonts w:eastAsia="Arial" w:cstheme="minorHAnsi"/>
          <w:color w:val="000000"/>
        </w:rPr>
      </w:pPr>
    </w:p>
    <w:p w:rsidR="004D1CD4" w:rsidP="00B921FE" w:rsidRDefault="004D1CD4" w14:paraId="246EBEAE" w14:textId="320314AC">
      <w:pPr>
        <w:pStyle w:val="Heading1"/>
        <w:tabs>
          <w:tab w:val="clear" w:pos="1134"/>
          <w:tab w:val="num" w:pos="709"/>
        </w:tabs>
        <w:ind w:left="709" w:hanging="709"/>
        <w:rPr>
          <w:rFonts w:cs="Arial"/>
          <w:caps w:val="0"/>
        </w:rPr>
      </w:pPr>
      <w:r>
        <w:rPr>
          <w:rFonts w:cs="Arial"/>
          <w:caps w:val="0"/>
        </w:rPr>
        <w:t xml:space="preserve">TRACK RECORD OF THE KEY </w:t>
      </w:r>
      <w:r w:rsidR="00E44256">
        <w:rPr>
          <w:rFonts w:cs="Arial"/>
          <w:caps w:val="0"/>
        </w:rPr>
        <w:t>INVESTMENT PROFESSIONALS</w:t>
      </w:r>
      <w:r>
        <w:rPr>
          <w:rFonts w:cs="Arial"/>
          <w:caps w:val="0"/>
        </w:rPr>
        <w:t xml:space="preserve"> OF THE INVESTMENT MANAGER</w:t>
      </w:r>
    </w:p>
    <w:p w:rsidR="004D1CD4" w:rsidP="004D1CD4" w:rsidRDefault="004D1CD4" w14:paraId="0CE006CE" w14:textId="75CECD0E">
      <w:pPr>
        <w:spacing w:after="0"/>
      </w:pPr>
      <w:r>
        <w:t>Christopher Mills</w:t>
      </w:r>
      <w:r w:rsidR="00E44256">
        <w:t>, who</w:t>
      </w:r>
      <w:r>
        <w:t xml:space="preserve"> </w:t>
      </w:r>
      <w:r w:rsidR="00E44256">
        <w:t>is</w:t>
      </w:r>
      <w:r>
        <w:t xml:space="preserve"> the chief executive and lead fund manager for North Atlantic Smaller Companies </w:t>
      </w:r>
      <w:r w:rsidR="00EA2C8D">
        <w:t xml:space="preserve">Investment Trust </w:t>
      </w:r>
      <w:r w:rsidR="00EE63AF">
        <w:t>PLC</w:t>
      </w:r>
      <w:r w:rsidR="00E44256">
        <w:t>,</w:t>
      </w:r>
      <w:r>
        <w:t xml:space="preserve"> has the following track record</w:t>
      </w:r>
      <w:r w:rsidR="00AA24CD">
        <w:t xml:space="preserve"> at </w:t>
      </w:r>
      <w:r w:rsidR="00EE63AF">
        <w:t>that</w:t>
      </w:r>
      <w:r w:rsidR="00AA24CD">
        <w:t xml:space="preserve"> fund</w:t>
      </w:r>
      <w:r w:rsidR="00EE63AF">
        <w:t xml:space="preserve"> as </w:t>
      </w:r>
      <w:proofErr w:type="gramStart"/>
      <w:r w:rsidR="00EE63AF">
        <w:t>at</w:t>
      </w:r>
      <w:proofErr w:type="gramEnd"/>
      <w:r w:rsidR="00EE63AF">
        <w:t xml:space="preserve"> 31 December 2024 (unless otherwise stated)</w:t>
      </w:r>
      <w:r w:rsidR="00FE6B98">
        <w:t>:</w:t>
      </w:r>
    </w:p>
    <w:p w:rsidRPr="004D1CD4" w:rsidR="00E44256" w:rsidP="004D1CD4" w:rsidRDefault="00E44256" w14:paraId="411A7209" w14:textId="77777777">
      <w:pPr>
        <w:spacing w:after="0"/>
        <w:rPr>
          <w:rFonts w:cs="Arial"/>
        </w:rPr>
      </w:pPr>
    </w:p>
    <w:tbl>
      <w:tblPr>
        <w:tblW w:w="7040" w:type="dxa"/>
        <w:tblLook w:val="04A0" w:firstRow="1" w:lastRow="0" w:firstColumn="1" w:lastColumn="0" w:noHBand="0" w:noVBand="1"/>
      </w:tblPr>
      <w:tblGrid>
        <w:gridCol w:w="3280"/>
        <w:gridCol w:w="1860"/>
        <w:gridCol w:w="1900"/>
      </w:tblGrid>
      <w:tr w:rsidRPr="004D1CD4" w:rsidR="004D1CD4" w:rsidTr="00EE7857" w14:paraId="435EB3E8" w14:textId="77777777">
        <w:trPr>
          <w:trHeight w:val="315"/>
        </w:trPr>
        <w:tc>
          <w:tcPr>
            <w:tcW w:w="3280" w:type="dxa"/>
            <w:shd w:val="clear" w:color="auto" w:fill="auto"/>
            <w:vAlign w:val="center"/>
            <w:hideMark/>
          </w:tcPr>
          <w:p w:rsidRPr="004D1CD4" w:rsidR="004D1CD4" w:rsidP="00EE7857" w:rsidRDefault="004D1CD4" w14:paraId="3D4D275E" w14:textId="1363C422">
            <w:pPr>
              <w:spacing w:after="0"/>
              <w:ind w:firstLine="28" w:firstLineChars="14"/>
              <w:rPr>
                <w:rFonts w:cs="Arial"/>
                <w:b/>
                <w:bCs/>
                <w:color w:val="000000"/>
              </w:rPr>
            </w:pPr>
            <w:r w:rsidRPr="004D1CD4">
              <w:rPr>
                <w:rFonts w:cs="Arial"/>
                <w:b/>
                <w:bCs/>
                <w:color w:val="000000"/>
              </w:rPr>
              <w:t xml:space="preserve">Time </w:t>
            </w:r>
            <w:r w:rsidR="00BF1B18">
              <w:rPr>
                <w:rFonts w:cs="Arial"/>
                <w:b/>
                <w:bCs/>
                <w:color w:val="000000"/>
              </w:rPr>
              <w:t>p</w:t>
            </w:r>
            <w:r w:rsidRPr="004D1CD4">
              <w:rPr>
                <w:rFonts w:cs="Arial"/>
                <w:b/>
                <w:bCs/>
                <w:color w:val="000000"/>
              </w:rPr>
              <w:t>eriod</w:t>
            </w:r>
          </w:p>
        </w:tc>
        <w:tc>
          <w:tcPr>
            <w:tcW w:w="1860" w:type="dxa"/>
            <w:shd w:val="clear" w:color="auto" w:fill="auto"/>
            <w:vAlign w:val="center"/>
            <w:hideMark/>
          </w:tcPr>
          <w:p w:rsidRPr="004D1CD4" w:rsidR="004D1CD4" w:rsidP="00EE7857" w:rsidRDefault="00BF1B18" w14:paraId="53EC18AA" w14:textId="451619B8">
            <w:pPr>
              <w:spacing w:after="0"/>
              <w:ind w:firstLine="402" w:firstLineChars="200"/>
              <w:jc w:val="right"/>
              <w:rPr>
                <w:rFonts w:cs="Arial"/>
                <w:b/>
                <w:bCs/>
                <w:color w:val="000000"/>
              </w:rPr>
            </w:pPr>
            <w:r>
              <w:rPr>
                <w:rFonts w:cs="Arial"/>
                <w:b/>
                <w:bCs/>
                <w:color w:val="000000"/>
              </w:rPr>
              <w:t>Net asset value r</w:t>
            </w:r>
            <w:r w:rsidRPr="004D1CD4" w:rsidR="004D1CD4">
              <w:rPr>
                <w:rFonts w:cs="Arial"/>
                <w:b/>
                <w:bCs/>
                <w:color w:val="000000"/>
              </w:rPr>
              <w:t>eturn (%)</w:t>
            </w:r>
          </w:p>
        </w:tc>
        <w:tc>
          <w:tcPr>
            <w:tcW w:w="1900" w:type="dxa"/>
            <w:shd w:val="clear" w:color="auto" w:fill="auto"/>
            <w:vAlign w:val="center"/>
            <w:hideMark/>
          </w:tcPr>
          <w:p w:rsidRPr="004D1CD4" w:rsidR="004D1CD4" w:rsidP="00EE7857" w:rsidRDefault="004D1CD4" w14:paraId="237B1198" w14:textId="2E622B9C">
            <w:pPr>
              <w:spacing w:after="0"/>
              <w:ind w:firstLine="402" w:firstLineChars="200"/>
              <w:jc w:val="right"/>
              <w:rPr>
                <w:rFonts w:cs="Arial"/>
                <w:b/>
                <w:bCs/>
                <w:color w:val="000000"/>
              </w:rPr>
            </w:pPr>
            <w:r w:rsidRPr="004D1CD4">
              <w:rPr>
                <w:rFonts w:cs="Arial"/>
                <w:b/>
                <w:bCs/>
                <w:color w:val="000000"/>
              </w:rPr>
              <w:t xml:space="preserve">Price </w:t>
            </w:r>
            <w:r w:rsidR="00BF1B18">
              <w:rPr>
                <w:rFonts w:cs="Arial"/>
                <w:b/>
                <w:bCs/>
                <w:color w:val="000000"/>
              </w:rPr>
              <w:t>r</w:t>
            </w:r>
            <w:r w:rsidRPr="004D1CD4">
              <w:rPr>
                <w:rFonts w:cs="Arial"/>
                <w:b/>
                <w:bCs/>
                <w:color w:val="000000"/>
              </w:rPr>
              <w:t>eturn (%)</w:t>
            </w:r>
          </w:p>
        </w:tc>
      </w:tr>
      <w:tr w:rsidRPr="004D1CD4" w:rsidR="004D1CD4" w:rsidTr="00EE7857" w14:paraId="6DBCF63D" w14:textId="77777777">
        <w:trPr>
          <w:trHeight w:val="315"/>
        </w:trPr>
        <w:tc>
          <w:tcPr>
            <w:tcW w:w="3280" w:type="dxa"/>
            <w:shd w:val="clear" w:color="auto" w:fill="auto"/>
            <w:vAlign w:val="center"/>
            <w:hideMark/>
          </w:tcPr>
          <w:p w:rsidRPr="004D1CD4" w:rsidR="004D1CD4" w:rsidP="00EE7857" w:rsidRDefault="004D1CD4" w14:paraId="2328B442" w14:textId="507656BF">
            <w:pPr>
              <w:spacing w:after="0"/>
              <w:ind w:firstLine="28" w:firstLineChars="14"/>
              <w:rPr>
                <w:rFonts w:cs="Arial"/>
                <w:color w:val="000000"/>
              </w:rPr>
            </w:pPr>
            <w:r w:rsidRPr="004D1CD4">
              <w:rPr>
                <w:rFonts w:cs="Arial"/>
                <w:color w:val="000000"/>
              </w:rPr>
              <w:t xml:space="preserve">1 </w:t>
            </w:r>
            <w:r w:rsidR="00BF1B18">
              <w:rPr>
                <w:rFonts w:cs="Arial"/>
                <w:color w:val="000000"/>
              </w:rPr>
              <w:t>m</w:t>
            </w:r>
            <w:r w:rsidRPr="004D1CD4">
              <w:rPr>
                <w:rFonts w:cs="Arial"/>
                <w:color w:val="000000"/>
              </w:rPr>
              <w:t>onth</w:t>
            </w:r>
          </w:p>
        </w:tc>
        <w:tc>
          <w:tcPr>
            <w:tcW w:w="1860" w:type="dxa"/>
            <w:shd w:val="clear" w:color="auto" w:fill="auto"/>
            <w:vAlign w:val="center"/>
            <w:hideMark/>
          </w:tcPr>
          <w:p w:rsidRPr="004D1CD4" w:rsidR="004D1CD4" w:rsidP="00EE7857" w:rsidRDefault="00EE63AF" w14:paraId="6B980DCF" w14:textId="0E8379FC">
            <w:pPr>
              <w:spacing w:after="0"/>
              <w:ind w:firstLine="400" w:firstLineChars="200"/>
              <w:jc w:val="right"/>
              <w:rPr>
                <w:rFonts w:cs="Arial"/>
                <w:color w:val="000000"/>
              </w:rPr>
            </w:pPr>
            <w:r>
              <w:rPr>
                <w:rFonts w:cs="Arial"/>
                <w:color w:val="000000"/>
              </w:rPr>
              <w:t>0.12</w:t>
            </w:r>
          </w:p>
        </w:tc>
        <w:tc>
          <w:tcPr>
            <w:tcW w:w="1900" w:type="dxa"/>
            <w:shd w:val="clear" w:color="auto" w:fill="auto"/>
            <w:vAlign w:val="center"/>
            <w:hideMark/>
          </w:tcPr>
          <w:p w:rsidRPr="004D1CD4" w:rsidR="004D1CD4" w:rsidP="00EE7857" w:rsidRDefault="004D1CD4" w14:paraId="4356A321" w14:textId="5DA6F23F">
            <w:pPr>
              <w:spacing w:after="0"/>
              <w:ind w:firstLine="400" w:firstLineChars="200"/>
              <w:jc w:val="right"/>
              <w:rPr>
                <w:rFonts w:cs="Arial"/>
                <w:color w:val="000000"/>
              </w:rPr>
            </w:pPr>
            <w:r w:rsidRPr="004D1CD4">
              <w:rPr>
                <w:rFonts w:cs="Arial"/>
                <w:color w:val="000000"/>
              </w:rPr>
              <w:t>-</w:t>
            </w:r>
            <w:r w:rsidR="00EE63AF">
              <w:rPr>
                <w:rFonts w:cs="Arial"/>
                <w:color w:val="000000"/>
              </w:rPr>
              <w:t>2.39</w:t>
            </w:r>
          </w:p>
        </w:tc>
      </w:tr>
      <w:tr w:rsidRPr="004D1CD4" w:rsidR="004D1CD4" w:rsidTr="00EE7857" w14:paraId="6B4667B7" w14:textId="77777777">
        <w:trPr>
          <w:trHeight w:val="315"/>
        </w:trPr>
        <w:tc>
          <w:tcPr>
            <w:tcW w:w="3280" w:type="dxa"/>
            <w:shd w:val="clear" w:color="auto" w:fill="auto"/>
            <w:vAlign w:val="center"/>
            <w:hideMark/>
          </w:tcPr>
          <w:p w:rsidRPr="004D1CD4" w:rsidR="004D1CD4" w:rsidP="00EE7857" w:rsidRDefault="004D1CD4" w14:paraId="053F666B" w14:textId="55A0BC73">
            <w:pPr>
              <w:spacing w:after="0"/>
              <w:ind w:firstLine="28" w:firstLineChars="14"/>
              <w:rPr>
                <w:rFonts w:cs="Arial"/>
                <w:color w:val="000000"/>
              </w:rPr>
            </w:pPr>
            <w:r w:rsidRPr="004D1CD4">
              <w:rPr>
                <w:rFonts w:cs="Arial"/>
                <w:color w:val="000000"/>
              </w:rPr>
              <w:t xml:space="preserve">3 </w:t>
            </w:r>
            <w:r w:rsidR="00BF1B18">
              <w:rPr>
                <w:rFonts w:cs="Arial"/>
                <w:color w:val="000000"/>
              </w:rPr>
              <w:t>m</w:t>
            </w:r>
            <w:r w:rsidRPr="004D1CD4">
              <w:rPr>
                <w:rFonts w:cs="Arial"/>
                <w:color w:val="000000"/>
              </w:rPr>
              <w:t>onths</w:t>
            </w:r>
          </w:p>
        </w:tc>
        <w:tc>
          <w:tcPr>
            <w:tcW w:w="1860" w:type="dxa"/>
            <w:shd w:val="clear" w:color="auto" w:fill="auto"/>
            <w:vAlign w:val="center"/>
            <w:hideMark/>
          </w:tcPr>
          <w:p w:rsidRPr="004D1CD4" w:rsidR="004D1CD4" w:rsidP="00EE7857" w:rsidRDefault="00EE63AF" w14:paraId="6C48CBD8" w14:textId="4FB17C03">
            <w:pPr>
              <w:spacing w:after="0"/>
              <w:ind w:firstLine="400" w:firstLineChars="200"/>
              <w:jc w:val="right"/>
              <w:rPr>
                <w:rFonts w:cs="Arial"/>
                <w:color w:val="000000"/>
              </w:rPr>
            </w:pPr>
            <w:r>
              <w:rPr>
                <w:rFonts w:cs="Arial"/>
                <w:color w:val="000000"/>
              </w:rPr>
              <w:t>-1.28</w:t>
            </w:r>
          </w:p>
        </w:tc>
        <w:tc>
          <w:tcPr>
            <w:tcW w:w="1900" w:type="dxa"/>
            <w:shd w:val="clear" w:color="auto" w:fill="auto"/>
            <w:vAlign w:val="center"/>
            <w:hideMark/>
          </w:tcPr>
          <w:p w:rsidRPr="004D1CD4" w:rsidR="004D1CD4" w:rsidP="00EE7857" w:rsidRDefault="004D1CD4" w14:paraId="3FC1076B" w14:textId="5EBA53F2">
            <w:pPr>
              <w:spacing w:after="0"/>
              <w:ind w:firstLine="400" w:firstLineChars="200"/>
              <w:jc w:val="right"/>
              <w:rPr>
                <w:rFonts w:cs="Arial"/>
                <w:color w:val="000000"/>
              </w:rPr>
            </w:pPr>
            <w:r w:rsidRPr="004D1CD4">
              <w:rPr>
                <w:rFonts w:cs="Arial"/>
                <w:color w:val="000000"/>
              </w:rPr>
              <w:t>-</w:t>
            </w:r>
            <w:r w:rsidR="00EE63AF">
              <w:rPr>
                <w:rFonts w:cs="Arial"/>
                <w:color w:val="000000"/>
              </w:rPr>
              <w:t>8.02</w:t>
            </w:r>
          </w:p>
        </w:tc>
      </w:tr>
      <w:tr w:rsidRPr="004D1CD4" w:rsidR="004D1CD4" w:rsidTr="00EE7857" w14:paraId="7701A08B" w14:textId="77777777">
        <w:trPr>
          <w:trHeight w:val="315"/>
        </w:trPr>
        <w:tc>
          <w:tcPr>
            <w:tcW w:w="3280" w:type="dxa"/>
            <w:shd w:val="clear" w:color="auto" w:fill="auto"/>
            <w:vAlign w:val="center"/>
            <w:hideMark/>
          </w:tcPr>
          <w:p w:rsidRPr="004D1CD4" w:rsidR="004D1CD4" w:rsidP="00EE7857" w:rsidRDefault="004D1CD4" w14:paraId="0705BB24" w14:textId="15B141C3">
            <w:pPr>
              <w:spacing w:after="0"/>
              <w:ind w:firstLine="28" w:firstLineChars="14"/>
              <w:rPr>
                <w:rFonts w:cs="Arial"/>
                <w:color w:val="000000"/>
              </w:rPr>
            </w:pPr>
            <w:r w:rsidRPr="004D1CD4">
              <w:rPr>
                <w:rFonts w:cs="Arial"/>
                <w:color w:val="000000"/>
              </w:rPr>
              <w:t xml:space="preserve">6 </w:t>
            </w:r>
            <w:r w:rsidR="00BF1B18">
              <w:rPr>
                <w:rFonts w:cs="Arial"/>
                <w:color w:val="000000"/>
              </w:rPr>
              <w:t>m</w:t>
            </w:r>
            <w:r w:rsidRPr="004D1CD4">
              <w:rPr>
                <w:rFonts w:cs="Arial"/>
                <w:color w:val="000000"/>
              </w:rPr>
              <w:t>onths</w:t>
            </w:r>
          </w:p>
        </w:tc>
        <w:tc>
          <w:tcPr>
            <w:tcW w:w="1860" w:type="dxa"/>
            <w:shd w:val="clear" w:color="auto" w:fill="auto"/>
            <w:vAlign w:val="center"/>
            <w:hideMark/>
          </w:tcPr>
          <w:p w:rsidRPr="004D1CD4" w:rsidR="004D1CD4" w:rsidP="00EE7857" w:rsidRDefault="004D1CD4" w14:paraId="01E8F7AC" w14:textId="4625C9BE">
            <w:pPr>
              <w:spacing w:after="0"/>
              <w:ind w:firstLine="400" w:firstLineChars="200"/>
              <w:jc w:val="right"/>
              <w:rPr>
                <w:rFonts w:cs="Arial"/>
                <w:color w:val="000000"/>
              </w:rPr>
            </w:pPr>
            <w:r w:rsidRPr="004D1CD4">
              <w:rPr>
                <w:rFonts w:cs="Arial"/>
                <w:color w:val="000000"/>
              </w:rPr>
              <w:t>-</w:t>
            </w:r>
            <w:r w:rsidR="00EE63AF">
              <w:rPr>
                <w:rFonts w:cs="Arial"/>
                <w:color w:val="000000"/>
              </w:rPr>
              <w:t>1.51</w:t>
            </w:r>
          </w:p>
        </w:tc>
        <w:tc>
          <w:tcPr>
            <w:tcW w:w="1900" w:type="dxa"/>
            <w:shd w:val="clear" w:color="auto" w:fill="auto"/>
            <w:vAlign w:val="center"/>
            <w:hideMark/>
          </w:tcPr>
          <w:p w:rsidRPr="004D1CD4" w:rsidR="004D1CD4" w:rsidP="00EE7857" w:rsidRDefault="004D1CD4" w14:paraId="61723FAC" w14:textId="2B370EB5">
            <w:pPr>
              <w:spacing w:after="0"/>
              <w:ind w:firstLine="400" w:firstLineChars="200"/>
              <w:jc w:val="right"/>
              <w:rPr>
                <w:rFonts w:cs="Arial"/>
                <w:color w:val="000000"/>
              </w:rPr>
            </w:pPr>
            <w:r w:rsidRPr="004D1CD4">
              <w:rPr>
                <w:rFonts w:cs="Arial"/>
                <w:color w:val="000000"/>
              </w:rPr>
              <w:t>-</w:t>
            </w:r>
            <w:r w:rsidR="00EE63AF">
              <w:rPr>
                <w:rFonts w:cs="Arial"/>
                <w:color w:val="000000"/>
              </w:rPr>
              <w:t>6.85</w:t>
            </w:r>
          </w:p>
        </w:tc>
      </w:tr>
      <w:tr w:rsidRPr="004D1CD4" w:rsidR="004D1CD4" w:rsidTr="00EE7857" w14:paraId="3C199C82" w14:textId="77777777">
        <w:trPr>
          <w:trHeight w:val="315"/>
        </w:trPr>
        <w:tc>
          <w:tcPr>
            <w:tcW w:w="3280" w:type="dxa"/>
            <w:shd w:val="clear" w:color="auto" w:fill="auto"/>
            <w:vAlign w:val="center"/>
            <w:hideMark/>
          </w:tcPr>
          <w:p w:rsidRPr="004D1CD4" w:rsidR="004D1CD4" w:rsidP="00EE7857" w:rsidRDefault="004D1CD4" w14:paraId="1478FD65" w14:textId="1AA0CAC4">
            <w:pPr>
              <w:spacing w:after="0"/>
              <w:ind w:firstLine="28" w:firstLineChars="14"/>
              <w:rPr>
                <w:rFonts w:cs="Arial"/>
                <w:color w:val="000000"/>
              </w:rPr>
            </w:pPr>
            <w:r w:rsidRPr="004D1CD4">
              <w:rPr>
                <w:rFonts w:cs="Arial"/>
                <w:color w:val="000000"/>
              </w:rPr>
              <w:t xml:space="preserve">1 </w:t>
            </w:r>
            <w:r w:rsidR="00BF1B18">
              <w:rPr>
                <w:rFonts w:cs="Arial"/>
                <w:color w:val="000000"/>
              </w:rPr>
              <w:t>y</w:t>
            </w:r>
            <w:r w:rsidRPr="004D1CD4">
              <w:rPr>
                <w:rFonts w:cs="Arial"/>
                <w:color w:val="000000"/>
              </w:rPr>
              <w:t>ear</w:t>
            </w:r>
          </w:p>
        </w:tc>
        <w:tc>
          <w:tcPr>
            <w:tcW w:w="1860" w:type="dxa"/>
            <w:shd w:val="clear" w:color="auto" w:fill="auto"/>
            <w:vAlign w:val="center"/>
            <w:hideMark/>
          </w:tcPr>
          <w:p w:rsidRPr="004D1CD4" w:rsidR="004D1CD4" w:rsidP="00EE7857" w:rsidRDefault="00EE63AF" w14:paraId="009DB9C7" w14:textId="7EB184C4">
            <w:pPr>
              <w:spacing w:after="0"/>
              <w:ind w:firstLine="400" w:firstLineChars="200"/>
              <w:jc w:val="right"/>
              <w:rPr>
                <w:rFonts w:cs="Arial"/>
                <w:color w:val="000000"/>
              </w:rPr>
            </w:pPr>
            <w:r>
              <w:rPr>
                <w:rFonts w:cs="Arial"/>
                <w:color w:val="000000"/>
              </w:rPr>
              <w:t>4.69</w:t>
            </w:r>
          </w:p>
        </w:tc>
        <w:tc>
          <w:tcPr>
            <w:tcW w:w="1900" w:type="dxa"/>
            <w:shd w:val="clear" w:color="auto" w:fill="auto"/>
            <w:vAlign w:val="center"/>
            <w:hideMark/>
          </w:tcPr>
          <w:p w:rsidRPr="004D1CD4" w:rsidR="004D1CD4" w:rsidP="00EE7857" w:rsidRDefault="00EE63AF" w14:paraId="3DECAF9B" w14:textId="269DA509">
            <w:pPr>
              <w:spacing w:after="0"/>
              <w:ind w:firstLine="400" w:firstLineChars="200"/>
              <w:jc w:val="right"/>
              <w:rPr>
                <w:rFonts w:cs="Arial"/>
                <w:color w:val="000000"/>
              </w:rPr>
            </w:pPr>
            <w:r>
              <w:rPr>
                <w:rFonts w:cs="Arial"/>
                <w:color w:val="000000"/>
              </w:rPr>
              <w:t>-4.92</w:t>
            </w:r>
          </w:p>
        </w:tc>
      </w:tr>
      <w:tr w:rsidRPr="004D1CD4" w:rsidR="004D1CD4" w:rsidTr="00EE7857" w14:paraId="56AA8759" w14:textId="77777777">
        <w:trPr>
          <w:trHeight w:val="315"/>
        </w:trPr>
        <w:tc>
          <w:tcPr>
            <w:tcW w:w="3280" w:type="dxa"/>
            <w:shd w:val="clear" w:color="auto" w:fill="auto"/>
            <w:vAlign w:val="center"/>
            <w:hideMark/>
          </w:tcPr>
          <w:p w:rsidRPr="004D1CD4" w:rsidR="004D1CD4" w:rsidP="00EE7857" w:rsidRDefault="004D1CD4" w14:paraId="3D960C4E" w14:textId="0F58DC66">
            <w:pPr>
              <w:spacing w:after="0"/>
              <w:ind w:firstLine="28" w:firstLineChars="14"/>
              <w:rPr>
                <w:rFonts w:cs="Arial"/>
                <w:color w:val="000000"/>
              </w:rPr>
            </w:pPr>
            <w:r w:rsidRPr="004D1CD4">
              <w:rPr>
                <w:rFonts w:cs="Arial"/>
                <w:color w:val="000000"/>
              </w:rPr>
              <w:t xml:space="preserve">Year to </w:t>
            </w:r>
            <w:r w:rsidR="00BF1B18">
              <w:rPr>
                <w:rFonts w:cs="Arial"/>
                <w:color w:val="000000"/>
              </w:rPr>
              <w:t>d</w:t>
            </w:r>
            <w:r w:rsidRPr="004D1CD4">
              <w:rPr>
                <w:rFonts w:cs="Arial"/>
                <w:color w:val="000000"/>
              </w:rPr>
              <w:t>ate</w:t>
            </w:r>
          </w:p>
        </w:tc>
        <w:tc>
          <w:tcPr>
            <w:tcW w:w="1860" w:type="dxa"/>
            <w:shd w:val="clear" w:color="auto" w:fill="auto"/>
            <w:vAlign w:val="center"/>
            <w:hideMark/>
          </w:tcPr>
          <w:p w:rsidRPr="004D1CD4" w:rsidR="004D1CD4" w:rsidP="00EE7857" w:rsidRDefault="004D1CD4" w14:paraId="4062E773" w14:textId="69A74931">
            <w:pPr>
              <w:spacing w:after="0"/>
              <w:ind w:firstLine="400" w:firstLineChars="200"/>
              <w:jc w:val="right"/>
              <w:rPr>
                <w:rFonts w:cs="Arial"/>
                <w:color w:val="000000"/>
              </w:rPr>
            </w:pPr>
            <w:r w:rsidRPr="004D1CD4">
              <w:rPr>
                <w:rFonts w:cs="Arial"/>
                <w:color w:val="000000"/>
              </w:rPr>
              <w:t>4.</w:t>
            </w:r>
            <w:r w:rsidR="00EE63AF">
              <w:rPr>
                <w:rFonts w:cs="Arial"/>
                <w:color w:val="000000"/>
              </w:rPr>
              <w:t>69</w:t>
            </w:r>
          </w:p>
        </w:tc>
        <w:tc>
          <w:tcPr>
            <w:tcW w:w="1900" w:type="dxa"/>
            <w:shd w:val="clear" w:color="auto" w:fill="auto"/>
            <w:vAlign w:val="center"/>
            <w:hideMark/>
          </w:tcPr>
          <w:p w:rsidRPr="004D1CD4" w:rsidR="004D1CD4" w:rsidP="00EE7857" w:rsidRDefault="004D1CD4" w14:paraId="2D55FBD3" w14:textId="79FE6E01">
            <w:pPr>
              <w:spacing w:after="0"/>
              <w:ind w:firstLine="400" w:firstLineChars="200"/>
              <w:jc w:val="right"/>
              <w:rPr>
                <w:rFonts w:cs="Arial"/>
                <w:color w:val="000000"/>
              </w:rPr>
            </w:pPr>
            <w:r w:rsidRPr="004D1CD4">
              <w:rPr>
                <w:rFonts w:cs="Arial"/>
                <w:color w:val="000000"/>
              </w:rPr>
              <w:t>-</w:t>
            </w:r>
            <w:r w:rsidR="00EE63AF">
              <w:rPr>
                <w:rFonts w:cs="Arial"/>
                <w:color w:val="000000"/>
              </w:rPr>
              <w:t>4.92</w:t>
            </w:r>
          </w:p>
        </w:tc>
      </w:tr>
      <w:tr w:rsidRPr="004D1CD4" w:rsidR="004D1CD4" w:rsidTr="00EE7857" w14:paraId="6E41D544" w14:textId="77777777">
        <w:trPr>
          <w:trHeight w:val="315"/>
        </w:trPr>
        <w:tc>
          <w:tcPr>
            <w:tcW w:w="3280" w:type="dxa"/>
            <w:shd w:val="clear" w:color="auto" w:fill="auto"/>
            <w:vAlign w:val="center"/>
            <w:hideMark/>
          </w:tcPr>
          <w:p w:rsidRPr="004D1CD4" w:rsidR="004D1CD4" w:rsidP="00EE7857" w:rsidRDefault="004D1CD4" w14:paraId="671735ED" w14:textId="4288A9E8">
            <w:pPr>
              <w:spacing w:after="0"/>
              <w:ind w:firstLine="28" w:firstLineChars="14"/>
              <w:rPr>
                <w:rFonts w:cs="Arial"/>
                <w:color w:val="000000"/>
              </w:rPr>
            </w:pPr>
            <w:r w:rsidRPr="004D1CD4">
              <w:rPr>
                <w:rFonts w:cs="Arial"/>
                <w:color w:val="000000"/>
              </w:rPr>
              <w:t xml:space="preserve">3 </w:t>
            </w:r>
            <w:r w:rsidR="00BF1B18">
              <w:rPr>
                <w:rFonts w:cs="Arial"/>
                <w:color w:val="000000"/>
              </w:rPr>
              <w:t>y</w:t>
            </w:r>
            <w:r w:rsidRPr="004D1CD4">
              <w:rPr>
                <w:rFonts w:cs="Arial"/>
                <w:color w:val="000000"/>
              </w:rPr>
              <w:t xml:space="preserve">ears </w:t>
            </w:r>
            <w:r w:rsidR="00BF1B18">
              <w:rPr>
                <w:rFonts w:cs="Arial"/>
                <w:color w:val="000000"/>
              </w:rPr>
              <w:t>a</w:t>
            </w:r>
            <w:r w:rsidRPr="004D1CD4">
              <w:rPr>
                <w:rFonts w:cs="Arial"/>
                <w:color w:val="000000"/>
              </w:rPr>
              <w:t>n</w:t>
            </w:r>
            <w:r w:rsidR="00EE63AF">
              <w:rPr>
                <w:rFonts w:cs="Arial"/>
                <w:color w:val="000000"/>
              </w:rPr>
              <w:t>nualised</w:t>
            </w:r>
          </w:p>
        </w:tc>
        <w:tc>
          <w:tcPr>
            <w:tcW w:w="1860" w:type="dxa"/>
            <w:shd w:val="clear" w:color="auto" w:fill="auto"/>
            <w:vAlign w:val="center"/>
            <w:hideMark/>
          </w:tcPr>
          <w:p w:rsidRPr="004D1CD4" w:rsidR="004D1CD4" w:rsidP="00EE7857" w:rsidRDefault="004D1CD4" w14:paraId="007CA1B7" w14:textId="10F221A9">
            <w:pPr>
              <w:spacing w:after="0"/>
              <w:ind w:firstLine="400" w:firstLineChars="200"/>
              <w:jc w:val="right"/>
              <w:rPr>
                <w:rFonts w:cs="Arial"/>
                <w:color w:val="000000"/>
              </w:rPr>
            </w:pPr>
            <w:r w:rsidRPr="004D1CD4">
              <w:rPr>
                <w:rFonts w:cs="Arial"/>
                <w:color w:val="000000"/>
              </w:rPr>
              <w:t>-</w:t>
            </w:r>
            <w:r w:rsidR="00EE63AF">
              <w:rPr>
                <w:rFonts w:cs="Arial"/>
                <w:color w:val="000000"/>
              </w:rPr>
              <w:t>3.43</w:t>
            </w:r>
          </w:p>
        </w:tc>
        <w:tc>
          <w:tcPr>
            <w:tcW w:w="1900" w:type="dxa"/>
            <w:shd w:val="clear" w:color="auto" w:fill="auto"/>
            <w:vAlign w:val="center"/>
            <w:hideMark/>
          </w:tcPr>
          <w:p w:rsidRPr="004D1CD4" w:rsidR="004D1CD4" w:rsidP="00EE7857" w:rsidRDefault="004D1CD4" w14:paraId="48548A13" w14:textId="0A425FC0">
            <w:pPr>
              <w:spacing w:after="0"/>
              <w:ind w:firstLine="400" w:firstLineChars="200"/>
              <w:jc w:val="right"/>
              <w:rPr>
                <w:rFonts w:cs="Arial"/>
                <w:color w:val="000000"/>
              </w:rPr>
            </w:pPr>
            <w:r w:rsidRPr="004D1CD4">
              <w:rPr>
                <w:rFonts w:cs="Arial"/>
                <w:color w:val="000000"/>
              </w:rPr>
              <w:t>-7.</w:t>
            </w:r>
            <w:r w:rsidR="00EE63AF">
              <w:rPr>
                <w:rFonts w:cs="Arial"/>
                <w:color w:val="000000"/>
              </w:rPr>
              <w:t>91</w:t>
            </w:r>
          </w:p>
        </w:tc>
      </w:tr>
      <w:tr w:rsidRPr="004D1CD4" w:rsidR="004D1CD4" w:rsidTr="00EE7857" w14:paraId="6AFCF625" w14:textId="77777777">
        <w:trPr>
          <w:trHeight w:val="315"/>
        </w:trPr>
        <w:tc>
          <w:tcPr>
            <w:tcW w:w="3280" w:type="dxa"/>
            <w:shd w:val="clear" w:color="auto" w:fill="auto"/>
            <w:vAlign w:val="center"/>
            <w:hideMark/>
          </w:tcPr>
          <w:p w:rsidRPr="004D1CD4" w:rsidR="004D1CD4" w:rsidP="00EE7857" w:rsidRDefault="004D1CD4" w14:paraId="6E9F7940" w14:textId="25C6612E">
            <w:pPr>
              <w:spacing w:after="0"/>
              <w:ind w:firstLine="28" w:firstLineChars="14"/>
              <w:rPr>
                <w:rFonts w:cs="Arial"/>
                <w:color w:val="000000"/>
              </w:rPr>
            </w:pPr>
            <w:r w:rsidRPr="004D1CD4">
              <w:rPr>
                <w:rFonts w:cs="Arial"/>
                <w:color w:val="000000"/>
              </w:rPr>
              <w:t xml:space="preserve">5 </w:t>
            </w:r>
            <w:r w:rsidR="00BF1B18">
              <w:rPr>
                <w:rFonts w:cs="Arial"/>
                <w:color w:val="000000"/>
              </w:rPr>
              <w:t>y</w:t>
            </w:r>
            <w:r w:rsidRPr="004D1CD4">
              <w:rPr>
                <w:rFonts w:cs="Arial"/>
                <w:color w:val="000000"/>
              </w:rPr>
              <w:t xml:space="preserve">ears </w:t>
            </w:r>
            <w:r w:rsidR="00BF1B18">
              <w:rPr>
                <w:rFonts w:cs="Arial"/>
                <w:color w:val="000000"/>
              </w:rPr>
              <w:t>a</w:t>
            </w:r>
            <w:r w:rsidRPr="004D1CD4">
              <w:rPr>
                <w:rFonts w:cs="Arial"/>
                <w:color w:val="000000"/>
              </w:rPr>
              <w:t>nn</w:t>
            </w:r>
            <w:r w:rsidR="00EE63AF">
              <w:rPr>
                <w:rFonts w:cs="Arial"/>
                <w:color w:val="000000"/>
              </w:rPr>
              <w:t>ualised</w:t>
            </w:r>
          </w:p>
        </w:tc>
        <w:tc>
          <w:tcPr>
            <w:tcW w:w="1860" w:type="dxa"/>
            <w:shd w:val="clear" w:color="auto" w:fill="auto"/>
            <w:vAlign w:val="center"/>
            <w:hideMark/>
          </w:tcPr>
          <w:p w:rsidRPr="004D1CD4" w:rsidR="004D1CD4" w:rsidP="00EE7857" w:rsidRDefault="00EE63AF" w14:paraId="76FB8DA6" w14:textId="5A3F8716">
            <w:pPr>
              <w:spacing w:after="0"/>
              <w:ind w:firstLine="400" w:firstLineChars="200"/>
              <w:jc w:val="right"/>
              <w:rPr>
                <w:rFonts w:cs="Arial"/>
                <w:color w:val="000000"/>
              </w:rPr>
            </w:pPr>
            <w:r>
              <w:rPr>
                <w:rFonts w:cs="Arial"/>
                <w:color w:val="000000"/>
              </w:rPr>
              <w:t>4.42</w:t>
            </w:r>
          </w:p>
        </w:tc>
        <w:tc>
          <w:tcPr>
            <w:tcW w:w="1900" w:type="dxa"/>
            <w:shd w:val="clear" w:color="auto" w:fill="auto"/>
            <w:vAlign w:val="center"/>
            <w:hideMark/>
          </w:tcPr>
          <w:p w:rsidRPr="004D1CD4" w:rsidR="004D1CD4" w:rsidP="00EE7857" w:rsidRDefault="00EE63AF" w14:paraId="2B760DD2" w14:textId="237480A8">
            <w:pPr>
              <w:spacing w:after="0"/>
              <w:ind w:firstLine="400" w:firstLineChars="200"/>
              <w:jc w:val="right"/>
              <w:rPr>
                <w:rFonts w:cs="Arial"/>
                <w:color w:val="000000"/>
              </w:rPr>
            </w:pPr>
            <w:r>
              <w:rPr>
                <w:rFonts w:cs="Arial"/>
                <w:color w:val="000000"/>
              </w:rPr>
              <w:t>1.1</w:t>
            </w:r>
          </w:p>
        </w:tc>
      </w:tr>
      <w:tr w:rsidRPr="004D1CD4" w:rsidR="004D1CD4" w:rsidTr="00EE7857" w14:paraId="71A5F040" w14:textId="77777777">
        <w:trPr>
          <w:trHeight w:val="315"/>
        </w:trPr>
        <w:tc>
          <w:tcPr>
            <w:tcW w:w="3280" w:type="dxa"/>
            <w:shd w:val="clear" w:color="auto" w:fill="auto"/>
            <w:vAlign w:val="center"/>
            <w:hideMark/>
          </w:tcPr>
          <w:p w:rsidRPr="004D1CD4" w:rsidR="004D1CD4" w:rsidP="00EE7857" w:rsidRDefault="004D1CD4" w14:paraId="057BE6E0" w14:textId="4CA9DF1F">
            <w:pPr>
              <w:spacing w:after="0"/>
              <w:ind w:firstLine="28" w:firstLineChars="14"/>
              <w:rPr>
                <w:rFonts w:cs="Arial"/>
                <w:color w:val="000000"/>
              </w:rPr>
            </w:pPr>
            <w:r w:rsidRPr="004D1CD4">
              <w:rPr>
                <w:rFonts w:cs="Arial"/>
                <w:color w:val="000000"/>
              </w:rPr>
              <w:t xml:space="preserve">10 </w:t>
            </w:r>
            <w:r w:rsidR="00BF1B18">
              <w:rPr>
                <w:rFonts w:cs="Arial"/>
                <w:color w:val="000000"/>
              </w:rPr>
              <w:t>y</w:t>
            </w:r>
            <w:r w:rsidRPr="004D1CD4">
              <w:rPr>
                <w:rFonts w:cs="Arial"/>
                <w:color w:val="000000"/>
              </w:rPr>
              <w:t xml:space="preserve">ears </w:t>
            </w:r>
            <w:r w:rsidR="00BF1B18">
              <w:rPr>
                <w:rFonts w:cs="Arial"/>
                <w:color w:val="000000"/>
              </w:rPr>
              <w:t>a</w:t>
            </w:r>
            <w:r w:rsidRPr="004D1CD4">
              <w:rPr>
                <w:rFonts w:cs="Arial"/>
                <w:color w:val="000000"/>
              </w:rPr>
              <w:t>nn</w:t>
            </w:r>
            <w:r w:rsidR="00EE63AF">
              <w:rPr>
                <w:rFonts w:cs="Arial"/>
                <w:color w:val="000000"/>
              </w:rPr>
              <w:t>ualised</w:t>
            </w:r>
          </w:p>
        </w:tc>
        <w:tc>
          <w:tcPr>
            <w:tcW w:w="1860" w:type="dxa"/>
            <w:shd w:val="clear" w:color="auto" w:fill="auto"/>
            <w:vAlign w:val="center"/>
            <w:hideMark/>
          </w:tcPr>
          <w:p w:rsidRPr="004D1CD4" w:rsidR="004D1CD4" w:rsidP="00EE7857" w:rsidRDefault="004D1CD4" w14:paraId="7D54D58B" w14:textId="455BE293">
            <w:pPr>
              <w:spacing w:after="0"/>
              <w:ind w:firstLine="400" w:firstLineChars="200"/>
              <w:jc w:val="right"/>
              <w:rPr>
                <w:rFonts w:cs="Arial"/>
                <w:color w:val="000000"/>
              </w:rPr>
            </w:pPr>
            <w:r w:rsidRPr="004D1CD4">
              <w:rPr>
                <w:rFonts w:cs="Arial"/>
                <w:color w:val="000000"/>
              </w:rPr>
              <w:t>9</w:t>
            </w:r>
            <w:r w:rsidR="00EE63AF">
              <w:rPr>
                <w:rFonts w:cs="Arial"/>
                <w:color w:val="000000"/>
              </w:rPr>
              <w:t>.27</w:t>
            </w:r>
          </w:p>
        </w:tc>
        <w:tc>
          <w:tcPr>
            <w:tcW w:w="1900" w:type="dxa"/>
            <w:shd w:val="clear" w:color="auto" w:fill="auto"/>
            <w:vAlign w:val="center"/>
            <w:hideMark/>
          </w:tcPr>
          <w:p w:rsidRPr="004D1CD4" w:rsidR="004D1CD4" w:rsidP="00EE7857" w:rsidRDefault="00EE63AF" w14:paraId="3A914236" w14:textId="0520F2BF">
            <w:pPr>
              <w:spacing w:after="0"/>
              <w:ind w:firstLine="400" w:firstLineChars="200"/>
              <w:jc w:val="right"/>
              <w:rPr>
                <w:rFonts w:cs="Arial"/>
                <w:color w:val="000000"/>
              </w:rPr>
            </w:pPr>
            <w:r>
              <w:rPr>
                <w:rFonts w:cs="Arial"/>
                <w:color w:val="000000"/>
              </w:rPr>
              <w:t>7.35</w:t>
            </w:r>
          </w:p>
        </w:tc>
      </w:tr>
      <w:tr w:rsidRPr="004D1CD4" w:rsidR="004D1CD4" w:rsidTr="00EE7857" w14:paraId="5068479D" w14:textId="77777777">
        <w:trPr>
          <w:trHeight w:val="315"/>
        </w:trPr>
        <w:tc>
          <w:tcPr>
            <w:tcW w:w="3280" w:type="dxa"/>
            <w:shd w:val="clear" w:color="auto" w:fill="auto"/>
            <w:vAlign w:val="center"/>
            <w:hideMark/>
          </w:tcPr>
          <w:p w:rsidRPr="004D1CD4" w:rsidR="004D1CD4" w:rsidP="00EE7857" w:rsidRDefault="004D1CD4" w14:paraId="05FEB0E7" w14:textId="08815082">
            <w:pPr>
              <w:spacing w:after="0"/>
              <w:ind w:firstLine="28" w:firstLineChars="14"/>
              <w:rPr>
                <w:rFonts w:cs="Arial"/>
                <w:color w:val="000000"/>
              </w:rPr>
            </w:pPr>
            <w:r w:rsidRPr="004D1CD4">
              <w:rPr>
                <w:rFonts w:cs="Arial"/>
                <w:color w:val="000000"/>
              </w:rPr>
              <w:t xml:space="preserve">Since </w:t>
            </w:r>
            <w:r w:rsidR="00BF1B18">
              <w:rPr>
                <w:rFonts w:cs="Arial"/>
                <w:color w:val="000000"/>
              </w:rPr>
              <w:t>i</w:t>
            </w:r>
            <w:r w:rsidRPr="004D1CD4">
              <w:rPr>
                <w:rFonts w:cs="Arial"/>
                <w:color w:val="000000"/>
              </w:rPr>
              <w:t xml:space="preserve">nception </w:t>
            </w:r>
            <w:r w:rsidR="00BF1B18">
              <w:rPr>
                <w:rFonts w:cs="Arial"/>
                <w:color w:val="000000"/>
              </w:rPr>
              <w:t>a</w:t>
            </w:r>
            <w:r w:rsidRPr="004D1CD4">
              <w:rPr>
                <w:rFonts w:cs="Arial"/>
                <w:color w:val="000000"/>
              </w:rPr>
              <w:t>nnualised</w:t>
            </w:r>
          </w:p>
        </w:tc>
        <w:tc>
          <w:tcPr>
            <w:tcW w:w="1860" w:type="dxa"/>
            <w:shd w:val="clear" w:color="auto" w:fill="auto"/>
            <w:vAlign w:val="center"/>
            <w:hideMark/>
          </w:tcPr>
          <w:p w:rsidRPr="004D1CD4" w:rsidR="004D1CD4" w:rsidP="00EE7857" w:rsidRDefault="004D1CD4" w14:paraId="16D545E4" w14:textId="0AED24CE">
            <w:pPr>
              <w:spacing w:after="0"/>
              <w:ind w:firstLine="400" w:firstLineChars="200"/>
              <w:jc w:val="right"/>
              <w:rPr>
                <w:rFonts w:cs="Arial"/>
                <w:color w:val="000000"/>
              </w:rPr>
            </w:pPr>
            <w:r w:rsidRPr="004D1CD4">
              <w:rPr>
                <w:rFonts w:cs="Arial"/>
                <w:color w:val="000000"/>
              </w:rPr>
              <w:t>12.7</w:t>
            </w:r>
            <w:r w:rsidR="00EE63AF">
              <w:rPr>
                <w:rFonts w:cs="Arial"/>
                <w:color w:val="000000"/>
              </w:rPr>
              <w:t>5</w:t>
            </w:r>
          </w:p>
        </w:tc>
        <w:tc>
          <w:tcPr>
            <w:tcW w:w="1900" w:type="dxa"/>
            <w:shd w:val="clear" w:color="auto" w:fill="auto"/>
            <w:vAlign w:val="center"/>
            <w:hideMark/>
          </w:tcPr>
          <w:p w:rsidRPr="004D1CD4" w:rsidR="004D1CD4" w:rsidP="00EE7857" w:rsidRDefault="004D1CD4" w14:paraId="0EE7099B" w14:textId="12CFCB42">
            <w:pPr>
              <w:spacing w:after="0"/>
              <w:ind w:firstLine="400" w:firstLineChars="200"/>
              <w:jc w:val="right"/>
              <w:rPr>
                <w:rFonts w:cs="Arial"/>
                <w:color w:val="000000"/>
              </w:rPr>
            </w:pPr>
            <w:r w:rsidRPr="004D1CD4">
              <w:rPr>
                <w:rFonts w:cs="Arial"/>
                <w:color w:val="000000"/>
              </w:rPr>
              <w:t>13.</w:t>
            </w:r>
            <w:r w:rsidR="00EE63AF">
              <w:rPr>
                <w:rFonts w:cs="Arial"/>
                <w:color w:val="000000"/>
              </w:rPr>
              <w:t>64</w:t>
            </w:r>
          </w:p>
        </w:tc>
      </w:tr>
    </w:tbl>
    <w:p w:rsidR="004D1CD4" w:rsidP="004D1CD4" w:rsidRDefault="004D1CD4" w14:paraId="4B9036BD" w14:textId="77777777">
      <w:pPr>
        <w:pStyle w:val="HeadingRN"/>
        <w:numPr>
          <w:ilvl w:val="0"/>
          <w:numId w:val="0"/>
        </w:numPr>
        <w:ind w:left="720"/>
      </w:pPr>
    </w:p>
    <w:p w:rsidR="00E44256" w:rsidP="00FE6B98" w:rsidRDefault="00AE63E9" w14:paraId="04B44241" w14:textId="1D54B399">
      <w:pPr>
        <w:spacing w:after="0"/>
        <w:rPr>
          <w:rFonts w:cs="Arial"/>
          <w:b/>
          <w:bCs/>
          <w:color w:val="000000"/>
        </w:rPr>
      </w:pPr>
      <w:r>
        <w:rPr>
          <w:rFonts w:cs="Arial"/>
        </w:rPr>
        <w:t>(</w:t>
      </w:r>
      <w:r>
        <w:rPr>
          <w:rFonts w:cs="Arial"/>
          <w:i/>
          <w:iCs/>
        </w:rPr>
        <w:t xml:space="preserve">Source: </w:t>
      </w:r>
      <w:r w:rsidR="00EE63AF">
        <w:rPr>
          <w:rFonts w:cs="Arial"/>
          <w:i/>
          <w:iCs/>
        </w:rPr>
        <w:t>North Atlantic Smaller Companies Investment Trust PLC</w:t>
      </w:r>
      <w:r>
        <w:rPr>
          <w:rFonts w:cs="Arial"/>
          <w:i/>
          <w:iCs/>
        </w:rPr>
        <w:t>)</w:t>
      </w:r>
      <w:r w:rsidRPr="00E44256" w:rsidR="00E44256">
        <w:rPr>
          <w:rFonts w:cs="Arial"/>
        </w:rPr>
        <w:t xml:space="preserve"> </w:t>
      </w:r>
    </w:p>
    <w:p w:rsidRPr="00FE6B98" w:rsidR="00FE6B98" w:rsidP="008462F4" w:rsidRDefault="00FE6B98" w14:paraId="23F15A0D" w14:textId="77777777">
      <w:pPr>
        <w:keepNext/>
        <w:spacing w:after="0"/>
        <w:rPr>
          <w:rFonts w:cs="Arial"/>
          <w:b/>
          <w:bCs/>
          <w:color w:val="000000"/>
        </w:rPr>
      </w:pPr>
    </w:p>
    <w:p w:rsidR="00A916FB" w:rsidP="002B3DEE" w:rsidRDefault="004D1CD4" w14:paraId="5C6E9AD5" w14:textId="54BB10ED">
      <w:pPr>
        <w:keepNext/>
        <w:spacing w:after="0"/>
        <w:rPr>
          <w:rFonts w:cs="Arial"/>
          <w:color w:val="000000"/>
        </w:rPr>
      </w:pPr>
      <w:r w:rsidRPr="004D1CD4">
        <w:rPr>
          <w:rFonts w:cs="Arial"/>
        </w:rPr>
        <w:t xml:space="preserve">Robert Naylor was </w:t>
      </w:r>
      <w:r w:rsidR="00E44256">
        <w:rPr>
          <w:rFonts w:cs="Arial"/>
        </w:rPr>
        <w:t xml:space="preserve">previously </w:t>
      </w:r>
      <w:r w:rsidRPr="004D1CD4">
        <w:rPr>
          <w:rFonts w:cs="Arial"/>
        </w:rPr>
        <w:t xml:space="preserve">appointed to the </w:t>
      </w:r>
      <w:r w:rsidR="00E44256">
        <w:rPr>
          <w:rFonts w:cs="Arial"/>
        </w:rPr>
        <w:t>b</w:t>
      </w:r>
      <w:r w:rsidRPr="004D1CD4">
        <w:rPr>
          <w:rFonts w:cs="Arial"/>
        </w:rPr>
        <w:t xml:space="preserve">oards of </w:t>
      </w:r>
      <w:r w:rsidR="00E44256">
        <w:rPr>
          <w:rFonts w:cs="Arial"/>
        </w:rPr>
        <w:t xml:space="preserve">each of </w:t>
      </w:r>
      <w:r w:rsidRPr="004D1CD4">
        <w:rPr>
          <w:rFonts w:cs="Arial"/>
        </w:rPr>
        <w:t>Round</w:t>
      </w:r>
      <w:r>
        <w:rPr>
          <w:rFonts w:cs="Arial"/>
        </w:rPr>
        <w:t xml:space="preserve"> </w:t>
      </w:r>
      <w:r w:rsidRPr="004D1CD4">
        <w:rPr>
          <w:rFonts w:cs="Arial"/>
        </w:rPr>
        <w:t>Hill Music Royalty Fund Limited</w:t>
      </w:r>
      <w:r w:rsidR="00E44256">
        <w:rPr>
          <w:rFonts w:cs="Arial"/>
        </w:rPr>
        <w:t xml:space="preserve"> and</w:t>
      </w:r>
      <w:r w:rsidRPr="004D1CD4">
        <w:rPr>
          <w:rFonts w:cs="Arial"/>
        </w:rPr>
        <w:t xml:space="preserve"> Hipgnosis Songs Fund Limited</w:t>
      </w:r>
      <w:r w:rsidR="00A916FB">
        <w:rPr>
          <w:rFonts w:cs="Arial"/>
        </w:rPr>
        <w:t xml:space="preserve">, shortly following </w:t>
      </w:r>
      <w:r w:rsidR="003454A5">
        <w:rPr>
          <w:rFonts w:cs="Arial"/>
        </w:rPr>
        <w:t xml:space="preserve">which recommended cash takeovers of each of these companies were </w:t>
      </w:r>
      <w:r w:rsidR="00A916FB">
        <w:rPr>
          <w:rFonts w:cs="Arial"/>
        </w:rPr>
        <w:t xml:space="preserve">announced (and subsequently </w:t>
      </w:r>
      <w:r w:rsidR="003454A5">
        <w:rPr>
          <w:rFonts w:cs="Arial"/>
        </w:rPr>
        <w:t>completed</w:t>
      </w:r>
      <w:r w:rsidR="00A916FB">
        <w:rPr>
          <w:rFonts w:cs="Arial"/>
        </w:rPr>
        <w:t>)</w:t>
      </w:r>
      <w:r w:rsidR="002051A7">
        <w:rPr>
          <w:rFonts w:cs="Arial"/>
        </w:rPr>
        <w:t xml:space="preserve"> at a significant premium to the </w:t>
      </w:r>
      <w:r w:rsidR="008462F4">
        <w:rPr>
          <w:rFonts w:cs="Arial"/>
        </w:rPr>
        <w:t xml:space="preserve">prevailing </w:t>
      </w:r>
      <w:r w:rsidR="002051A7">
        <w:rPr>
          <w:rFonts w:cs="Arial"/>
        </w:rPr>
        <w:t xml:space="preserve">share </w:t>
      </w:r>
      <w:r w:rsidR="002051A7">
        <w:rPr>
          <w:rFonts w:cs="Arial"/>
        </w:rPr>
        <w:lastRenderedPageBreak/>
        <w:t xml:space="preserve">price prior to </w:t>
      </w:r>
      <w:r w:rsidR="00A916FB">
        <w:rPr>
          <w:rFonts w:cs="Arial"/>
        </w:rPr>
        <w:t>his</w:t>
      </w:r>
      <w:r w:rsidR="002051A7">
        <w:rPr>
          <w:rFonts w:cs="Arial"/>
        </w:rPr>
        <w:t xml:space="preserve"> appointment</w:t>
      </w:r>
      <w:r w:rsidR="00E44256">
        <w:rPr>
          <w:rFonts w:cs="Arial"/>
        </w:rPr>
        <w:t>.</w:t>
      </w:r>
      <w:r w:rsidRPr="004D1CD4">
        <w:rPr>
          <w:rFonts w:cs="Arial"/>
        </w:rPr>
        <w:t xml:space="preserve"> </w:t>
      </w:r>
      <w:r w:rsidR="00E44256">
        <w:rPr>
          <w:rFonts w:cs="Arial"/>
        </w:rPr>
        <w:t xml:space="preserve">The </w:t>
      </w:r>
      <w:r w:rsidR="008462F4">
        <w:rPr>
          <w:rFonts w:cs="Arial"/>
        </w:rPr>
        <w:t xml:space="preserve">prevailing </w:t>
      </w:r>
      <w:r w:rsidRPr="004D1CD4">
        <w:rPr>
          <w:rFonts w:cs="Arial"/>
        </w:rPr>
        <w:t xml:space="preserve">share price </w:t>
      </w:r>
      <w:r w:rsidR="00E44256">
        <w:rPr>
          <w:rFonts w:cs="Arial"/>
        </w:rPr>
        <w:t xml:space="preserve">for each of these closed-ended investment companies </w:t>
      </w:r>
      <w:r w:rsidR="003454A5">
        <w:rPr>
          <w:rFonts w:cs="Arial"/>
        </w:rPr>
        <w:t xml:space="preserve">prior to </w:t>
      </w:r>
      <w:r w:rsidR="002051A7">
        <w:rPr>
          <w:rFonts w:cs="Arial"/>
        </w:rPr>
        <w:t>Robert's</w:t>
      </w:r>
      <w:r w:rsidRPr="004D1CD4" w:rsidR="002051A7">
        <w:rPr>
          <w:rFonts w:cs="Arial"/>
        </w:rPr>
        <w:t xml:space="preserve"> </w:t>
      </w:r>
      <w:r w:rsidRPr="004D1CD4">
        <w:rPr>
          <w:rFonts w:cs="Arial"/>
        </w:rPr>
        <w:t>appointment</w:t>
      </w:r>
      <w:r w:rsidR="008462F4">
        <w:rPr>
          <w:rFonts w:cs="Arial"/>
        </w:rPr>
        <w:t xml:space="preserve"> </w:t>
      </w:r>
      <w:r w:rsidR="003454A5">
        <w:rPr>
          <w:rFonts w:cs="Arial"/>
        </w:rPr>
        <w:t xml:space="preserve">relative to the final offer price achieved </w:t>
      </w:r>
      <w:r w:rsidR="00E44256">
        <w:rPr>
          <w:rFonts w:cs="Arial"/>
        </w:rPr>
        <w:t>is set out below</w:t>
      </w:r>
      <w:r w:rsidR="00BF1B18">
        <w:rPr>
          <w:rFonts w:cs="Arial"/>
          <w:color w:val="000000"/>
        </w:rPr>
        <w:t>:</w:t>
      </w:r>
    </w:p>
    <w:p w:rsidR="00A916FB" w:rsidP="002B3DEE" w:rsidRDefault="00A916FB" w14:paraId="4DDA398A" w14:textId="77777777">
      <w:pPr>
        <w:keepNext/>
        <w:spacing w:after="0"/>
        <w:rPr>
          <w:rFonts w:cs="Arial"/>
          <w:color w:val="000000"/>
        </w:rPr>
      </w:pPr>
    </w:p>
    <w:tbl>
      <w:tblPr>
        <w:tblW w:w="9356" w:type="dxa"/>
        <w:tblLayout w:type="fixed"/>
        <w:tblLook w:val="04A0" w:firstRow="1" w:lastRow="0" w:firstColumn="1" w:lastColumn="0" w:noHBand="0" w:noVBand="1"/>
      </w:tblPr>
      <w:tblGrid>
        <w:gridCol w:w="5387"/>
        <w:gridCol w:w="1984"/>
        <w:gridCol w:w="1985"/>
      </w:tblGrid>
      <w:tr w:rsidRPr="004D1CD4" w:rsidR="004D1CD4" w:rsidTr="00A916FB" w14:paraId="42C5CCBF" w14:textId="77777777">
        <w:trPr>
          <w:cantSplit/>
          <w:trHeight w:val="314"/>
        </w:trPr>
        <w:tc>
          <w:tcPr>
            <w:tcW w:w="5387" w:type="dxa"/>
            <w:tcBorders>
              <w:top w:val="nil"/>
              <w:left w:val="nil"/>
              <w:bottom w:val="nil"/>
              <w:right w:val="nil"/>
            </w:tcBorders>
            <w:shd w:val="clear" w:color="000000" w:fill="FFFFFF"/>
            <w:noWrap/>
            <w:vAlign w:val="bottom"/>
            <w:hideMark/>
          </w:tcPr>
          <w:p w:rsidRPr="004D1CD4" w:rsidR="004D1CD4" w:rsidP="008462F4" w:rsidRDefault="004D1CD4" w14:paraId="2C6D59E6" w14:textId="62E2F6B7">
            <w:pPr>
              <w:keepNext/>
              <w:spacing w:after="0"/>
              <w:rPr>
                <w:rFonts w:cs="Arial"/>
                <w:b/>
                <w:bCs/>
                <w:color w:val="000000"/>
              </w:rPr>
            </w:pPr>
            <w:r w:rsidRPr="004D1CD4">
              <w:rPr>
                <w:rFonts w:cs="Arial"/>
                <w:b/>
                <w:bCs/>
                <w:color w:val="000000"/>
              </w:rPr>
              <w:t>Round</w:t>
            </w:r>
            <w:r w:rsidR="00A83E00">
              <w:rPr>
                <w:rFonts w:cs="Arial"/>
                <w:b/>
                <w:bCs/>
                <w:color w:val="000000"/>
              </w:rPr>
              <w:t xml:space="preserve"> </w:t>
            </w:r>
            <w:r w:rsidRPr="004D1CD4">
              <w:rPr>
                <w:rFonts w:cs="Arial"/>
                <w:b/>
                <w:bCs/>
                <w:color w:val="000000"/>
              </w:rPr>
              <w:t>Hill Music Royalty Fund Limited</w:t>
            </w:r>
          </w:p>
        </w:tc>
        <w:tc>
          <w:tcPr>
            <w:tcW w:w="1984" w:type="dxa"/>
            <w:tcBorders>
              <w:top w:val="nil"/>
              <w:left w:val="nil"/>
              <w:bottom w:val="nil"/>
              <w:right w:val="nil"/>
            </w:tcBorders>
            <w:shd w:val="clear" w:color="000000" w:fill="FFFFFF"/>
            <w:noWrap/>
            <w:vAlign w:val="bottom"/>
            <w:hideMark/>
          </w:tcPr>
          <w:p w:rsidRPr="004D1CD4" w:rsidR="004D1CD4" w:rsidP="008462F4" w:rsidRDefault="004D1CD4" w14:paraId="7A1E8486" w14:textId="77777777">
            <w:pPr>
              <w:keepNext/>
              <w:spacing w:after="0"/>
              <w:jc w:val="right"/>
              <w:rPr>
                <w:rFonts w:cs="Arial"/>
                <w:b/>
                <w:bCs/>
              </w:rPr>
            </w:pPr>
            <w:r w:rsidRPr="004D1CD4">
              <w:rPr>
                <w:rFonts w:cs="Arial"/>
                <w:b/>
                <w:bCs/>
              </w:rPr>
              <w:t>Date</w:t>
            </w:r>
          </w:p>
        </w:tc>
        <w:tc>
          <w:tcPr>
            <w:tcW w:w="1985" w:type="dxa"/>
            <w:tcBorders>
              <w:top w:val="nil"/>
              <w:left w:val="nil"/>
              <w:bottom w:val="nil"/>
              <w:right w:val="nil"/>
            </w:tcBorders>
            <w:shd w:val="clear" w:color="000000" w:fill="FFFFFF"/>
            <w:noWrap/>
            <w:vAlign w:val="bottom"/>
            <w:hideMark/>
          </w:tcPr>
          <w:p w:rsidRPr="004D1CD4" w:rsidR="004D1CD4" w:rsidP="008462F4" w:rsidRDefault="004D1CD4" w14:paraId="7FCEFCD1" w14:textId="76FE1DC6">
            <w:pPr>
              <w:keepNext/>
              <w:spacing w:after="0"/>
              <w:jc w:val="right"/>
              <w:rPr>
                <w:rFonts w:cs="Arial"/>
                <w:b/>
                <w:bCs/>
              </w:rPr>
            </w:pPr>
            <w:r w:rsidRPr="004D1CD4">
              <w:rPr>
                <w:rFonts w:cs="Arial"/>
                <w:b/>
                <w:bCs/>
              </w:rPr>
              <w:t>Share price</w:t>
            </w:r>
            <w:r w:rsidR="003454A5">
              <w:rPr>
                <w:rFonts w:cs="Arial"/>
                <w:b/>
                <w:bCs/>
              </w:rPr>
              <w:t xml:space="preserve"> / offer price</w:t>
            </w:r>
            <w:r w:rsidRPr="004D1CD4">
              <w:rPr>
                <w:rFonts w:cs="Arial"/>
                <w:b/>
                <w:bCs/>
              </w:rPr>
              <w:t xml:space="preserve"> </w:t>
            </w:r>
          </w:p>
        </w:tc>
      </w:tr>
      <w:tr w:rsidRPr="004D1CD4" w:rsidR="004D1CD4" w:rsidTr="00A916FB" w14:paraId="2E67113D" w14:textId="77777777">
        <w:trPr>
          <w:cantSplit/>
          <w:trHeight w:val="314"/>
        </w:trPr>
        <w:tc>
          <w:tcPr>
            <w:tcW w:w="5387" w:type="dxa"/>
            <w:tcBorders>
              <w:top w:val="nil"/>
              <w:left w:val="nil"/>
              <w:bottom w:val="nil"/>
              <w:right w:val="nil"/>
            </w:tcBorders>
            <w:shd w:val="clear" w:color="000000" w:fill="FFFFFF"/>
            <w:noWrap/>
            <w:vAlign w:val="bottom"/>
            <w:hideMark/>
          </w:tcPr>
          <w:p w:rsidRPr="004D1CD4" w:rsidR="004D1CD4" w:rsidP="008462F4" w:rsidRDefault="00A916FB" w14:paraId="394C87BD" w14:textId="54CAD88C">
            <w:pPr>
              <w:keepNext/>
              <w:spacing w:after="0"/>
              <w:rPr>
                <w:rFonts w:cs="Arial"/>
              </w:rPr>
            </w:pPr>
            <w:r>
              <w:rPr>
                <w:rFonts w:cs="Arial"/>
              </w:rPr>
              <w:t>Prevailing share price prior to Robert Naylor's appointment</w:t>
            </w:r>
          </w:p>
        </w:tc>
        <w:tc>
          <w:tcPr>
            <w:tcW w:w="1984" w:type="dxa"/>
            <w:tcBorders>
              <w:top w:val="nil"/>
              <w:left w:val="nil"/>
              <w:bottom w:val="nil"/>
              <w:right w:val="nil"/>
            </w:tcBorders>
            <w:shd w:val="clear" w:color="000000" w:fill="FFFFFF"/>
            <w:noWrap/>
            <w:vAlign w:val="bottom"/>
            <w:hideMark/>
          </w:tcPr>
          <w:p w:rsidRPr="004D1CD4" w:rsidR="004D1CD4" w:rsidP="008462F4" w:rsidRDefault="00A916FB" w14:paraId="48003B05" w14:textId="6E6FA0C4">
            <w:pPr>
              <w:keepNext/>
              <w:spacing w:after="0"/>
              <w:jc w:val="right"/>
              <w:rPr>
                <w:rFonts w:cs="Arial"/>
              </w:rPr>
            </w:pPr>
            <w:r>
              <w:rPr>
                <w:rFonts w:cs="Arial"/>
              </w:rPr>
              <w:t>31 October 2022</w:t>
            </w:r>
          </w:p>
        </w:tc>
        <w:tc>
          <w:tcPr>
            <w:tcW w:w="1985" w:type="dxa"/>
            <w:tcBorders>
              <w:top w:val="nil"/>
              <w:left w:val="nil"/>
              <w:bottom w:val="nil"/>
              <w:right w:val="nil"/>
            </w:tcBorders>
            <w:shd w:val="clear" w:color="000000" w:fill="FFFFFF"/>
            <w:noWrap/>
            <w:vAlign w:val="bottom"/>
            <w:hideMark/>
          </w:tcPr>
          <w:p w:rsidRPr="004D1CD4" w:rsidR="004D1CD4" w:rsidP="008462F4" w:rsidRDefault="00966C7B" w14:paraId="4BE51518" w14:textId="48B31020">
            <w:pPr>
              <w:keepNext/>
              <w:spacing w:after="0"/>
              <w:jc w:val="right"/>
              <w:rPr>
                <w:rFonts w:cs="Arial"/>
              </w:rPr>
            </w:pPr>
            <w:r>
              <w:rPr>
                <w:rFonts w:cs="Arial"/>
              </w:rPr>
              <w:t>76.25</w:t>
            </w:r>
            <w:r w:rsidR="00646735">
              <w:rPr>
                <w:rFonts w:cs="Arial"/>
              </w:rPr>
              <w:t xml:space="preserve"> </w:t>
            </w:r>
            <w:r>
              <w:rPr>
                <w:rFonts w:cs="Arial"/>
              </w:rPr>
              <w:t>c</w:t>
            </w:r>
            <w:r w:rsidR="00646735">
              <w:rPr>
                <w:rFonts w:cs="Arial"/>
              </w:rPr>
              <w:t>ents</w:t>
            </w:r>
          </w:p>
        </w:tc>
      </w:tr>
      <w:tr w:rsidRPr="004D1CD4" w:rsidR="004D1CD4" w:rsidTr="00A916FB" w14:paraId="4F3FBB01" w14:textId="77777777">
        <w:trPr>
          <w:cantSplit/>
          <w:trHeight w:val="314"/>
        </w:trPr>
        <w:tc>
          <w:tcPr>
            <w:tcW w:w="5387" w:type="dxa"/>
            <w:tcBorders>
              <w:top w:val="nil"/>
              <w:left w:val="nil"/>
              <w:bottom w:val="nil"/>
              <w:right w:val="nil"/>
            </w:tcBorders>
            <w:shd w:val="clear" w:color="000000" w:fill="FFFFFF"/>
            <w:noWrap/>
            <w:vAlign w:val="bottom"/>
            <w:hideMark/>
          </w:tcPr>
          <w:p w:rsidRPr="004D1CD4" w:rsidR="004D1CD4" w:rsidP="008462F4" w:rsidRDefault="00A916FB" w14:paraId="430D0AA1" w14:textId="3502BA23">
            <w:pPr>
              <w:keepNext/>
              <w:spacing w:after="0"/>
              <w:rPr>
                <w:rFonts w:cs="Arial"/>
              </w:rPr>
            </w:pPr>
            <w:r>
              <w:rPr>
                <w:rFonts w:cs="Arial"/>
              </w:rPr>
              <w:t>Firm offer announcement of offer price achieved</w:t>
            </w:r>
          </w:p>
        </w:tc>
        <w:tc>
          <w:tcPr>
            <w:tcW w:w="1984" w:type="dxa"/>
            <w:tcBorders>
              <w:top w:val="nil"/>
              <w:left w:val="nil"/>
              <w:bottom w:val="nil"/>
              <w:right w:val="nil"/>
            </w:tcBorders>
            <w:shd w:val="clear" w:color="000000" w:fill="FFFFFF"/>
            <w:noWrap/>
            <w:vAlign w:val="bottom"/>
            <w:hideMark/>
          </w:tcPr>
          <w:p w:rsidRPr="004D1CD4" w:rsidR="004D1CD4" w:rsidP="008462F4" w:rsidRDefault="004D1CD4" w14:paraId="665DA88A" w14:textId="77777777">
            <w:pPr>
              <w:keepNext/>
              <w:spacing w:after="0"/>
              <w:jc w:val="right"/>
              <w:rPr>
                <w:rFonts w:cs="Arial"/>
              </w:rPr>
            </w:pPr>
            <w:r w:rsidRPr="004D1CD4">
              <w:rPr>
                <w:rFonts w:cs="Arial"/>
              </w:rPr>
              <w:t>8 September 2023</w:t>
            </w:r>
          </w:p>
        </w:tc>
        <w:tc>
          <w:tcPr>
            <w:tcW w:w="1985" w:type="dxa"/>
            <w:tcBorders>
              <w:top w:val="nil"/>
              <w:left w:val="nil"/>
              <w:bottom w:val="nil"/>
              <w:right w:val="nil"/>
            </w:tcBorders>
            <w:shd w:val="clear" w:color="000000" w:fill="FFFFFF"/>
            <w:noWrap/>
            <w:vAlign w:val="bottom"/>
            <w:hideMark/>
          </w:tcPr>
          <w:p w:rsidRPr="004D1CD4" w:rsidR="004D1CD4" w:rsidP="008462F4" w:rsidRDefault="004D1CD4" w14:paraId="32179F1C" w14:textId="11019592">
            <w:pPr>
              <w:keepNext/>
              <w:spacing w:after="0"/>
              <w:jc w:val="right"/>
              <w:rPr>
                <w:rFonts w:cs="Arial"/>
              </w:rPr>
            </w:pPr>
            <w:r w:rsidRPr="004D1CD4">
              <w:rPr>
                <w:rFonts w:cs="Arial"/>
              </w:rPr>
              <w:t>115.5</w:t>
            </w:r>
            <w:r w:rsidR="00646735">
              <w:rPr>
                <w:rFonts w:cs="Arial"/>
              </w:rPr>
              <w:t xml:space="preserve"> </w:t>
            </w:r>
            <w:r w:rsidRPr="004D1CD4">
              <w:rPr>
                <w:rFonts w:cs="Arial"/>
              </w:rPr>
              <w:t>c</w:t>
            </w:r>
            <w:r w:rsidR="00646735">
              <w:rPr>
                <w:rFonts w:cs="Arial"/>
              </w:rPr>
              <w:t>ents</w:t>
            </w:r>
          </w:p>
        </w:tc>
      </w:tr>
      <w:tr w:rsidRPr="004D1CD4" w:rsidR="004D1CD4" w:rsidTr="00A916FB" w14:paraId="3FD5E5A0" w14:textId="77777777">
        <w:trPr>
          <w:cantSplit/>
          <w:trHeight w:val="314"/>
        </w:trPr>
        <w:tc>
          <w:tcPr>
            <w:tcW w:w="5387" w:type="dxa"/>
            <w:tcBorders>
              <w:top w:val="nil"/>
              <w:left w:val="nil"/>
              <w:bottom w:val="nil"/>
              <w:right w:val="nil"/>
            </w:tcBorders>
            <w:shd w:val="clear" w:color="000000" w:fill="FFFFFF"/>
            <w:noWrap/>
            <w:vAlign w:val="bottom"/>
            <w:hideMark/>
          </w:tcPr>
          <w:p w:rsidRPr="004D1CD4" w:rsidR="004D1CD4" w:rsidP="00EE7857" w:rsidRDefault="004D1CD4" w14:paraId="5AF5FA4A" w14:textId="77777777">
            <w:pPr>
              <w:spacing w:after="0"/>
              <w:rPr>
                <w:rFonts w:cs="Arial"/>
              </w:rPr>
            </w:pPr>
            <w:r w:rsidRPr="004D1CD4">
              <w:rPr>
                <w:rFonts w:cs="Arial"/>
              </w:rPr>
              <w:t xml:space="preserve">IRR /return </w:t>
            </w:r>
          </w:p>
        </w:tc>
        <w:tc>
          <w:tcPr>
            <w:tcW w:w="1984" w:type="dxa"/>
            <w:tcBorders>
              <w:top w:val="nil"/>
              <w:left w:val="nil"/>
              <w:bottom w:val="nil"/>
              <w:right w:val="nil"/>
            </w:tcBorders>
            <w:shd w:val="clear" w:color="000000" w:fill="FFFFFF"/>
            <w:noWrap/>
            <w:vAlign w:val="bottom"/>
            <w:hideMark/>
          </w:tcPr>
          <w:p w:rsidRPr="004D1CD4" w:rsidR="004D1CD4" w:rsidP="00EE7857" w:rsidRDefault="00966C7B" w14:paraId="298FDC6D" w14:textId="703F2891">
            <w:pPr>
              <w:spacing w:after="0"/>
              <w:jc w:val="right"/>
              <w:rPr>
                <w:rFonts w:cs="Arial"/>
              </w:rPr>
            </w:pPr>
            <w:r>
              <w:rPr>
                <w:rFonts w:cs="Arial"/>
              </w:rPr>
              <w:t>62</w:t>
            </w:r>
            <w:r w:rsidRPr="004D1CD4" w:rsidR="004D1CD4">
              <w:rPr>
                <w:rFonts w:cs="Arial"/>
              </w:rPr>
              <w:t>%</w:t>
            </w:r>
          </w:p>
        </w:tc>
        <w:tc>
          <w:tcPr>
            <w:tcW w:w="1985" w:type="dxa"/>
            <w:tcBorders>
              <w:top w:val="nil"/>
              <w:left w:val="nil"/>
              <w:bottom w:val="nil"/>
              <w:right w:val="nil"/>
            </w:tcBorders>
            <w:shd w:val="clear" w:color="000000" w:fill="FFFFFF"/>
            <w:noWrap/>
            <w:vAlign w:val="bottom"/>
            <w:hideMark/>
          </w:tcPr>
          <w:p w:rsidRPr="004D1CD4" w:rsidR="004D1CD4" w:rsidP="00EE7857" w:rsidRDefault="000B0C97" w14:paraId="0F07F886" w14:textId="2CE03DFE">
            <w:pPr>
              <w:spacing w:after="0"/>
              <w:jc w:val="right"/>
              <w:rPr>
                <w:rFonts w:cs="Arial"/>
              </w:rPr>
            </w:pPr>
            <w:r>
              <w:rPr>
                <w:rFonts w:cs="Arial"/>
              </w:rPr>
              <w:t>51</w:t>
            </w:r>
            <w:r w:rsidRPr="004D1CD4" w:rsidR="004D1CD4">
              <w:rPr>
                <w:rFonts w:cs="Arial"/>
              </w:rPr>
              <w:t>%</w:t>
            </w:r>
          </w:p>
        </w:tc>
      </w:tr>
      <w:tr w:rsidRPr="004D1CD4" w:rsidR="004D1CD4" w:rsidTr="00A916FB" w14:paraId="07FDD14B" w14:textId="77777777">
        <w:trPr>
          <w:cantSplit/>
          <w:trHeight w:val="314"/>
        </w:trPr>
        <w:tc>
          <w:tcPr>
            <w:tcW w:w="5387" w:type="dxa"/>
            <w:tcBorders>
              <w:top w:val="nil"/>
              <w:left w:val="nil"/>
              <w:bottom w:val="nil"/>
              <w:right w:val="nil"/>
            </w:tcBorders>
            <w:shd w:val="clear" w:color="000000" w:fill="FFFFFF"/>
            <w:noWrap/>
            <w:vAlign w:val="bottom"/>
            <w:hideMark/>
          </w:tcPr>
          <w:p w:rsidRPr="004D1CD4" w:rsidR="004D1CD4" w:rsidP="00EE7857" w:rsidRDefault="004D1CD4" w14:paraId="0BD706C4" w14:textId="77777777">
            <w:pPr>
              <w:spacing w:after="0"/>
              <w:rPr>
                <w:rFonts w:cs="Arial"/>
              </w:rPr>
            </w:pPr>
            <w:r w:rsidRPr="004D1CD4">
              <w:rPr>
                <w:rFonts w:cs="Arial"/>
              </w:rPr>
              <w:t> </w:t>
            </w:r>
          </w:p>
        </w:tc>
        <w:tc>
          <w:tcPr>
            <w:tcW w:w="1984" w:type="dxa"/>
            <w:tcBorders>
              <w:top w:val="nil"/>
              <w:left w:val="nil"/>
              <w:bottom w:val="nil"/>
              <w:right w:val="nil"/>
            </w:tcBorders>
            <w:shd w:val="clear" w:color="000000" w:fill="FFFFFF"/>
            <w:noWrap/>
            <w:vAlign w:val="bottom"/>
            <w:hideMark/>
          </w:tcPr>
          <w:p w:rsidRPr="004D1CD4" w:rsidR="004D1CD4" w:rsidP="00EE7857" w:rsidRDefault="004D1CD4" w14:paraId="532B464C" w14:textId="77777777">
            <w:pPr>
              <w:spacing w:after="0"/>
              <w:rPr>
                <w:rFonts w:cs="Arial"/>
              </w:rPr>
            </w:pPr>
            <w:r w:rsidRPr="004D1CD4">
              <w:rPr>
                <w:rFonts w:cs="Arial"/>
              </w:rPr>
              <w:t> </w:t>
            </w:r>
          </w:p>
        </w:tc>
        <w:tc>
          <w:tcPr>
            <w:tcW w:w="1985" w:type="dxa"/>
            <w:tcBorders>
              <w:top w:val="nil"/>
              <w:left w:val="nil"/>
              <w:bottom w:val="nil"/>
              <w:right w:val="nil"/>
            </w:tcBorders>
            <w:shd w:val="clear" w:color="000000" w:fill="FFFFFF"/>
            <w:noWrap/>
            <w:vAlign w:val="bottom"/>
            <w:hideMark/>
          </w:tcPr>
          <w:p w:rsidRPr="004D1CD4" w:rsidR="004D1CD4" w:rsidP="00EE7857" w:rsidRDefault="004D1CD4" w14:paraId="3E34BB2F" w14:textId="77777777">
            <w:pPr>
              <w:spacing w:after="0"/>
              <w:rPr>
                <w:rFonts w:cs="Arial"/>
              </w:rPr>
            </w:pPr>
            <w:r w:rsidRPr="004D1CD4">
              <w:rPr>
                <w:rFonts w:cs="Arial"/>
              </w:rPr>
              <w:t> </w:t>
            </w:r>
          </w:p>
        </w:tc>
      </w:tr>
      <w:tr w:rsidRPr="004D1CD4" w:rsidR="004D1CD4" w:rsidTr="00A916FB" w14:paraId="411404D3" w14:textId="77777777">
        <w:trPr>
          <w:cantSplit/>
          <w:trHeight w:val="314"/>
        </w:trPr>
        <w:tc>
          <w:tcPr>
            <w:tcW w:w="5387" w:type="dxa"/>
            <w:tcBorders>
              <w:top w:val="nil"/>
              <w:left w:val="nil"/>
              <w:bottom w:val="nil"/>
              <w:right w:val="nil"/>
            </w:tcBorders>
            <w:shd w:val="clear" w:color="000000" w:fill="FFFFFF"/>
            <w:noWrap/>
            <w:vAlign w:val="bottom"/>
            <w:hideMark/>
          </w:tcPr>
          <w:p w:rsidRPr="004D1CD4" w:rsidR="004D1CD4" w:rsidP="00EE7857" w:rsidRDefault="004D1CD4" w14:paraId="2F52EE35" w14:textId="77777777">
            <w:pPr>
              <w:spacing w:after="0"/>
              <w:rPr>
                <w:rFonts w:cs="Arial"/>
                <w:b/>
                <w:bCs/>
                <w:color w:val="000000"/>
              </w:rPr>
            </w:pPr>
            <w:r w:rsidRPr="004D1CD4">
              <w:rPr>
                <w:rFonts w:cs="Arial"/>
                <w:b/>
                <w:bCs/>
                <w:color w:val="000000"/>
              </w:rPr>
              <w:t>Hipgnosis Songs Fund Limited</w:t>
            </w:r>
          </w:p>
        </w:tc>
        <w:tc>
          <w:tcPr>
            <w:tcW w:w="1984" w:type="dxa"/>
            <w:tcBorders>
              <w:top w:val="nil"/>
              <w:left w:val="nil"/>
              <w:bottom w:val="nil"/>
              <w:right w:val="nil"/>
            </w:tcBorders>
            <w:shd w:val="clear" w:color="000000" w:fill="FFFFFF"/>
            <w:noWrap/>
            <w:vAlign w:val="bottom"/>
            <w:hideMark/>
          </w:tcPr>
          <w:p w:rsidRPr="004D1CD4" w:rsidR="004D1CD4" w:rsidP="00EE7857" w:rsidRDefault="004D1CD4" w14:paraId="1B89376E" w14:textId="77777777">
            <w:pPr>
              <w:spacing w:after="0"/>
              <w:rPr>
                <w:rFonts w:cs="Arial"/>
              </w:rPr>
            </w:pPr>
            <w:r w:rsidRPr="004D1CD4">
              <w:rPr>
                <w:rFonts w:cs="Arial"/>
              </w:rPr>
              <w:t> </w:t>
            </w:r>
          </w:p>
        </w:tc>
        <w:tc>
          <w:tcPr>
            <w:tcW w:w="1985" w:type="dxa"/>
            <w:tcBorders>
              <w:top w:val="nil"/>
              <w:left w:val="nil"/>
              <w:bottom w:val="nil"/>
              <w:right w:val="nil"/>
            </w:tcBorders>
            <w:shd w:val="clear" w:color="000000" w:fill="FFFFFF"/>
            <w:noWrap/>
            <w:vAlign w:val="bottom"/>
            <w:hideMark/>
          </w:tcPr>
          <w:p w:rsidRPr="004D1CD4" w:rsidR="004D1CD4" w:rsidP="00EE7857" w:rsidRDefault="004D1CD4" w14:paraId="7A203812" w14:textId="77777777">
            <w:pPr>
              <w:spacing w:after="0"/>
              <w:rPr>
                <w:rFonts w:cs="Arial"/>
              </w:rPr>
            </w:pPr>
            <w:r w:rsidRPr="004D1CD4">
              <w:rPr>
                <w:rFonts w:cs="Arial"/>
              </w:rPr>
              <w:t> </w:t>
            </w:r>
          </w:p>
        </w:tc>
      </w:tr>
      <w:tr w:rsidRPr="004D1CD4" w:rsidR="004D1CD4" w:rsidTr="00A916FB" w14:paraId="4D210FBD" w14:textId="77777777">
        <w:trPr>
          <w:cantSplit/>
          <w:trHeight w:val="314"/>
        </w:trPr>
        <w:tc>
          <w:tcPr>
            <w:tcW w:w="5387" w:type="dxa"/>
            <w:tcBorders>
              <w:top w:val="nil"/>
              <w:left w:val="nil"/>
              <w:bottom w:val="nil"/>
              <w:right w:val="nil"/>
            </w:tcBorders>
            <w:shd w:val="clear" w:color="000000" w:fill="FFFFFF"/>
            <w:noWrap/>
            <w:vAlign w:val="bottom"/>
            <w:hideMark/>
          </w:tcPr>
          <w:p w:rsidRPr="004D1CD4" w:rsidR="004D1CD4" w:rsidP="00EE7857" w:rsidRDefault="008462F4" w14:paraId="3809D6EA" w14:textId="52CE0D19">
            <w:pPr>
              <w:spacing w:after="0"/>
              <w:rPr>
                <w:rFonts w:cs="Arial"/>
              </w:rPr>
            </w:pPr>
            <w:r>
              <w:rPr>
                <w:rFonts w:cs="Arial"/>
              </w:rPr>
              <w:t xml:space="preserve">Prevailing share price prior to </w:t>
            </w:r>
            <w:r w:rsidR="003454A5">
              <w:rPr>
                <w:rFonts w:cs="Arial"/>
              </w:rPr>
              <w:t>Robert Naylor</w:t>
            </w:r>
            <w:r w:rsidR="00A916FB">
              <w:rPr>
                <w:rFonts w:cs="Arial"/>
              </w:rPr>
              <w:t>'s appointment</w:t>
            </w:r>
            <w:r w:rsidR="003454A5">
              <w:rPr>
                <w:rFonts w:cs="Arial"/>
              </w:rPr>
              <w:t xml:space="preserve"> </w:t>
            </w:r>
          </w:p>
        </w:tc>
        <w:tc>
          <w:tcPr>
            <w:tcW w:w="1984" w:type="dxa"/>
            <w:tcBorders>
              <w:top w:val="nil"/>
              <w:left w:val="nil"/>
              <w:bottom w:val="nil"/>
              <w:right w:val="nil"/>
            </w:tcBorders>
            <w:shd w:val="clear" w:color="000000" w:fill="FFFFFF"/>
            <w:noWrap/>
            <w:vAlign w:val="bottom"/>
            <w:hideMark/>
          </w:tcPr>
          <w:p w:rsidRPr="004D1CD4" w:rsidR="004D1CD4" w:rsidP="00EE7857" w:rsidRDefault="00A916FB" w14:paraId="6C8694B0" w14:textId="3234B28B">
            <w:pPr>
              <w:spacing w:after="0"/>
              <w:jc w:val="right"/>
              <w:rPr>
                <w:rFonts w:cs="Arial"/>
              </w:rPr>
            </w:pPr>
            <w:r>
              <w:rPr>
                <w:rFonts w:cs="Arial"/>
              </w:rPr>
              <w:t>6</w:t>
            </w:r>
            <w:r w:rsidRPr="004D1CD4" w:rsidR="004D1CD4">
              <w:rPr>
                <w:rFonts w:cs="Arial"/>
              </w:rPr>
              <w:t xml:space="preserve"> November 2023</w:t>
            </w:r>
          </w:p>
        </w:tc>
        <w:tc>
          <w:tcPr>
            <w:tcW w:w="1985" w:type="dxa"/>
            <w:tcBorders>
              <w:top w:val="nil"/>
              <w:left w:val="nil"/>
              <w:bottom w:val="nil"/>
              <w:right w:val="nil"/>
            </w:tcBorders>
            <w:shd w:val="clear" w:color="000000" w:fill="FFFFFF"/>
            <w:noWrap/>
            <w:vAlign w:val="bottom"/>
            <w:hideMark/>
          </w:tcPr>
          <w:p w:rsidRPr="004D1CD4" w:rsidR="004D1CD4" w:rsidP="00EE7857" w:rsidRDefault="004D1CD4" w14:paraId="0203214C" w14:textId="5ED60078">
            <w:pPr>
              <w:spacing w:after="0"/>
              <w:jc w:val="right"/>
              <w:rPr>
                <w:rFonts w:cs="Arial"/>
              </w:rPr>
            </w:pPr>
            <w:r w:rsidRPr="004D1CD4">
              <w:rPr>
                <w:rFonts w:cs="Arial"/>
              </w:rPr>
              <w:t>7</w:t>
            </w:r>
            <w:r w:rsidR="000B0C97">
              <w:rPr>
                <w:rFonts w:cs="Arial"/>
              </w:rPr>
              <w:t>1</w:t>
            </w:r>
            <w:r w:rsidRPr="004D1CD4">
              <w:rPr>
                <w:rFonts w:cs="Arial"/>
              </w:rPr>
              <w:t>.</w:t>
            </w:r>
            <w:r w:rsidR="000B0C97">
              <w:rPr>
                <w:rFonts w:cs="Arial"/>
              </w:rPr>
              <w:t>1</w:t>
            </w:r>
            <w:r w:rsidR="00646735">
              <w:rPr>
                <w:rFonts w:cs="Arial"/>
              </w:rPr>
              <w:t xml:space="preserve"> </w:t>
            </w:r>
            <w:r w:rsidRPr="004D1CD4">
              <w:rPr>
                <w:rFonts w:cs="Arial"/>
              </w:rPr>
              <w:t>p</w:t>
            </w:r>
            <w:r w:rsidR="00646735">
              <w:rPr>
                <w:rFonts w:cs="Arial"/>
              </w:rPr>
              <w:t>ence</w:t>
            </w:r>
          </w:p>
        </w:tc>
      </w:tr>
      <w:tr w:rsidRPr="004D1CD4" w:rsidR="004D1CD4" w:rsidTr="00A916FB" w14:paraId="432ABFB1" w14:textId="77777777">
        <w:trPr>
          <w:cantSplit/>
          <w:trHeight w:val="314"/>
        </w:trPr>
        <w:tc>
          <w:tcPr>
            <w:tcW w:w="5387" w:type="dxa"/>
            <w:tcBorders>
              <w:top w:val="nil"/>
              <w:left w:val="nil"/>
              <w:bottom w:val="nil"/>
              <w:right w:val="nil"/>
            </w:tcBorders>
            <w:shd w:val="clear" w:color="000000" w:fill="FFFFFF"/>
            <w:noWrap/>
            <w:vAlign w:val="bottom"/>
            <w:hideMark/>
          </w:tcPr>
          <w:p w:rsidRPr="004D1CD4" w:rsidR="004D1CD4" w:rsidP="00EE7857" w:rsidRDefault="00A916FB" w14:paraId="0865A92C" w14:textId="50663CE2">
            <w:pPr>
              <w:spacing w:after="0"/>
              <w:rPr>
                <w:rFonts w:cs="Arial"/>
              </w:rPr>
            </w:pPr>
            <w:r>
              <w:rPr>
                <w:rFonts w:cs="Arial"/>
              </w:rPr>
              <w:t>Firm offer announcement of offer price achieved</w:t>
            </w:r>
          </w:p>
        </w:tc>
        <w:tc>
          <w:tcPr>
            <w:tcW w:w="1984" w:type="dxa"/>
            <w:tcBorders>
              <w:top w:val="nil"/>
              <w:left w:val="nil"/>
              <w:bottom w:val="nil"/>
              <w:right w:val="nil"/>
            </w:tcBorders>
            <w:shd w:val="clear" w:color="000000" w:fill="FFFFFF"/>
            <w:noWrap/>
            <w:vAlign w:val="bottom"/>
            <w:hideMark/>
          </w:tcPr>
          <w:p w:rsidRPr="004D1CD4" w:rsidR="004D1CD4" w:rsidP="00EE7857" w:rsidRDefault="004D1CD4" w14:paraId="3F17A97E" w14:textId="77777777">
            <w:pPr>
              <w:spacing w:after="0"/>
              <w:jc w:val="right"/>
              <w:rPr>
                <w:rFonts w:cs="Arial"/>
              </w:rPr>
            </w:pPr>
            <w:r w:rsidRPr="004D1CD4">
              <w:rPr>
                <w:rFonts w:cs="Arial"/>
              </w:rPr>
              <w:t>3 June 2024</w:t>
            </w:r>
          </w:p>
        </w:tc>
        <w:tc>
          <w:tcPr>
            <w:tcW w:w="1985" w:type="dxa"/>
            <w:tcBorders>
              <w:top w:val="nil"/>
              <w:left w:val="nil"/>
              <w:bottom w:val="nil"/>
              <w:right w:val="nil"/>
            </w:tcBorders>
            <w:shd w:val="clear" w:color="000000" w:fill="FFFFFF"/>
            <w:noWrap/>
            <w:vAlign w:val="bottom"/>
            <w:hideMark/>
          </w:tcPr>
          <w:p w:rsidRPr="004D1CD4" w:rsidR="004D1CD4" w:rsidP="00EE7857" w:rsidRDefault="004D1CD4" w14:paraId="09CE1C92" w14:textId="6A3331C0">
            <w:pPr>
              <w:spacing w:after="0"/>
              <w:jc w:val="right"/>
              <w:rPr>
                <w:rFonts w:cs="Arial"/>
              </w:rPr>
            </w:pPr>
            <w:r w:rsidRPr="004D1CD4">
              <w:rPr>
                <w:rFonts w:cs="Arial"/>
              </w:rPr>
              <w:t>102.</w:t>
            </w:r>
            <w:r w:rsidR="000B0C97">
              <w:rPr>
                <w:rFonts w:cs="Arial"/>
              </w:rPr>
              <w:t>6</w:t>
            </w:r>
            <w:r w:rsidR="004721FA">
              <w:rPr>
                <w:rFonts w:cs="Arial"/>
              </w:rPr>
              <w:t xml:space="preserve"> pence</w:t>
            </w:r>
          </w:p>
        </w:tc>
      </w:tr>
      <w:tr w:rsidRPr="004D1CD4" w:rsidR="004D1CD4" w:rsidTr="00A916FB" w14:paraId="13475568" w14:textId="77777777">
        <w:trPr>
          <w:cantSplit/>
          <w:trHeight w:val="314"/>
        </w:trPr>
        <w:tc>
          <w:tcPr>
            <w:tcW w:w="5387" w:type="dxa"/>
            <w:tcBorders>
              <w:top w:val="nil"/>
              <w:left w:val="nil"/>
              <w:bottom w:val="nil"/>
              <w:right w:val="nil"/>
            </w:tcBorders>
            <w:shd w:val="clear" w:color="000000" w:fill="FFFFFF"/>
            <w:noWrap/>
            <w:vAlign w:val="bottom"/>
            <w:hideMark/>
          </w:tcPr>
          <w:p w:rsidRPr="004D1CD4" w:rsidR="004D1CD4" w:rsidP="00EE7857" w:rsidRDefault="004D1CD4" w14:paraId="5A08BB0C" w14:textId="77777777">
            <w:pPr>
              <w:spacing w:after="0"/>
              <w:rPr>
                <w:rFonts w:cs="Arial"/>
              </w:rPr>
            </w:pPr>
            <w:r w:rsidRPr="004D1CD4">
              <w:rPr>
                <w:rFonts w:cs="Arial"/>
              </w:rPr>
              <w:t xml:space="preserve">IRR /return </w:t>
            </w:r>
          </w:p>
        </w:tc>
        <w:tc>
          <w:tcPr>
            <w:tcW w:w="1984" w:type="dxa"/>
            <w:tcBorders>
              <w:top w:val="nil"/>
              <w:left w:val="nil"/>
              <w:bottom w:val="nil"/>
              <w:right w:val="nil"/>
            </w:tcBorders>
            <w:shd w:val="clear" w:color="000000" w:fill="FFFFFF"/>
            <w:noWrap/>
            <w:vAlign w:val="bottom"/>
            <w:hideMark/>
          </w:tcPr>
          <w:p w:rsidRPr="004D1CD4" w:rsidR="004D1CD4" w:rsidP="00EE7857" w:rsidRDefault="004D1CD4" w14:paraId="1BFC9BB8" w14:textId="5687BB2A">
            <w:pPr>
              <w:spacing w:after="0"/>
              <w:jc w:val="right"/>
              <w:rPr>
                <w:rFonts w:cs="Arial"/>
              </w:rPr>
            </w:pPr>
            <w:r w:rsidRPr="004D1CD4">
              <w:rPr>
                <w:rFonts w:cs="Arial"/>
              </w:rPr>
              <w:t>8</w:t>
            </w:r>
            <w:r w:rsidR="000B0C97">
              <w:rPr>
                <w:rFonts w:cs="Arial"/>
              </w:rPr>
              <w:t>0</w:t>
            </w:r>
            <w:r w:rsidRPr="004D1CD4">
              <w:rPr>
                <w:rFonts w:cs="Arial"/>
              </w:rPr>
              <w:t>%</w:t>
            </w:r>
          </w:p>
        </w:tc>
        <w:tc>
          <w:tcPr>
            <w:tcW w:w="1985" w:type="dxa"/>
            <w:tcBorders>
              <w:top w:val="nil"/>
              <w:left w:val="nil"/>
              <w:bottom w:val="nil"/>
              <w:right w:val="nil"/>
            </w:tcBorders>
            <w:shd w:val="clear" w:color="000000" w:fill="FFFFFF"/>
            <w:noWrap/>
            <w:vAlign w:val="bottom"/>
            <w:hideMark/>
          </w:tcPr>
          <w:p w:rsidRPr="004D1CD4" w:rsidR="004D1CD4" w:rsidP="00EE7857" w:rsidRDefault="004D1CD4" w14:paraId="44EEABF3" w14:textId="74A2238D">
            <w:pPr>
              <w:spacing w:after="0"/>
              <w:jc w:val="right"/>
              <w:rPr>
                <w:rFonts w:cs="Arial"/>
              </w:rPr>
            </w:pPr>
            <w:r w:rsidRPr="004D1CD4">
              <w:rPr>
                <w:rFonts w:cs="Arial"/>
              </w:rPr>
              <w:t>4</w:t>
            </w:r>
            <w:r w:rsidR="000B0C97">
              <w:rPr>
                <w:rFonts w:cs="Arial"/>
              </w:rPr>
              <w:t>4</w:t>
            </w:r>
            <w:r w:rsidRPr="004D1CD4">
              <w:rPr>
                <w:rFonts w:cs="Arial"/>
              </w:rPr>
              <w:t>%</w:t>
            </w:r>
          </w:p>
        </w:tc>
      </w:tr>
    </w:tbl>
    <w:p w:rsidR="00FE6B98" w:rsidP="00FE6B98" w:rsidRDefault="00FE6B98" w14:paraId="27E6A868" w14:textId="77777777">
      <w:pPr>
        <w:spacing w:after="0"/>
        <w:rPr>
          <w:rFonts w:cs="Arial"/>
        </w:rPr>
      </w:pPr>
    </w:p>
    <w:p w:rsidRPr="00AE63E9" w:rsidR="00AE63E9" w:rsidP="00AE63E9" w:rsidRDefault="00AE63E9" w14:paraId="24082166" w14:textId="2A78281A">
      <w:pPr>
        <w:rPr>
          <w:rFonts w:cs="Arial"/>
          <w:i/>
          <w:iCs/>
        </w:rPr>
      </w:pPr>
      <w:r>
        <w:rPr>
          <w:rFonts w:cs="Arial"/>
        </w:rPr>
        <w:t>(</w:t>
      </w:r>
      <w:r>
        <w:rPr>
          <w:rFonts w:cs="Arial"/>
          <w:i/>
          <w:iCs/>
        </w:rPr>
        <w:t xml:space="preserve">Source: </w:t>
      </w:r>
      <w:proofErr w:type="spellStart"/>
      <w:r w:rsidR="00C76EF0">
        <w:rPr>
          <w:rFonts w:cs="Arial"/>
          <w:i/>
          <w:iCs/>
        </w:rPr>
        <w:t>Factset</w:t>
      </w:r>
      <w:proofErr w:type="spellEnd"/>
      <w:r>
        <w:rPr>
          <w:rFonts w:cs="Arial"/>
          <w:i/>
          <w:iCs/>
        </w:rPr>
        <w:t>)</w:t>
      </w:r>
    </w:p>
    <w:p w:rsidRPr="00EA0F75" w:rsidR="006548C6" w:rsidP="00C27D12" w:rsidRDefault="006548C6" w14:paraId="3319CD15" w14:textId="5548B93F">
      <w:pPr>
        <w:pStyle w:val="Heading1"/>
        <w:rPr>
          <w:rFonts w:cs="Arial"/>
          <w:caps w:val="0"/>
        </w:rPr>
      </w:pPr>
      <w:r w:rsidRPr="00EA0F75">
        <w:rPr>
          <w:rFonts w:cs="Arial"/>
          <w:caps w:val="0"/>
        </w:rPr>
        <w:t>DIVIDEND POLICY</w:t>
      </w:r>
    </w:p>
    <w:p w:rsidRPr="00E84146" w:rsidR="00E84146" w:rsidP="00E84146" w:rsidRDefault="00E84146" w14:paraId="03FC248F" w14:textId="77777777">
      <w:pPr>
        <w:rPr>
          <w:rFonts w:cs="Arial"/>
          <w:szCs w:val="20"/>
        </w:rPr>
      </w:pPr>
      <w:r w:rsidRPr="00E84146">
        <w:rPr>
          <w:rFonts w:cs="Arial"/>
          <w:szCs w:val="20"/>
        </w:rPr>
        <w:t>The Directors intend to manage the Company’s affairs to achieve Shareholder returns through capital growth rather than income. Therefore, it should not be expected that the Company will pay significant dividends, if any.</w:t>
      </w:r>
    </w:p>
    <w:p w:rsidRPr="00E84146" w:rsidR="00E84146" w:rsidP="00E84146" w:rsidRDefault="00E84146" w14:paraId="2D230F2F" w14:textId="77777777">
      <w:pPr>
        <w:rPr>
          <w:rFonts w:cs="Arial"/>
          <w:szCs w:val="20"/>
        </w:rPr>
      </w:pPr>
      <w:r w:rsidRPr="00E84146">
        <w:rPr>
          <w:rFonts w:cs="Arial"/>
          <w:szCs w:val="20"/>
        </w:rPr>
        <w:t>The proceeds of any redemptions under the Redemption Mechanism (and any dividends, if paid) will be paid in Sterling. Any redemptions under the Redemption Mechanism (and the payment of any other distributions) will be subject to compliance with the solvency test prescribed by Guernsey law.</w:t>
      </w:r>
    </w:p>
    <w:p w:rsidRPr="00D8094B" w:rsidR="00E84146" w:rsidP="00E84146" w:rsidRDefault="00E84146" w14:paraId="5E6D8146" w14:textId="350A373F">
      <w:pPr>
        <w:rPr>
          <w:rFonts w:cs="Arial"/>
          <w:szCs w:val="20"/>
        </w:rPr>
      </w:pPr>
      <w:r w:rsidRPr="00E84146">
        <w:rPr>
          <w:rFonts w:cs="Arial"/>
          <w:szCs w:val="20"/>
        </w:rPr>
        <w:t>On a solvent or insolvent winding up of the Company, the liquidator of the Company may, with the authority of a special resolution of Shareholders distribute any remaining assets of the Company to Shareholders in specie. The Company has issued no securities which would rank in priority to the Ordinary Shares for distributions in the event of a winding up of the Company (whether solvent or insolvent).</w:t>
      </w:r>
    </w:p>
    <w:p w:rsidRPr="00D8094B" w:rsidR="00C26CC8" w:rsidP="00C27D12" w:rsidRDefault="00E84146" w14:paraId="00615BC0" w14:textId="2F766DDB">
      <w:pPr>
        <w:pStyle w:val="Heading1"/>
        <w:rPr>
          <w:rFonts w:cs="Arial"/>
          <w:i/>
          <w:caps w:val="0"/>
        </w:rPr>
      </w:pPr>
      <w:r>
        <w:rPr>
          <w:rFonts w:cs="Arial"/>
          <w:caps w:val="0"/>
        </w:rPr>
        <w:t xml:space="preserve">THE </w:t>
      </w:r>
      <w:r w:rsidRPr="00D8094B" w:rsidR="00C26CC8">
        <w:rPr>
          <w:rFonts w:cs="Arial"/>
          <w:caps w:val="0"/>
        </w:rPr>
        <w:t>REDEMPTION MECHANISM</w:t>
      </w:r>
    </w:p>
    <w:p w:rsidRPr="00D8094B" w:rsidR="00104FD0" w:rsidP="00D8094B" w:rsidRDefault="00D8094B" w14:paraId="25612A62" w14:textId="182BE280">
      <w:pPr>
        <w:rPr>
          <w:rFonts w:cs="Arial"/>
          <w:szCs w:val="20"/>
        </w:rPr>
      </w:pPr>
      <w:bookmarkStart w:name="_Hlk188551968" w:id="120"/>
      <w:r w:rsidRPr="00D8094B">
        <w:rPr>
          <w:rFonts w:cs="Arial"/>
          <w:szCs w:val="20"/>
        </w:rPr>
        <w:t xml:space="preserve">As a mechanism for returning capital </w:t>
      </w:r>
      <w:r w:rsidR="00E00CFF">
        <w:rPr>
          <w:rFonts w:cs="Arial"/>
          <w:szCs w:val="20"/>
        </w:rPr>
        <w:t xml:space="preserve">(including realised </w:t>
      </w:r>
      <w:r w:rsidRPr="00D8094B">
        <w:rPr>
          <w:rFonts w:cs="Arial"/>
          <w:szCs w:val="20"/>
        </w:rPr>
        <w:t>profits</w:t>
      </w:r>
      <w:r w:rsidR="00E00CFF">
        <w:rPr>
          <w:rFonts w:cs="Arial"/>
          <w:szCs w:val="20"/>
        </w:rPr>
        <w:t>)</w:t>
      </w:r>
      <w:r w:rsidRPr="00D8094B">
        <w:rPr>
          <w:rFonts w:cs="Arial"/>
          <w:szCs w:val="20"/>
        </w:rPr>
        <w:t xml:space="preserve"> to Shareholders, the Company may, from time to time, invite Shareholders to tender some or all of their Ordinary</w:t>
      </w:r>
      <w:r w:rsidRPr="00132D42">
        <w:rPr>
          <w:rFonts w:cs="Arial"/>
          <w:szCs w:val="20"/>
        </w:rPr>
        <w:t xml:space="preserve"> Shares for redemption.  </w:t>
      </w:r>
    </w:p>
    <w:p w:rsidRPr="001054A4" w:rsidR="00C26CC8" w:rsidP="00F32BF2" w:rsidRDefault="00C26CC8" w14:paraId="0E1C2830" w14:textId="1E14F755">
      <w:pPr>
        <w:pStyle w:val="Heading1"/>
        <w:keepNext w:val="0"/>
        <w:numPr>
          <w:ilvl w:val="0"/>
          <w:numId w:val="0"/>
        </w:numPr>
        <w:rPr>
          <w:rFonts w:cs="Arial"/>
          <w:caps w:val="0"/>
        </w:rPr>
      </w:pPr>
      <w:r w:rsidRPr="001054A4">
        <w:rPr>
          <w:rFonts w:cs="Arial"/>
          <w:caps w:val="0"/>
        </w:rPr>
        <w:t>Shareholders and prospective Shareholders should note that the operation of the Redemption Mec</w:t>
      </w:r>
      <w:r w:rsidRPr="001054A4" w:rsidR="00222782">
        <w:rPr>
          <w:rFonts w:cs="Arial"/>
          <w:caps w:val="0"/>
        </w:rPr>
        <w:t>hanism is entirely at the discretion of the Board</w:t>
      </w:r>
      <w:r w:rsidRPr="001054A4">
        <w:rPr>
          <w:rFonts w:cs="Arial"/>
          <w:caps w:val="0"/>
        </w:rPr>
        <w:t xml:space="preserve"> and no expectation or reliance should be placed on the Directors exercising such discret</w:t>
      </w:r>
      <w:r w:rsidRPr="001054A4" w:rsidR="00222782">
        <w:rPr>
          <w:rFonts w:cs="Arial"/>
          <w:caps w:val="0"/>
        </w:rPr>
        <w:t>ion at any particular time</w:t>
      </w:r>
      <w:r w:rsidRPr="001054A4">
        <w:rPr>
          <w:rFonts w:cs="Arial"/>
          <w:caps w:val="0"/>
        </w:rPr>
        <w:t>.</w:t>
      </w:r>
    </w:p>
    <w:p w:rsidRPr="00676664" w:rsidR="00222782" w:rsidP="00F32BF2" w:rsidRDefault="00222782" w14:paraId="1E54B8DE" w14:textId="38A2DEE9">
      <w:pPr>
        <w:pStyle w:val="Heading1"/>
        <w:keepNext w:val="0"/>
        <w:numPr>
          <w:ilvl w:val="0"/>
          <w:numId w:val="0"/>
        </w:numPr>
        <w:rPr>
          <w:rFonts w:cs="Arial"/>
          <w:b w:val="0"/>
          <w:caps w:val="0"/>
        </w:rPr>
      </w:pPr>
      <w:r w:rsidRPr="00676664">
        <w:rPr>
          <w:rFonts w:cs="Arial"/>
          <w:b w:val="0"/>
          <w:caps w:val="0"/>
        </w:rPr>
        <w:t xml:space="preserve">When the Board decides to operate the Redemption Mechanism, the </w:t>
      </w:r>
      <w:r w:rsidRPr="00676664" w:rsidR="00084701">
        <w:rPr>
          <w:rFonts w:cs="Arial"/>
          <w:b w:val="0"/>
          <w:caps w:val="0"/>
        </w:rPr>
        <w:t>Board</w:t>
      </w:r>
      <w:r w:rsidRPr="00676664">
        <w:rPr>
          <w:rFonts w:cs="Arial"/>
          <w:b w:val="0"/>
          <w:caps w:val="0"/>
        </w:rPr>
        <w:t xml:space="preserve"> will promptly announce </w:t>
      </w:r>
      <w:r w:rsidRPr="00676664" w:rsidR="00084701">
        <w:rPr>
          <w:rFonts w:cs="Arial"/>
          <w:b w:val="0"/>
          <w:caps w:val="0"/>
        </w:rPr>
        <w:t>its</w:t>
      </w:r>
      <w:r w:rsidRPr="00676664">
        <w:rPr>
          <w:rFonts w:cs="Arial"/>
          <w:b w:val="0"/>
          <w:caps w:val="0"/>
        </w:rPr>
        <w:t xml:space="preserve"> </w:t>
      </w:r>
      <w:r w:rsidRPr="00676664" w:rsidR="00E00CFF">
        <w:rPr>
          <w:rFonts w:cs="Arial"/>
          <w:b w:val="0"/>
          <w:caps w:val="0"/>
        </w:rPr>
        <w:t>intentions,</w:t>
      </w:r>
      <w:r w:rsidRPr="00676664">
        <w:rPr>
          <w:rFonts w:cs="Arial"/>
          <w:b w:val="0"/>
          <w:caps w:val="0"/>
        </w:rPr>
        <w:t xml:space="preserve"> and such announcement will include the following details:</w:t>
      </w:r>
    </w:p>
    <w:p w:rsidRPr="00676664" w:rsidR="00676664" w:rsidP="00F32BF2" w:rsidRDefault="00676664" w14:paraId="3C311921" w14:textId="79A91899">
      <w:pPr>
        <w:pStyle w:val="Heading1"/>
        <w:keepNext w:val="0"/>
        <w:numPr>
          <w:ilvl w:val="0"/>
          <w:numId w:val="55"/>
        </w:numPr>
        <w:rPr>
          <w:rFonts w:cs="Arial"/>
          <w:b w:val="0"/>
          <w:caps w:val="0"/>
        </w:rPr>
      </w:pPr>
      <w:r w:rsidRPr="00676664">
        <w:rPr>
          <w:rFonts w:cs="Arial"/>
          <w:b w:val="0"/>
          <w:caps w:val="0"/>
        </w:rPr>
        <w:t>the date by which Redemption Requests must be received by the Company</w:t>
      </w:r>
      <w:r w:rsidR="00B43818">
        <w:rPr>
          <w:rFonts w:cs="Arial"/>
          <w:b w:val="0"/>
          <w:caps w:val="0"/>
        </w:rPr>
        <w:t>;</w:t>
      </w:r>
    </w:p>
    <w:p w:rsidRPr="00676664" w:rsidR="00222782" w:rsidP="00F32BF2" w:rsidRDefault="00222782" w14:paraId="3344DA2A" w14:textId="7EFF23E4">
      <w:pPr>
        <w:pStyle w:val="Heading1"/>
        <w:keepNext w:val="0"/>
        <w:numPr>
          <w:ilvl w:val="0"/>
          <w:numId w:val="55"/>
        </w:numPr>
        <w:rPr>
          <w:rFonts w:cs="Arial"/>
          <w:b w:val="0"/>
          <w:caps w:val="0"/>
        </w:rPr>
      </w:pPr>
      <w:r w:rsidRPr="00676664">
        <w:rPr>
          <w:rFonts w:cs="Arial"/>
          <w:b w:val="0"/>
          <w:caps w:val="0"/>
        </w:rPr>
        <w:t xml:space="preserve">the Redemption </w:t>
      </w:r>
      <w:r w:rsidR="00C658D8">
        <w:rPr>
          <w:rFonts w:cs="Arial"/>
          <w:b w:val="0"/>
          <w:caps w:val="0"/>
        </w:rPr>
        <w:t>Point</w:t>
      </w:r>
      <w:r w:rsidRPr="00676664">
        <w:rPr>
          <w:rFonts w:cs="Arial"/>
          <w:b w:val="0"/>
          <w:caps w:val="0"/>
        </w:rPr>
        <w:t xml:space="preserve"> (</w:t>
      </w:r>
      <w:r w:rsidR="00C658D8">
        <w:rPr>
          <w:rFonts w:cs="Arial"/>
          <w:b w:val="0"/>
          <w:caps w:val="0"/>
        </w:rPr>
        <w:t>at</w:t>
      </w:r>
      <w:r w:rsidRPr="00676664">
        <w:rPr>
          <w:rFonts w:cs="Arial"/>
          <w:b w:val="0"/>
          <w:caps w:val="0"/>
        </w:rPr>
        <w:t xml:space="preserve"> which the redemption will become effective);</w:t>
      </w:r>
    </w:p>
    <w:p w:rsidRPr="00676664" w:rsidR="00222782" w:rsidP="00F32BF2" w:rsidRDefault="00222782" w14:paraId="73725BF7" w14:textId="3E9E4A30">
      <w:pPr>
        <w:pStyle w:val="Heading1"/>
        <w:keepNext w:val="0"/>
        <w:numPr>
          <w:ilvl w:val="0"/>
          <w:numId w:val="55"/>
        </w:numPr>
        <w:rPr>
          <w:rFonts w:cs="Arial"/>
          <w:b w:val="0"/>
          <w:caps w:val="0"/>
        </w:rPr>
      </w:pPr>
      <w:r w:rsidRPr="00676664">
        <w:rPr>
          <w:rFonts w:cs="Arial"/>
          <w:b w:val="0"/>
          <w:caps w:val="0"/>
        </w:rPr>
        <w:t xml:space="preserve">the </w:t>
      </w:r>
      <w:r w:rsidRPr="00676664" w:rsidR="00676664">
        <w:rPr>
          <w:rFonts w:cs="Arial"/>
          <w:b w:val="0"/>
          <w:caps w:val="0"/>
        </w:rPr>
        <w:t xml:space="preserve">maximum </w:t>
      </w:r>
      <w:r w:rsidRPr="00676664">
        <w:rPr>
          <w:rFonts w:cs="Arial"/>
          <w:b w:val="0"/>
          <w:caps w:val="0"/>
        </w:rPr>
        <w:t>size of the proposed redemption; and</w:t>
      </w:r>
    </w:p>
    <w:p w:rsidRPr="00676664" w:rsidR="00222782" w:rsidP="00F32BF2" w:rsidRDefault="00222782" w14:paraId="5D704778" w14:textId="5B2C5DF2">
      <w:pPr>
        <w:pStyle w:val="Heading1"/>
        <w:keepNext w:val="0"/>
        <w:numPr>
          <w:ilvl w:val="0"/>
          <w:numId w:val="55"/>
        </w:numPr>
        <w:rPr>
          <w:rFonts w:cs="Arial"/>
          <w:b w:val="0"/>
          <w:caps w:val="0"/>
        </w:rPr>
      </w:pPr>
      <w:r w:rsidRPr="00676664">
        <w:rPr>
          <w:rFonts w:cs="Arial"/>
          <w:b w:val="0"/>
          <w:caps w:val="0"/>
        </w:rPr>
        <w:t>any additional information that the Board deems necessary to include in connection with the redemption.</w:t>
      </w:r>
    </w:p>
    <w:p w:rsidR="00104FD0" w:rsidP="00F32BF2" w:rsidRDefault="00104FD0" w14:paraId="0F377327" w14:textId="0A7D09A7">
      <w:pPr>
        <w:pStyle w:val="Heading1"/>
        <w:keepNext w:val="0"/>
        <w:numPr>
          <w:ilvl w:val="0"/>
          <w:numId w:val="0"/>
        </w:numPr>
        <w:rPr>
          <w:rFonts w:cs="Arial"/>
          <w:b w:val="0"/>
          <w:caps w:val="0"/>
        </w:rPr>
      </w:pPr>
      <w:r>
        <w:rPr>
          <w:rFonts w:cs="Arial"/>
          <w:b w:val="0"/>
          <w:caps w:val="0"/>
        </w:rPr>
        <w:t>The Directors shall have absolute discretion to scale back any Redemption Requests, in particular so that aggregate Redemption Requests do not exceed the maximum size of the proposed redemption.</w:t>
      </w:r>
    </w:p>
    <w:p w:rsidR="00104FD0" w:rsidP="00F32BF2" w:rsidRDefault="00104FD0" w14:paraId="525F7531" w14:textId="39E5BB62">
      <w:pPr>
        <w:pStyle w:val="Heading1"/>
        <w:keepNext w:val="0"/>
        <w:numPr>
          <w:ilvl w:val="0"/>
          <w:numId w:val="0"/>
        </w:numPr>
        <w:rPr>
          <w:rFonts w:cs="Arial"/>
          <w:b w:val="0"/>
          <w:caps w:val="0"/>
        </w:rPr>
      </w:pPr>
      <w:r w:rsidRPr="00104FD0">
        <w:rPr>
          <w:rFonts w:cs="Arial"/>
          <w:b w:val="0"/>
          <w:caps w:val="0"/>
        </w:rPr>
        <w:t>The operation of the Redemption Mechanism shall at all times be subject to the ability of the Directors to make the solvency statement required by the Companies Law.</w:t>
      </w:r>
    </w:p>
    <w:p w:rsidR="00332312" w:rsidP="00F32BF2" w:rsidRDefault="00E00CFF" w14:paraId="4EA23CBC" w14:textId="7D3A8882">
      <w:pPr>
        <w:pStyle w:val="Heading1"/>
        <w:keepNext w:val="0"/>
        <w:numPr>
          <w:ilvl w:val="0"/>
          <w:numId w:val="0"/>
        </w:numPr>
      </w:pPr>
      <w:r>
        <w:rPr>
          <w:rFonts w:cs="Arial"/>
          <w:b w:val="0"/>
          <w:caps w:val="0"/>
        </w:rPr>
        <w:lastRenderedPageBreak/>
        <w:t xml:space="preserve">In relation to any redemption under the Redemption Mechanism, the applicable Redemption Price per Ordinary Share shall be equal to </w:t>
      </w:r>
      <w:r w:rsidRPr="00676664" w:rsidR="00332312">
        <w:rPr>
          <w:rFonts w:cs="Arial"/>
          <w:b w:val="0"/>
          <w:caps w:val="0"/>
        </w:rPr>
        <w:t xml:space="preserve">the </w:t>
      </w:r>
      <w:r w:rsidRPr="00FE1B3B" w:rsidR="00FE1B3B">
        <w:rPr>
          <w:rFonts w:cs="Arial"/>
          <w:b w:val="0"/>
          <w:caps w:val="0"/>
        </w:rPr>
        <w:t xml:space="preserve">prevailing published Net Asset Value per Ordinary Share (audited or unaudited) </w:t>
      </w:r>
      <w:r w:rsidRPr="00676664" w:rsidR="00332312">
        <w:rPr>
          <w:rFonts w:cs="Arial"/>
          <w:b w:val="0"/>
          <w:caps w:val="0"/>
        </w:rPr>
        <w:t xml:space="preserve">as at the </w:t>
      </w:r>
      <w:r w:rsidR="00A12F16">
        <w:rPr>
          <w:rFonts w:cs="Arial"/>
          <w:b w:val="0"/>
          <w:caps w:val="0"/>
        </w:rPr>
        <w:t>appropriate</w:t>
      </w:r>
      <w:r w:rsidR="00566A65">
        <w:rPr>
          <w:rFonts w:cs="Arial"/>
          <w:b w:val="0"/>
          <w:caps w:val="0"/>
        </w:rPr>
        <w:t xml:space="preserve"> Valuation Point</w:t>
      </w:r>
      <w:r w:rsidRPr="00676664" w:rsidR="00332312">
        <w:rPr>
          <w:rFonts w:cs="Arial"/>
          <w:b w:val="0"/>
          <w:caps w:val="0"/>
        </w:rPr>
        <w:t xml:space="preserve"> less </w:t>
      </w:r>
      <w:r w:rsidRPr="00676664" w:rsidR="00676664">
        <w:rPr>
          <w:rFonts w:cs="Arial"/>
          <w:b w:val="0"/>
          <w:caps w:val="0"/>
        </w:rPr>
        <w:t>a 2 per cent. deduction (to cover costs and provisions)</w:t>
      </w:r>
      <w:r w:rsidRPr="00676664" w:rsidR="00332312">
        <w:rPr>
          <w:rFonts w:cs="Arial"/>
          <w:b w:val="0"/>
          <w:caps w:val="0"/>
        </w:rPr>
        <w:t>.</w:t>
      </w:r>
      <w:r w:rsidRPr="00676664" w:rsidR="00332312">
        <w:t xml:space="preserve"> </w:t>
      </w:r>
    </w:p>
    <w:p w:rsidRPr="001054A4" w:rsidR="00332312" w:rsidP="00F32BF2" w:rsidRDefault="00332312" w14:paraId="62FAE10D" w14:textId="6F4F3C9F">
      <w:pPr>
        <w:pStyle w:val="Heading1"/>
        <w:keepNext w:val="0"/>
        <w:numPr>
          <w:ilvl w:val="0"/>
          <w:numId w:val="0"/>
        </w:numPr>
        <w:rPr>
          <w:rFonts w:cs="Arial"/>
          <w:b w:val="0"/>
          <w:caps w:val="0"/>
        </w:rPr>
      </w:pPr>
      <w:r w:rsidRPr="001054A4">
        <w:rPr>
          <w:rFonts w:cs="Arial"/>
          <w:b w:val="0"/>
          <w:caps w:val="0"/>
        </w:rPr>
        <w:t xml:space="preserve">The redemption moneys payable in respect of the redemption of any Ordinary Shares will be paid to the holder (or, in the case of joint holders, to the holder whose name stands first in the register in respect of the shares) at his </w:t>
      </w:r>
      <w:r w:rsidR="00B43818">
        <w:rPr>
          <w:rFonts w:cs="Arial"/>
          <w:b w:val="0"/>
          <w:caps w:val="0"/>
        </w:rPr>
        <w:t xml:space="preserve">or her </w:t>
      </w:r>
      <w:r w:rsidRPr="001054A4">
        <w:rPr>
          <w:rFonts w:cs="Arial"/>
          <w:b w:val="0"/>
          <w:caps w:val="0"/>
        </w:rPr>
        <w:t xml:space="preserve">own risk within 10 Business Days of the relevant Redemption </w:t>
      </w:r>
      <w:r w:rsidR="00C658D8">
        <w:rPr>
          <w:rFonts w:cs="Arial"/>
          <w:b w:val="0"/>
          <w:caps w:val="0"/>
        </w:rPr>
        <w:t>Point</w:t>
      </w:r>
      <w:r w:rsidRPr="001054A4">
        <w:rPr>
          <w:rFonts w:cs="Arial"/>
          <w:b w:val="0"/>
          <w:caps w:val="0"/>
        </w:rPr>
        <w:t xml:space="preserve">. </w:t>
      </w:r>
    </w:p>
    <w:p w:rsidRPr="00676664" w:rsidR="00222782" w:rsidP="00F32BF2" w:rsidRDefault="00222782" w14:paraId="45974F57" w14:textId="63EFB4F7">
      <w:pPr>
        <w:pStyle w:val="Heading1"/>
        <w:keepNext w:val="0"/>
        <w:numPr>
          <w:ilvl w:val="0"/>
          <w:numId w:val="0"/>
        </w:numPr>
        <w:rPr>
          <w:rFonts w:cs="Arial"/>
          <w:b w:val="0"/>
          <w:caps w:val="0"/>
        </w:rPr>
      </w:pPr>
      <w:r w:rsidRPr="00676664">
        <w:rPr>
          <w:rFonts w:cs="Arial"/>
          <w:b w:val="0"/>
          <w:caps w:val="0"/>
        </w:rPr>
        <w:t xml:space="preserve">The costs incurred in relation to a redemption will include any fees incurred by </w:t>
      </w:r>
      <w:r w:rsidRPr="00676664" w:rsidR="00B57C1E">
        <w:rPr>
          <w:rFonts w:cs="Arial"/>
          <w:b w:val="0"/>
          <w:caps w:val="0"/>
        </w:rPr>
        <w:t xml:space="preserve">advisers and the </w:t>
      </w:r>
      <w:r w:rsidR="007C2800">
        <w:rPr>
          <w:rFonts w:cs="Arial"/>
          <w:b w:val="0"/>
          <w:caps w:val="0"/>
        </w:rPr>
        <w:t>Registrar</w:t>
      </w:r>
      <w:r w:rsidRPr="00676664">
        <w:rPr>
          <w:rFonts w:cs="Arial"/>
          <w:b w:val="0"/>
          <w:caps w:val="0"/>
        </w:rPr>
        <w:t xml:space="preserve"> in connection with the redemption. The Company will not redeem fractions of Ordinary Shares.</w:t>
      </w:r>
    </w:p>
    <w:p w:rsidRPr="001054A4" w:rsidR="00A67053" w:rsidP="00F32BF2" w:rsidRDefault="00A67053" w14:paraId="53B8E227" w14:textId="61D41FDE">
      <w:pPr>
        <w:rPr>
          <w:rFonts w:cs="Arial"/>
          <w:iCs/>
          <w:spacing w:val="-2"/>
          <w:szCs w:val="16"/>
        </w:rPr>
      </w:pPr>
      <w:r w:rsidRPr="001054A4">
        <w:rPr>
          <w:rFonts w:cs="Arial"/>
          <w:iCs/>
          <w:spacing w:val="-2"/>
          <w:szCs w:val="16"/>
        </w:rPr>
        <w:t>The Articles provide the Directors with authority and power to take all such steps, including the execution of documents on behalf of Shareholders, as they may consider, in their discretion, necessary to implement any redemption of Ordinary Shares.</w:t>
      </w:r>
    </w:p>
    <w:p w:rsidR="002432DD" w:rsidP="00F32BF2" w:rsidRDefault="00222782" w14:paraId="12FE731C" w14:textId="34343BBA">
      <w:pPr>
        <w:pStyle w:val="Heading1"/>
        <w:keepNext w:val="0"/>
        <w:numPr>
          <w:ilvl w:val="0"/>
          <w:numId w:val="0"/>
        </w:numPr>
        <w:rPr>
          <w:rFonts w:cs="Arial"/>
          <w:b w:val="0"/>
          <w:caps w:val="0"/>
        </w:rPr>
      </w:pPr>
      <w:r w:rsidRPr="001054A4">
        <w:rPr>
          <w:rFonts w:cs="Arial"/>
          <w:b w:val="0"/>
          <w:caps w:val="0"/>
        </w:rPr>
        <w:t xml:space="preserve">Ordinary Shares that are redeemed pursuant to the Redemption Mechanism will be cancelled with effect from the Redemption </w:t>
      </w:r>
      <w:r w:rsidR="00C658D8">
        <w:rPr>
          <w:rFonts w:cs="Arial"/>
          <w:b w:val="0"/>
          <w:caps w:val="0"/>
        </w:rPr>
        <w:t>Point</w:t>
      </w:r>
      <w:r w:rsidRPr="001054A4">
        <w:rPr>
          <w:rFonts w:cs="Arial"/>
          <w:b w:val="0"/>
          <w:caps w:val="0"/>
        </w:rPr>
        <w:t xml:space="preserve"> and will not be held in treasury. Therefore, once redeemed, Ordinary Shares will be incapable of transfer.</w:t>
      </w:r>
    </w:p>
    <w:p w:rsidRPr="00104FD0" w:rsidR="002B5792" w:rsidP="00F32BF2" w:rsidRDefault="002B5792" w14:paraId="1B18454A" w14:textId="29AE2815">
      <w:pPr>
        <w:pStyle w:val="Heading1"/>
        <w:keepNext w:val="0"/>
        <w:numPr>
          <w:ilvl w:val="0"/>
          <w:numId w:val="0"/>
        </w:numPr>
        <w:rPr>
          <w:rFonts w:cs="Arial"/>
          <w:b w:val="0"/>
          <w:caps w:val="0"/>
        </w:rPr>
      </w:pPr>
      <w:r>
        <w:rPr>
          <w:rFonts w:cs="Arial"/>
          <w:b w:val="0"/>
          <w:caps w:val="0"/>
        </w:rPr>
        <w:t>Further details of the Redemption Mechanism are set out in Part 9 of this document.</w:t>
      </w:r>
    </w:p>
    <w:bookmarkEnd w:id="120"/>
    <w:p w:rsidRPr="00EA0F75" w:rsidR="00BB3D67" w:rsidP="00C27D12" w:rsidRDefault="007D44A6" w14:paraId="7980267A" w14:textId="61F797ED">
      <w:pPr>
        <w:pStyle w:val="Heading1"/>
        <w:rPr>
          <w:rFonts w:cs="Arial"/>
          <w:i/>
          <w:caps w:val="0"/>
        </w:rPr>
      </w:pPr>
      <w:r w:rsidRPr="00EA0F75">
        <w:rPr>
          <w:rFonts w:cs="Arial"/>
          <w:caps w:val="0"/>
        </w:rPr>
        <w:t>NET ASSET VALUE</w:t>
      </w:r>
      <w:r w:rsidRPr="00EA0F75" w:rsidR="00BB3D67">
        <w:rPr>
          <w:rFonts w:cs="Arial"/>
          <w:caps w:val="0"/>
        </w:rPr>
        <w:t xml:space="preserve"> </w:t>
      </w:r>
    </w:p>
    <w:p w:rsidRPr="00DE5D68" w:rsidR="00BB3D67" w:rsidP="00C27D12" w:rsidRDefault="00BB3D67" w14:paraId="0D169A87" w14:textId="158C3912">
      <w:pPr>
        <w:keepNext/>
        <w:rPr>
          <w:rFonts w:cs="Arial"/>
          <w:b/>
          <w:i/>
        </w:rPr>
      </w:pPr>
      <w:r w:rsidRPr="00DE5D68">
        <w:rPr>
          <w:rFonts w:cs="Arial"/>
          <w:b/>
          <w:i/>
        </w:rPr>
        <w:t xml:space="preserve">Publication of Net Asset Value per </w:t>
      </w:r>
      <w:r w:rsidR="007942E4">
        <w:rPr>
          <w:rFonts w:cs="Arial"/>
          <w:b/>
          <w:i/>
        </w:rPr>
        <w:t xml:space="preserve">Ordinary </w:t>
      </w:r>
      <w:r w:rsidRPr="00DE5D68">
        <w:rPr>
          <w:rFonts w:cs="Arial"/>
          <w:b/>
          <w:i/>
        </w:rPr>
        <w:t xml:space="preserve">Share </w:t>
      </w:r>
    </w:p>
    <w:p w:rsidRPr="00DE5D68" w:rsidR="0077264A" w:rsidP="004E26F5" w:rsidRDefault="004E26F5" w14:paraId="127C5A1D" w14:textId="0485AE19">
      <w:pPr>
        <w:rPr>
          <w:rFonts w:cs="Arial"/>
        </w:rPr>
      </w:pPr>
      <w:r w:rsidRPr="004E26F5">
        <w:rPr>
          <w:rFonts w:cs="Arial"/>
        </w:rPr>
        <w:t xml:space="preserve">The unaudited Net Asset Value per Ordinary Share will be calculated in Sterling by the Administrator on a </w:t>
      </w:r>
      <w:r w:rsidR="00413AAF">
        <w:rPr>
          <w:rFonts w:cs="Arial"/>
        </w:rPr>
        <w:t>monthly</w:t>
      </w:r>
      <w:r w:rsidRPr="004E26F5" w:rsidR="00413AAF">
        <w:rPr>
          <w:rFonts w:cs="Arial"/>
        </w:rPr>
        <w:t xml:space="preserve"> </w:t>
      </w:r>
      <w:r w:rsidRPr="004E26F5">
        <w:rPr>
          <w:rFonts w:cs="Arial"/>
        </w:rPr>
        <w:t>basis.</w:t>
      </w:r>
      <w:r w:rsidR="00F61840">
        <w:rPr>
          <w:rFonts w:cs="Arial"/>
        </w:rPr>
        <w:t xml:space="preserve"> Such calculations shall </w:t>
      </w:r>
      <w:r w:rsidRPr="004E26F5">
        <w:rPr>
          <w:rFonts w:cs="Arial"/>
        </w:rPr>
        <w:t xml:space="preserve">be published </w:t>
      </w:r>
      <w:r w:rsidR="00413AAF">
        <w:rPr>
          <w:rFonts w:cs="Arial"/>
        </w:rPr>
        <w:t>monthly</w:t>
      </w:r>
      <w:r w:rsidRPr="004E26F5">
        <w:rPr>
          <w:rFonts w:cs="Arial"/>
        </w:rPr>
        <w:t>, on a cum-income and ex-income basis, through a Regulatory Information Service.</w:t>
      </w:r>
    </w:p>
    <w:p w:rsidRPr="00DE5D68" w:rsidR="0077264A" w:rsidP="00C27D12" w:rsidRDefault="0077264A" w14:paraId="6B871A70" w14:textId="6E5B07B3">
      <w:pPr>
        <w:keepNext/>
        <w:rPr>
          <w:rFonts w:cs="Arial"/>
          <w:b/>
          <w:i/>
        </w:rPr>
      </w:pPr>
      <w:r w:rsidRPr="00DE5D68">
        <w:rPr>
          <w:rFonts w:cs="Arial"/>
          <w:b/>
          <w:i/>
        </w:rPr>
        <w:t>Valuation Methodology</w:t>
      </w:r>
      <w:r w:rsidRPr="00DE5D68" w:rsidR="0065581A">
        <w:rPr>
          <w:rFonts w:cs="Arial"/>
          <w:b/>
          <w:i/>
        </w:rPr>
        <w:t xml:space="preserve"> </w:t>
      </w:r>
    </w:p>
    <w:p w:rsidR="00F61840" w:rsidP="00FA5914" w:rsidRDefault="00F61840" w14:paraId="219A0AF0" w14:textId="77777777">
      <w:r>
        <w:t xml:space="preserve">The Net Asset Value is the value of all assets of the Company less liabilities to creditors (including provisions for such liabilities) determined in accordance with the AIC’s valuation guidelines and in accordance with applicable accounting standards. Publicly traded securities will be valued by reference to their bid price or last traded price, if applicable, on the relevant exchange. Where trading in the securities of a portfolio company is suspended, the investment will be valued at the Board’s estimate of its net realisable value. In making its valuations, the Board will </w:t>
      </w:r>
      <w:proofErr w:type="gramStart"/>
      <w:r>
        <w:t>take into account</w:t>
      </w:r>
      <w:proofErr w:type="gramEnd"/>
      <w:r>
        <w:t xml:space="preserve">, where appropriate, latest dealing prices, valuations from reliable sources, asset values and other relevant factors. If the Directors consider that any of the above bases of valuation are inappropriate in any particular case, or generally, they may adopt such other valuation procedures as they consider reasonable in the circumstances. The Directors may temporarily suspend the calculation, and publication, of the Net Asset Value during a period when, in the opinion of the Directors: </w:t>
      </w:r>
    </w:p>
    <w:p w:rsidRPr="00F61840" w:rsidR="00F61840" w:rsidP="00565AD4" w:rsidRDefault="00F61840" w14:paraId="73D40BAA" w14:textId="728C4A78">
      <w:pPr>
        <w:pStyle w:val="ListParagraph"/>
        <w:numPr>
          <w:ilvl w:val="0"/>
          <w:numId w:val="54"/>
        </w:numPr>
        <w:rPr>
          <w:b w:val="0"/>
        </w:rPr>
      </w:pPr>
      <w:r w:rsidRPr="00F61840">
        <w:rPr>
          <w:b w:val="0"/>
        </w:rPr>
        <w:t xml:space="preserve">there are political, economic, military or monetary events or any circumstances outside the control, responsibility or power of the Board, and disposal or valuation of investments of the Company or other transactions in the ordinary course of the Company’s business is not reasonably practicable without this being materially detrimental to the interests of Shareholders or if, in the opinion of the Board, the Net Asset Value cannot be fairly calculated; </w:t>
      </w:r>
    </w:p>
    <w:p w:rsidRPr="00F61840" w:rsidR="00F61840" w:rsidP="00565AD4" w:rsidRDefault="00F61840" w14:paraId="4FB35930" w14:textId="77777777">
      <w:pPr>
        <w:pStyle w:val="ListParagraph"/>
        <w:numPr>
          <w:ilvl w:val="0"/>
          <w:numId w:val="54"/>
        </w:numPr>
        <w:rPr>
          <w:b w:val="0"/>
        </w:rPr>
      </w:pPr>
      <w:r w:rsidRPr="00F61840">
        <w:rPr>
          <w:b w:val="0"/>
        </w:rPr>
        <w:t xml:space="preserve">there is a breakdown of the means of communication normally employed in determining the calculation of the Net Asset Value; or </w:t>
      </w:r>
    </w:p>
    <w:p w:rsidRPr="00F61840" w:rsidR="00F61840" w:rsidP="00565AD4" w:rsidRDefault="00F61840" w14:paraId="236652E0" w14:textId="77777777">
      <w:pPr>
        <w:pStyle w:val="ListParagraph"/>
        <w:numPr>
          <w:ilvl w:val="0"/>
          <w:numId w:val="54"/>
        </w:numPr>
        <w:rPr>
          <w:b w:val="0"/>
        </w:rPr>
      </w:pPr>
      <w:r w:rsidRPr="00F61840">
        <w:rPr>
          <w:b w:val="0"/>
        </w:rPr>
        <w:t xml:space="preserve">it is not reasonably practicable to determine the Net Asset Value on an accurate and timely basis. </w:t>
      </w:r>
    </w:p>
    <w:p w:rsidRPr="00F61840" w:rsidR="00FA5914" w:rsidP="00F61840" w:rsidRDefault="00F61840" w14:paraId="01649E8D" w14:textId="2412610F">
      <w:pPr>
        <w:rPr>
          <w:rFonts w:cs="Arial"/>
        </w:rPr>
      </w:pPr>
      <w:r w:rsidRPr="00F61840">
        <w:t xml:space="preserve">Any suspension in the calculation of the Net Asset Value, to the extent required under the </w:t>
      </w:r>
      <w:r w:rsidR="004B118C">
        <w:t xml:space="preserve">provisions of the </w:t>
      </w:r>
      <w:r w:rsidR="007F0C92">
        <w:t xml:space="preserve">UK </w:t>
      </w:r>
      <w:r w:rsidRPr="00F61840">
        <w:t>Listing Rules</w:t>
      </w:r>
      <w:r w:rsidR="004B118C">
        <w:t xml:space="preserve"> with which the Company has voluntarily elected to comply</w:t>
      </w:r>
      <w:r w:rsidRPr="00F61840">
        <w:t>, will be notified through a Regulatory Information Service as soon as practicable after any such suspension occurs.</w:t>
      </w:r>
    </w:p>
    <w:p w:rsidRPr="00DE5D68" w:rsidR="00AD5B06" w:rsidP="00C27D12" w:rsidRDefault="00AD5B06" w14:paraId="56BAF7FC" w14:textId="77777777">
      <w:pPr>
        <w:pStyle w:val="Heading1"/>
        <w:rPr>
          <w:rFonts w:cs="Arial"/>
          <w:caps w:val="0"/>
        </w:rPr>
      </w:pPr>
      <w:r w:rsidRPr="00DE5D68">
        <w:rPr>
          <w:rFonts w:cs="Arial"/>
          <w:caps w:val="0"/>
        </w:rPr>
        <w:t>REPORTS</w:t>
      </w:r>
      <w:r w:rsidRPr="00DE5D68" w:rsidR="00FA0D23">
        <w:rPr>
          <w:rFonts w:cs="Arial"/>
          <w:caps w:val="0"/>
        </w:rPr>
        <w:t xml:space="preserve">, </w:t>
      </w:r>
      <w:r w:rsidRPr="00DE5D68">
        <w:rPr>
          <w:rFonts w:cs="Arial"/>
          <w:caps w:val="0"/>
        </w:rPr>
        <w:t>ACCOUNTS</w:t>
      </w:r>
      <w:r w:rsidRPr="00DE5D68" w:rsidR="00FA0D23">
        <w:rPr>
          <w:rFonts w:cs="Arial"/>
          <w:caps w:val="0"/>
        </w:rPr>
        <w:t xml:space="preserve"> AND MEETINGS</w:t>
      </w:r>
    </w:p>
    <w:p w:rsidRPr="00DE5D68" w:rsidR="00AD5B06" w:rsidP="00C27D12" w:rsidRDefault="00AD5B06" w14:paraId="5DC87229" w14:textId="78B99611">
      <w:pPr>
        <w:rPr>
          <w:rFonts w:cs="Arial"/>
        </w:rPr>
      </w:pPr>
      <w:r w:rsidRPr="00DE5D68">
        <w:rPr>
          <w:rFonts w:cs="Arial"/>
        </w:rPr>
        <w:t>The audited accounts o</w:t>
      </w:r>
      <w:r w:rsidRPr="00DE5D68" w:rsidR="00FE3CFD">
        <w:rPr>
          <w:rFonts w:cs="Arial"/>
        </w:rPr>
        <w:t xml:space="preserve">f the Company will be prepared </w:t>
      </w:r>
      <w:r w:rsidRPr="00DE5D68" w:rsidR="00DA122E">
        <w:rPr>
          <w:rFonts w:cs="Arial"/>
        </w:rPr>
        <w:t xml:space="preserve">in </w:t>
      </w:r>
      <w:r w:rsidRPr="00DE5D68" w:rsidR="0065581A">
        <w:rPr>
          <w:rFonts w:cs="Arial"/>
        </w:rPr>
        <w:t>Sterling</w:t>
      </w:r>
      <w:r w:rsidRPr="00DE5D68" w:rsidR="00DA122E">
        <w:rPr>
          <w:rFonts w:cs="Arial"/>
        </w:rPr>
        <w:t xml:space="preserve"> </w:t>
      </w:r>
      <w:r w:rsidRPr="00DE5D68">
        <w:rPr>
          <w:rFonts w:cs="Arial"/>
        </w:rPr>
        <w:t xml:space="preserve">under </w:t>
      </w:r>
      <w:r w:rsidRPr="00DE5D68" w:rsidR="008F42E0">
        <w:rPr>
          <w:rFonts w:cs="Arial"/>
        </w:rPr>
        <w:t>IFRS</w:t>
      </w:r>
      <w:r w:rsidRPr="00DE5D68">
        <w:rPr>
          <w:rFonts w:cs="Arial"/>
        </w:rPr>
        <w:t>. The Company</w:t>
      </w:r>
      <w:r w:rsidRPr="00DE5D68" w:rsidR="00A10967">
        <w:rPr>
          <w:rFonts w:cs="Arial"/>
        </w:rPr>
        <w:t>’</w:t>
      </w:r>
      <w:r w:rsidRPr="00DE5D68">
        <w:rPr>
          <w:rFonts w:cs="Arial"/>
        </w:rPr>
        <w:t xml:space="preserve">s annual report and accounts will be prepared up to </w:t>
      </w:r>
      <w:r w:rsidR="00507A16">
        <w:rPr>
          <w:rFonts w:cs="Arial"/>
        </w:rPr>
        <w:t>30 June</w:t>
      </w:r>
      <w:r w:rsidRPr="00DE5D68" w:rsidR="00534282">
        <w:rPr>
          <w:rFonts w:cs="Arial"/>
          <w:b/>
          <w:i/>
        </w:rPr>
        <w:t xml:space="preserve"> </w:t>
      </w:r>
      <w:r w:rsidR="006B4232">
        <w:rPr>
          <w:rFonts w:cs="Arial"/>
        </w:rPr>
        <w:t xml:space="preserve">each year, with the </w:t>
      </w:r>
      <w:r w:rsidR="00084701">
        <w:rPr>
          <w:rFonts w:cs="Arial"/>
        </w:rPr>
        <w:t>first</w:t>
      </w:r>
      <w:r w:rsidRPr="00DE5D68">
        <w:rPr>
          <w:rFonts w:cs="Arial"/>
        </w:rPr>
        <w:t xml:space="preserve"> accounting period of the </w:t>
      </w:r>
      <w:r w:rsidRPr="00DE5D68">
        <w:rPr>
          <w:rFonts w:cs="Arial"/>
        </w:rPr>
        <w:lastRenderedPageBreak/>
        <w:t xml:space="preserve">Company ending on </w:t>
      </w:r>
      <w:r w:rsidR="00507A16">
        <w:rPr>
          <w:rFonts w:cs="Arial"/>
        </w:rPr>
        <w:t>30 June</w:t>
      </w:r>
      <w:r w:rsidR="00F61840">
        <w:rPr>
          <w:rFonts w:cs="Arial"/>
        </w:rPr>
        <w:t xml:space="preserve"> 202</w:t>
      </w:r>
      <w:r w:rsidR="004B1E94">
        <w:rPr>
          <w:rFonts w:cs="Arial"/>
        </w:rPr>
        <w:t>6</w:t>
      </w:r>
      <w:r w:rsidRPr="00DE5D68">
        <w:rPr>
          <w:rFonts w:cs="Arial"/>
        </w:rPr>
        <w:t xml:space="preserve">. It is expected that copies of the report and accounts will be </w:t>
      </w:r>
      <w:r w:rsidRPr="00DE5D68" w:rsidR="006A66C9">
        <w:rPr>
          <w:rFonts w:cs="Arial"/>
        </w:rPr>
        <w:t xml:space="preserve">published by the end of </w:t>
      </w:r>
      <w:r w:rsidR="00847680">
        <w:rPr>
          <w:rFonts w:cs="Arial"/>
        </w:rPr>
        <w:t>October</w:t>
      </w:r>
      <w:r w:rsidRPr="00DE5D68" w:rsidR="008F42E0">
        <w:rPr>
          <w:rFonts w:cs="Arial"/>
        </w:rPr>
        <w:t xml:space="preserve"> </w:t>
      </w:r>
      <w:r w:rsidRPr="00DE5D68" w:rsidR="006A66C9">
        <w:rPr>
          <w:rFonts w:cs="Arial"/>
        </w:rPr>
        <w:t xml:space="preserve">each year and copies </w:t>
      </w:r>
      <w:r w:rsidRPr="00DE5D68">
        <w:rPr>
          <w:rFonts w:cs="Arial"/>
        </w:rPr>
        <w:t xml:space="preserve">sent to Shareholders. </w:t>
      </w:r>
      <w:r w:rsidRPr="00DE5D68" w:rsidR="00DA122E">
        <w:rPr>
          <w:rFonts w:cs="Arial"/>
        </w:rPr>
        <w:t>The Company will also publish</w:t>
      </w:r>
      <w:r w:rsidRPr="00DE5D68">
        <w:rPr>
          <w:rFonts w:cs="Arial"/>
        </w:rPr>
        <w:t xml:space="preserve"> an unaudited half-yearly report covering the six months to </w:t>
      </w:r>
      <w:r w:rsidR="00507A16">
        <w:rPr>
          <w:rFonts w:cs="Arial"/>
        </w:rPr>
        <w:t>31 December</w:t>
      </w:r>
      <w:r w:rsidRPr="00DE5D68" w:rsidR="0065581A">
        <w:rPr>
          <w:rFonts w:cs="Arial"/>
        </w:rPr>
        <w:t xml:space="preserve"> </w:t>
      </w:r>
      <w:r w:rsidRPr="00DE5D68">
        <w:rPr>
          <w:rFonts w:cs="Arial"/>
        </w:rPr>
        <w:t xml:space="preserve">each year, which is expected to be </w:t>
      </w:r>
      <w:r w:rsidRPr="00DE5D68" w:rsidR="006A66C9">
        <w:rPr>
          <w:rFonts w:cs="Arial"/>
        </w:rPr>
        <w:t xml:space="preserve">published </w:t>
      </w:r>
      <w:r w:rsidRPr="00DE5D68">
        <w:rPr>
          <w:rFonts w:cs="Arial"/>
        </w:rPr>
        <w:t>within the following t</w:t>
      </w:r>
      <w:r w:rsidRPr="00DE5D68" w:rsidR="006A66C9">
        <w:rPr>
          <w:rFonts w:cs="Arial"/>
        </w:rPr>
        <w:t>hree</w:t>
      </w:r>
      <w:r w:rsidRPr="00DE5D68" w:rsidR="008F42E0">
        <w:rPr>
          <w:rFonts w:cs="Arial"/>
        </w:rPr>
        <w:t xml:space="preserve"> months. </w:t>
      </w:r>
      <w:r w:rsidRPr="00DE5D68">
        <w:rPr>
          <w:rFonts w:cs="Arial"/>
        </w:rPr>
        <w:t xml:space="preserve">The first </w:t>
      </w:r>
      <w:r w:rsidR="006B510C">
        <w:rPr>
          <w:rFonts w:cs="Arial"/>
        </w:rPr>
        <w:t>financial information</w:t>
      </w:r>
      <w:r w:rsidRPr="00DE5D68">
        <w:rPr>
          <w:rFonts w:cs="Arial"/>
        </w:rPr>
        <w:t xml:space="preserve"> that </w:t>
      </w:r>
      <w:r w:rsidRPr="00DE5D68" w:rsidR="00EB5AA8">
        <w:rPr>
          <w:rFonts w:cs="Arial"/>
        </w:rPr>
        <w:t>the Company will publish</w:t>
      </w:r>
      <w:r w:rsidRPr="00DE5D68">
        <w:rPr>
          <w:rFonts w:cs="Arial"/>
        </w:rPr>
        <w:t xml:space="preserve"> will be </w:t>
      </w:r>
      <w:r w:rsidR="006B510C">
        <w:rPr>
          <w:rFonts w:cs="Arial"/>
        </w:rPr>
        <w:t>the unaudited half-yearly report for the period ending on 31 December 2025 (covering the period from incorporation of the Company).</w:t>
      </w:r>
      <w:r w:rsidRPr="00DE5D68" w:rsidR="00CB4FD1">
        <w:rPr>
          <w:rFonts w:cs="Arial"/>
        </w:rPr>
        <w:t xml:space="preserve"> </w:t>
      </w:r>
      <w:r w:rsidRPr="00DE5D68" w:rsidR="0065581A">
        <w:rPr>
          <w:rFonts w:cs="Arial"/>
        </w:rPr>
        <w:t xml:space="preserve"> </w:t>
      </w:r>
    </w:p>
    <w:p w:rsidRPr="00DE5D68" w:rsidR="00DA122E" w:rsidP="00C27D12" w:rsidRDefault="00DA122E" w14:paraId="6DD07325" w14:textId="04DBAABE">
      <w:pPr>
        <w:rPr>
          <w:rFonts w:cs="Arial"/>
        </w:rPr>
      </w:pPr>
      <w:r w:rsidRPr="00DE5D68">
        <w:rPr>
          <w:rFonts w:cs="Arial"/>
        </w:rPr>
        <w:t xml:space="preserve">The financial report and accounts and unaudited half-yearly report once published will be available for inspection at the Company’s registered office and on the Company’s website </w:t>
      </w:r>
      <w:r w:rsidRPr="00DE5D68" w:rsidR="004D77FB">
        <w:rPr>
          <w:rFonts w:cs="Arial"/>
          <w:sz w:val="18"/>
          <w:szCs w:val="18"/>
        </w:rPr>
        <w:t>(</w:t>
      </w:r>
      <w:r w:rsidRPr="007A04B4" w:rsidR="004D77FB">
        <w:rPr>
          <w:rFonts w:eastAsia="Arial" w:cs="Arial"/>
          <w:u w:val="single"/>
          <w:lang w:eastAsia="en-US"/>
        </w:rPr>
        <w:t>www.</w:t>
      </w:r>
      <w:r w:rsidR="00137B97">
        <w:rPr>
          <w:rFonts w:cs="Arial"/>
          <w:u w:val="single"/>
        </w:rPr>
        <w:t>achillesic.com</w:t>
      </w:r>
      <w:r w:rsidRPr="00DE5D68" w:rsidR="004D77FB">
        <w:rPr>
          <w:rFonts w:cs="Arial"/>
          <w:sz w:val="18"/>
          <w:szCs w:val="18"/>
        </w:rPr>
        <w:t>)</w:t>
      </w:r>
      <w:r w:rsidRPr="00DE5D68">
        <w:rPr>
          <w:rFonts w:cs="Arial"/>
        </w:rPr>
        <w:t>.</w:t>
      </w:r>
      <w:r w:rsidRPr="00DE5D68" w:rsidR="0065581A">
        <w:rPr>
          <w:rFonts w:cs="Arial"/>
        </w:rPr>
        <w:t xml:space="preserve"> </w:t>
      </w:r>
    </w:p>
    <w:p w:rsidRPr="00DE5D68" w:rsidR="00AD5B06" w:rsidP="00C27D12" w:rsidRDefault="0065581A" w14:paraId="70DE53FD" w14:textId="49F99BCB">
      <w:pPr>
        <w:rPr>
          <w:rFonts w:cs="Arial"/>
        </w:rPr>
      </w:pPr>
      <w:r w:rsidRPr="00DE5D68">
        <w:rPr>
          <w:rFonts w:cs="Arial"/>
        </w:rPr>
        <w:t xml:space="preserve">All general meetings will be held in Guernsey. </w:t>
      </w:r>
      <w:r w:rsidRPr="00DE5D68" w:rsidR="00AD5B06">
        <w:rPr>
          <w:rFonts w:cs="Arial"/>
        </w:rPr>
        <w:t xml:space="preserve">The Company </w:t>
      </w:r>
      <w:r w:rsidRPr="00DE5D68" w:rsidR="00FA0D23">
        <w:rPr>
          <w:rFonts w:cs="Arial"/>
        </w:rPr>
        <w:t>will</w:t>
      </w:r>
      <w:r w:rsidRPr="00DE5D68" w:rsidR="00AD5B06">
        <w:rPr>
          <w:rFonts w:cs="Arial"/>
        </w:rPr>
        <w:t xml:space="preserve"> hold its first annual general meeting </w:t>
      </w:r>
      <w:r w:rsidRPr="00DE5D68" w:rsidR="00480D37">
        <w:rPr>
          <w:rFonts w:cs="Arial"/>
        </w:rPr>
        <w:t xml:space="preserve">by </w:t>
      </w:r>
      <w:r w:rsidR="004061EB">
        <w:rPr>
          <w:rFonts w:cs="Arial"/>
        </w:rPr>
        <w:t>19 July 2026</w:t>
      </w:r>
      <w:r w:rsidRPr="00DE5D68">
        <w:rPr>
          <w:rFonts w:cs="Arial"/>
        </w:rPr>
        <w:t xml:space="preserve"> </w:t>
      </w:r>
      <w:r w:rsidRPr="00DE5D68" w:rsidR="00AD5B06">
        <w:rPr>
          <w:rFonts w:cs="Arial"/>
        </w:rPr>
        <w:t>and will hold an annual general meeting each year thereafter.</w:t>
      </w:r>
      <w:r w:rsidRPr="00DE5D68" w:rsidR="006A66C9">
        <w:rPr>
          <w:rFonts w:cs="Arial"/>
        </w:rPr>
        <w:t xml:space="preserve"> Other general meetings may be convened from time to time by the Directors by sending notices to Shareholders. </w:t>
      </w:r>
    </w:p>
    <w:p w:rsidRPr="00DE5D68" w:rsidR="00C653FA" w:rsidP="00C653FA" w:rsidRDefault="00C653FA" w14:paraId="17080416" w14:textId="77777777">
      <w:pPr>
        <w:pStyle w:val="Heading1"/>
        <w:rPr>
          <w:rFonts w:cs="Arial"/>
          <w:caps w:val="0"/>
        </w:rPr>
      </w:pPr>
      <w:r w:rsidRPr="00DE5D68">
        <w:rPr>
          <w:rFonts w:cs="Arial"/>
          <w:caps w:val="0"/>
        </w:rPr>
        <w:t xml:space="preserve">THE </w:t>
      </w:r>
      <w:r>
        <w:rPr>
          <w:rFonts w:cs="Arial"/>
          <w:caps w:val="0"/>
        </w:rPr>
        <w:t>CITY</w:t>
      </w:r>
      <w:r w:rsidRPr="00DE5D68">
        <w:rPr>
          <w:rFonts w:cs="Arial"/>
          <w:caps w:val="0"/>
        </w:rPr>
        <w:t xml:space="preserve"> CODE</w:t>
      </w:r>
    </w:p>
    <w:p w:rsidRPr="00DE5D68" w:rsidR="00C653FA" w:rsidP="00C653FA" w:rsidRDefault="00C653FA" w14:paraId="29917CC3" w14:textId="77777777">
      <w:pPr>
        <w:rPr>
          <w:rFonts w:cs="Arial"/>
        </w:rPr>
      </w:pPr>
      <w:r w:rsidRPr="00DE5D68">
        <w:rPr>
          <w:rFonts w:cs="Arial"/>
        </w:rPr>
        <w:t>The City Code applies to the Company.</w:t>
      </w:r>
    </w:p>
    <w:p w:rsidRPr="000610E2" w:rsidR="00C653FA" w:rsidP="00C653FA" w:rsidRDefault="00C653FA" w14:paraId="4D6C043B" w14:textId="77777777">
      <w:pPr>
        <w:rPr>
          <w:rFonts w:cs="Arial"/>
        </w:rPr>
      </w:pPr>
      <w:r w:rsidRPr="000610E2">
        <w:rPr>
          <w:rFonts w:cs="Arial"/>
        </w:rPr>
        <w:t xml:space="preserve">Under Rule 9 of the </w:t>
      </w:r>
      <w:r>
        <w:rPr>
          <w:rFonts w:cs="Arial"/>
        </w:rPr>
        <w:t xml:space="preserve">City </w:t>
      </w:r>
      <w:r w:rsidRPr="000610E2">
        <w:rPr>
          <w:rFonts w:cs="Arial"/>
        </w:rPr>
        <w:t>Code, any person</w:t>
      </w:r>
      <w:r>
        <w:rPr>
          <w:rFonts w:cs="Arial"/>
        </w:rPr>
        <w:t xml:space="preserve"> who </w:t>
      </w:r>
      <w:r w:rsidRPr="000610E2">
        <w:rPr>
          <w:rFonts w:cs="Arial"/>
        </w:rPr>
        <w:t xml:space="preserve">acquires an interest (as defined in the </w:t>
      </w:r>
      <w:r>
        <w:rPr>
          <w:rFonts w:cs="Arial"/>
        </w:rPr>
        <w:t xml:space="preserve">City </w:t>
      </w:r>
      <w:r w:rsidRPr="000610E2">
        <w:rPr>
          <w:rFonts w:cs="Arial"/>
        </w:rPr>
        <w:t>Code) in shares which, take</w:t>
      </w:r>
      <w:r>
        <w:rPr>
          <w:rFonts w:cs="Arial"/>
        </w:rPr>
        <w:t xml:space="preserve">n together with shares in which </w:t>
      </w:r>
      <w:r w:rsidRPr="000610E2">
        <w:rPr>
          <w:rFonts w:cs="Arial"/>
        </w:rPr>
        <w:t>he/she is already interested and shares in which persons act</w:t>
      </w:r>
      <w:r>
        <w:rPr>
          <w:rFonts w:cs="Arial"/>
        </w:rPr>
        <w:t xml:space="preserve">ing in concert with him/her are </w:t>
      </w:r>
      <w:r w:rsidRPr="000610E2">
        <w:rPr>
          <w:rFonts w:cs="Arial"/>
        </w:rPr>
        <w:t xml:space="preserve">interested, carry 30 per cent. or more of the voting rights of a company which is subject to the </w:t>
      </w:r>
      <w:r>
        <w:rPr>
          <w:rFonts w:cs="Arial"/>
        </w:rPr>
        <w:t xml:space="preserve">City Code, </w:t>
      </w:r>
      <w:r w:rsidRPr="000610E2">
        <w:rPr>
          <w:rFonts w:cs="Arial"/>
        </w:rPr>
        <w:t>is normally required to make a general offer to all the remainin</w:t>
      </w:r>
      <w:r>
        <w:rPr>
          <w:rFonts w:cs="Arial"/>
        </w:rPr>
        <w:t xml:space="preserve">g shareholders to acquire their </w:t>
      </w:r>
      <w:r w:rsidRPr="000610E2">
        <w:rPr>
          <w:rFonts w:cs="Arial"/>
        </w:rPr>
        <w:t>shares.</w:t>
      </w:r>
    </w:p>
    <w:p w:rsidRPr="000610E2" w:rsidR="00C653FA" w:rsidP="00C653FA" w:rsidRDefault="00C653FA" w14:paraId="43EB1889" w14:textId="77777777">
      <w:pPr>
        <w:rPr>
          <w:rFonts w:cs="Arial"/>
        </w:rPr>
      </w:pPr>
      <w:r w:rsidRPr="000610E2">
        <w:rPr>
          <w:rFonts w:cs="Arial"/>
        </w:rPr>
        <w:t>Similarly, when any person, together with persons acting in concert</w:t>
      </w:r>
      <w:r>
        <w:rPr>
          <w:rFonts w:cs="Arial"/>
        </w:rPr>
        <w:t xml:space="preserve"> with him/her, is interested in </w:t>
      </w:r>
      <w:r w:rsidRPr="000610E2">
        <w:rPr>
          <w:rFonts w:cs="Arial"/>
        </w:rPr>
        <w:t>shares which in the aggregate carry not less than 30 per cent. of the v</w:t>
      </w:r>
      <w:r>
        <w:rPr>
          <w:rFonts w:cs="Arial"/>
        </w:rPr>
        <w:t xml:space="preserve">oting rights of such a company, </w:t>
      </w:r>
      <w:r w:rsidRPr="000610E2">
        <w:rPr>
          <w:rFonts w:cs="Arial"/>
        </w:rPr>
        <w:t xml:space="preserve">but does not hold shares carrying more than </w:t>
      </w:r>
      <w:r w:rsidRPr="007D3786">
        <w:rPr>
          <w:rFonts w:cs="Arial"/>
        </w:rPr>
        <w:t>50</w:t>
      </w:r>
      <w:r w:rsidRPr="000610E2">
        <w:rPr>
          <w:rFonts w:cs="Arial"/>
        </w:rPr>
        <w:t xml:space="preserve"> per cent. of such voti</w:t>
      </w:r>
      <w:r>
        <w:rPr>
          <w:rFonts w:cs="Arial"/>
        </w:rPr>
        <w:t xml:space="preserve">ng rights, a general offer will </w:t>
      </w:r>
      <w:r w:rsidRPr="000610E2">
        <w:rPr>
          <w:rFonts w:cs="Arial"/>
        </w:rPr>
        <w:t>normally be required if any further interests in shares are acquir</w:t>
      </w:r>
      <w:r>
        <w:rPr>
          <w:rFonts w:cs="Arial"/>
        </w:rPr>
        <w:t xml:space="preserve">ed by any such person. An offer </w:t>
      </w:r>
      <w:r w:rsidRPr="000610E2">
        <w:rPr>
          <w:rFonts w:cs="Arial"/>
        </w:rPr>
        <w:t>under Rule 9 must be made in cash and at the highest price paid</w:t>
      </w:r>
      <w:r>
        <w:rPr>
          <w:rFonts w:cs="Arial"/>
        </w:rPr>
        <w:t xml:space="preserve"> by the person required to make </w:t>
      </w:r>
      <w:r w:rsidRPr="000610E2">
        <w:rPr>
          <w:rFonts w:cs="Arial"/>
        </w:rPr>
        <w:t>the offer, or any person acting in concert with him/her, for any in</w:t>
      </w:r>
      <w:r>
        <w:rPr>
          <w:rFonts w:cs="Arial"/>
        </w:rPr>
        <w:t xml:space="preserve">terest in shares of the company </w:t>
      </w:r>
      <w:r w:rsidRPr="000610E2">
        <w:rPr>
          <w:rFonts w:cs="Arial"/>
        </w:rPr>
        <w:t>during the 12 months prior to the announcement of the offer.</w:t>
      </w:r>
    </w:p>
    <w:p w:rsidR="00C653FA" w:rsidP="00C653FA" w:rsidRDefault="00C653FA" w14:paraId="2D191617" w14:textId="0B368A8D">
      <w:pPr>
        <w:rPr>
          <w:rFonts w:cs="Arial"/>
        </w:rPr>
      </w:pPr>
      <w:r w:rsidRPr="000610E2">
        <w:rPr>
          <w:rFonts w:cs="Arial"/>
        </w:rPr>
        <w:t xml:space="preserve">When </w:t>
      </w:r>
      <w:r w:rsidR="00FE000C">
        <w:rPr>
          <w:rFonts w:cs="Arial"/>
        </w:rPr>
        <w:t xml:space="preserve">a person, </w:t>
      </w:r>
      <w:r w:rsidRPr="000610E2" w:rsidR="00FE000C">
        <w:rPr>
          <w:rFonts w:cs="Arial"/>
        </w:rPr>
        <w:t>together with persons acting in concert</w:t>
      </w:r>
      <w:r w:rsidR="00FE000C">
        <w:rPr>
          <w:rFonts w:cs="Arial"/>
        </w:rPr>
        <w:t xml:space="preserve"> with him/her,</w:t>
      </w:r>
      <w:r w:rsidRPr="000610E2" w:rsidR="00FE000C">
        <w:rPr>
          <w:rFonts w:cs="Arial"/>
        </w:rPr>
        <w:t xml:space="preserve"> </w:t>
      </w:r>
      <w:r w:rsidRPr="000610E2">
        <w:rPr>
          <w:rFonts w:cs="Arial"/>
        </w:rPr>
        <w:t xml:space="preserve">hold more than </w:t>
      </w:r>
      <w:r w:rsidRPr="007D3786">
        <w:rPr>
          <w:rFonts w:cs="Arial"/>
        </w:rPr>
        <w:t>50</w:t>
      </w:r>
      <w:r w:rsidRPr="000610E2">
        <w:rPr>
          <w:rFonts w:cs="Arial"/>
        </w:rPr>
        <w:t xml:space="preserve"> per cent. of </w:t>
      </w:r>
      <w:r>
        <w:rPr>
          <w:rFonts w:cs="Arial"/>
        </w:rPr>
        <w:t xml:space="preserve">the voting rights in a company, </w:t>
      </w:r>
      <w:r w:rsidRPr="000610E2">
        <w:rPr>
          <w:rFonts w:cs="Arial"/>
        </w:rPr>
        <w:t>no obligations under Rule 9 normally arise from acquisitions by a</w:t>
      </w:r>
      <w:r>
        <w:rPr>
          <w:rFonts w:cs="Arial"/>
        </w:rPr>
        <w:t xml:space="preserve">ny member of the concert party. </w:t>
      </w:r>
      <w:r w:rsidRPr="000610E2">
        <w:rPr>
          <w:rFonts w:cs="Arial"/>
        </w:rPr>
        <w:t>They may accordingly increase their aggregate interests in shares w</w:t>
      </w:r>
      <w:r>
        <w:rPr>
          <w:rFonts w:cs="Arial"/>
        </w:rPr>
        <w:t xml:space="preserve">ithout incurring any obligation </w:t>
      </w:r>
      <w:r w:rsidRPr="000610E2">
        <w:rPr>
          <w:rFonts w:cs="Arial"/>
        </w:rPr>
        <w:t>under Rule 9 to make a general offer, although individual members</w:t>
      </w:r>
      <w:r>
        <w:rPr>
          <w:rFonts w:cs="Arial"/>
        </w:rPr>
        <w:t xml:space="preserve"> of a concert party will not be </w:t>
      </w:r>
      <w:r w:rsidRPr="000610E2">
        <w:rPr>
          <w:rFonts w:cs="Arial"/>
        </w:rPr>
        <w:t>able to increase their percentage interests in shares through or between a Rule 9 thres</w:t>
      </w:r>
      <w:r>
        <w:rPr>
          <w:rFonts w:cs="Arial"/>
        </w:rPr>
        <w:t xml:space="preserve">hold without </w:t>
      </w:r>
      <w:r w:rsidRPr="000610E2">
        <w:rPr>
          <w:rFonts w:cs="Arial"/>
        </w:rPr>
        <w:t>Panel consent.</w:t>
      </w:r>
    </w:p>
    <w:p w:rsidRPr="00DE5D68" w:rsidR="00AD5B06" w:rsidP="00654E58" w:rsidRDefault="000B297E" w14:paraId="1C49135D" w14:textId="16A8776D">
      <w:pPr>
        <w:pStyle w:val="Heading1"/>
        <w:rPr>
          <w:rFonts w:cs="Arial"/>
          <w:caps w:val="0"/>
        </w:rPr>
      </w:pPr>
      <w:r w:rsidRPr="00DE5D68">
        <w:rPr>
          <w:rFonts w:cs="Arial"/>
          <w:caps w:val="0"/>
        </w:rPr>
        <w:t xml:space="preserve">SHARE CAPITAL </w:t>
      </w:r>
      <w:r w:rsidRPr="00DE5D68" w:rsidR="00AD5B06">
        <w:rPr>
          <w:rFonts w:cs="Arial"/>
          <w:caps w:val="0"/>
        </w:rPr>
        <w:t xml:space="preserve">MANAGEMENT </w:t>
      </w:r>
    </w:p>
    <w:p w:rsidRPr="00DE5D68" w:rsidR="00784B64" w:rsidP="00C27D12" w:rsidRDefault="00784B64" w14:paraId="076C0E3F" w14:textId="70F7ADC1">
      <w:pPr>
        <w:pStyle w:val="Default"/>
        <w:spacing w:after="240"/>
        <w:jc w:val="both"/>
        <w:rPr>
          <w:rFonts w:ascii="Arial" w:hAnsi="Arial" w:cs="Arial"/>
          <w:color w:val="auto"/>
          <w:sz w:val="20"/>
          <w:szCs w:val="20"/>
        </w:rPr>
      </w:pPr>
      <w:r w:rsidRPr="00DE5D68">
        <w:rPr>
          <w:rFonts w:ascii="Arial" w:hAnsi="Arial" w:cs="Arial"/>
          <w:color w:val="auto"/>
          <w:sz w:val="20"/>
          <w:szCs w:val="20"/>
        </w:rPr>
        <w:t xml:space="preserve">The Board is aiming to achieve a share price over the long-term that reflects the level and movement of the Net Asset Value per </w:t>
      </w:r>
      <w:r w:rsidR="00507A16">
        <w:rPr>
          <w:rFonts w:ascii="Arial" w:hAnsi="Arial" w:cs="Arial"/>
          <w:color w:val="auto"/>
          <w:sz w:val="20"/>
          <w:szCs w:val="20"/>
        </w:rPr>
        <w:t xml:space="preserve">Ordinary </w:t>
      </w:r>
      <w:r w:rsidRPr="00DE5D68">
        <w:rPr>
          <w:rFonts w:ascii="Arial" w:hAnsi="Arial" w:cs="Arial"/>
          <w:color w:val="auto"/>
          <w:sz w:val="20"/>
          <w:szCs w:val="20"/>
        </w:rPr>
        <w:t>Share. This is intended to be achieved in the following ways</w:t>
      </w:r>
      <w:r w:rsidRPr="00DE5D68" w:rsidR="00E51EFC">
        <w:rPr>
          <w:rFonts w:ascii="Arial" w:hAnsi="Arial" w:cs="Arial"/>
          <w:color w:val="auto"/>
          <w:sz w:val="20"/>
          <w:szCs w:val="20"/>
        </w:rPr>
        <w:t>:</w:t>
      </w:r>
    </w:p>
    <w:p w:rsidRPr="00DE5D68" w:rsidR="00784B64" w:rsidP="00565AD4" w:rsidRDefault="00E51EFC" w14:paraId="4A655408" w14:textId="69BB66C1">
      <w:pPr>
        <w:pStyle w:val="Default"/>
        <w:numPr>
          <w:ilvl w:val="0"/>
          <w:numId w:val="41"/>
        </w:numPr>
        <w:spacing w:after="240"/>
        <w:jc w:val="both"/>
        <w:rPr>
          <w:rFonts w:ascii="Arial" w:hAnsi="Arial" w:cs="Arial"/>
          <w:color w:val="auto"/>
          <w:sz w:val="20"/>
          <w:szCs w:val="20"/>
        </w:rPr>
      </w:pPr>
      <w:r w:rsidRPr="00DE5D68">
        <w:rPr>
          <w:rFonts w:ascii="Arial" w:hAnsi="Arial" w:cs="Arial"/>
          <w:color w:val="auto"/>
          <w:sz w:val="20"/>
          <w:szCs w:val="20"/>
        </w:rPr>
        <w:t>t</w:t>
      </w:r>
      <w:r w:rsidRPr="00DE5D68" w:rsidR="00784B64">
        <w:rPr>
          <w:rFonts w:ascii="Arial" w:hAnsi="Arial" w:cs="Arial"/>
          <w:color w:val="auto"/>
          <w:sz w:val="20"/>
          <w:szCs w:val="20"/>
        </w:rPr>
        <w:t>he Company will use clear and transparent communication that seeks to attract new and existing investors to invest and keep investing in the Company</w:t>
      </w:r>
      <w:r w:rsidRPr="00DE5D68">
        <w:rPr>
          <w:rFonts w:ascii="Arial" w:hAnsi="Arial" w:cs="Arial"/>
          <w:color w:val="auto"/>
          <w:sz w:val="20"/>
          <w:szCs w:val="20"/>
        </w:rPr>
        <w:t>;</w:t>
      </w:r>
      <w:r w:rsidRPr="00DE5D68" w:rsidR="00784B64">
        <w:rPr>
          <w:rFonts w:ascii="Arial" w:hAnsi="Arial" w:cs="Arial"/>
          <w:color w:val="auto"/>
          <w:sz w:val="20"/>
          <w:szCs w:val="20"/>
        </w:rPr>
        <w:t xml:space="preserve"> </w:t>
      </w:r>
      <w:r w:rsidR="004D1CD4">
        <w:rPr>
          <w:rFonts w:ascii="Arial" w:hAnsi="Arial" w:cs="Arial"/>
          <w:color w:val="auto"/>
          <w:sz w:val="20"/>
          <w:szCs w:val="20"/>
        </w:rPr>
        <w:t>and</w:t>
      </w:r>
    </w:p>
    <w:p w:rsidRPr="00DE5D68" w:rsidR="00784B64" w:rsidP="00565AD4" w:rsidRDefault="00E51EFC" w14:paraId="68F528B0" w14:textId="55F4C64B">
      <w:pPr>
        <w:pStyle w:val="Default"/>
        <w:numPr>
          <w:ilvl w:val="0"/>
          <w:numId w:val="41"/>
        </w:numPr>
        <w:spacing w:after="240"/>
        <w:jc w:val="both"/>
        <w:rPr>
          <w:rFonts w:ascii="Arial" w:hAnsi="Arial" w:cs="Arial"/>
          <w:color w:val="auto"/>
          <w:sz w:val="20"/>
          <w:szCs w:val="20"/>
        </w:rPr>
      </w:pPr>
      <w:r w:rsidRPr="00DE5D68">
        <w:rPr>
          <w:rFonts w:ascii="Arial" w:hAnsi="Arial" w:cs="Arial"/>
          <w:color w:val="auto"/>
          <w:sz w:val="20"/>
          <w:szCs w:val="20"/>
        </w:rPr>
        <w:t xml:space="preserve">execution </w:t>
      </w:r>
      <w:r w:rsidRPr="00DE5D68" w:rsidR="00784B64">
        <w:rPr>
          <w:rFonts w:ascii="Arial" w:hAnsi="Arial" w:cs="Arial"/>
          <w:color w:val="auto"/>
          <w:sz w:val="20"/>
          <w:szCs w:val="20"/>
        </w:rPr>
        <w:t>of the investment strategy as communicated and the delivery of excellent long-term investment returns</w:t>
      </w:r>
      <w:r w:rsidR="004D1CD4">
        <w:rPr>
          <w:rFonts w:ascii="Arial" w:hAnsi="Arial" w:cs="Arial"/>
          <w:color w:val="auto"/>
          <w:sz w:val="20"/>
          <w:szCs w:val="20"/>
        </w:rPr>
        <w:t>.</w:t>
      </w:r>
    </w:p>
    <w:p w:rsidRPr="00DE5D68" w:rsidR="00784B64" w:rsidP="00080B2D" w:rsidRDefault="00784B64" w14:paraId="701FCE59" w14:textId="4044D067">
      <w:pPr>
        <w:rPr>
          <w:rFonts w:cs="Arial"/>
          <w:szCs w:val="20"/>
        </w:rPr>
      </w:pPr>
      <w:r w:rsidRPr="00DE5D68">
        <w:rPr>
          <w:rFonts w:cs="Arial"/>
          <w:szCs w:val="20"/>
        </w:rPr>
        <w:t xml:space="preserve">The Directors have </w:t>
      </w:r>
      <w:r w:rsidRPr="00080B2D">
        <w:rPr>
          <w:rFonts w:cs="Arial"/>
        </w:rPr>
        <w:t>been</w:t>
      </w:r>
      <w:r w:rsidRPr="00DE5D68">
        <w:rPr>
          <w:rFonts w:cs="Arial"/>
          <w:szCs w:val="20"/>
        </w:rPr>
        <w:t xml:space="preserve"> given authority by Shareholders to </w:t>
      </w:r>
      <w:r w:rsidRPr="00DE5D68" w:rsidR="00382446">
        <w:rPr>
          <w:rFonts w:cs="Arial"/>
          <w:szCs w:val="20"/>
        </w:rPr>
        <w:t xml:space="preserve">issue </w:t>
      </w:r>
      <w:r w:rsidRPr="00DE5D68">
        <w:rPr>
          <w:rFonts w:cs="Arial"/>
          <w:szCs w:val="20"/>
        </w:rPr>
        <w:t xml:space="preserve">new </w:t>
      </w:r>
      <w:r w:rsidR="001A706E">
        <w:rPr>
          <w:rFonts w:cs="Arial"/>
          <w:szCs w:val="20"/>
        </w:rPr>
        <w:t xml:space="preserve">Ordinary </w:t>
      </w:r>
      <w:r w:rsidRPr="00DE5D68" w:rsidR="00140CB9">
        <w:rPr>
          <w:rFonts w:cs="Arial"/>
          <w:szCs w:val="20"/>
        </w:rPr>
        <w:t>Shares</w:t>
      </w:r>
      <w:r w:rsidRPr="00DE5D68" w:rsidR="009E1235">
        <w:rPr>
          <w:rFonts w:cs="Arial"/>
          <w:szCs w:val="20"/>
        </w:rPr>
        <w:t xml:space="preserve"> for cash on a non-</w:t>
      </w:r>
      <w:r w:rsidRPr="00DE5D68">
        <w:rPr>
          <w:rFonts w:cs="Arial"/>
          <w:szCs w:val="20"/>
        </w:rPr>
        <w:t>pre-emptive basis</w:t>
      </w:r>
      <w:r w:rsidR="00FF6A04">
        <w:rPr>
          <w:rFonts w:cs="Arial"/>
          <w:szCs w:val="20"/>
        </w:rPr>
        <w:t xml:space="preserve"> for a period of </w:t>
      </w:r>
      <w:r w:rsidR="00084701">
        <w:rPr>
          <w:rFonts w:cs="Arial"/>
          <w:szCs w:val="20"/>
        </w:rPr>
        <w:t>five</w:t>
      </w:r>
      <w:r w:rsidRPr="00DE5D68" w:rsidR="00347710">
        <w:rPr>
          <w:rFonts w:cs="Arial"/>
          <w:szCs w:val="20"/>
        </w:rPr>
        <w:t xml:space="preserve"> years</w:t>
      </w:r>
      <w:r w:rsidRPr="00DE5D68">
        <w:rPr>
          <w:rFonts w:cs="Arial"/>
          <w:szCs w:val="20"/>
        </w:rPr>
        <w:t xml:space="preserve">. Further details of this authority are set out in paragraph </w:t>
      </w:r>
      <w:r w:rsidR="00577D1F">
        <w:rPr>
          <w:rFonts w:cs="Arial"/>
          <w:szCs w:val="20"/>
        </w:rPr>
        <w:fldChar w:fldCharType="begin" w:fldLock="1"/>
      </w:r>
      <w:r w:rsidR="00577D1F">
        <w:rPr>
          <w:rFonts w:cs="Arial"/>
          <w:szCs w:val="20"/>
        </w:rPr>
        <w:instrText xml:space="preserve"> REF _Ref65762319 \r \h </w:instrText>
      </w:r>
      <w:r w:rsidR="00577D1F">
        <w:rPr>
          <w:rFonts w:cs="Arial"/>
          <w:szCs w:val="20"/>
        </w:rPr>
      </w:r>
      <w:r w:rsidR="00577D1F">
        <w:rPr>
          <w:rFonts w:cs="Arial"/>
          <w:szCs w:val="20"/>
        </w:rPr>
        <w:fldChar w:fldCharType="separate"/>
      </w:r>
      <w:r w:rsidR="00DA4048">
        <w:rPr>
          <w:rFonts w:cs="Arial"/>
          <w:szCs w:val="20"/>
        </w:rPr>
        <w:t>2.5</w:t>
      </w:r>
      <w:r w:rsidR="00577D1F">
        <w:rPr>
          <w:rFonts w:cs="Arial"/>
          <w:szCs w:val="20"/>
        </w:rPr>
        <w:fldChar w:fldCharType="end"/>
      </w:r>
      <w:r w:rsidRPr="00DE5D68">
        <w:rPr>
          <w:rFonts w:cs="Arial"/>
          <w:szCs w:val="20"/>
        </w:rPr>
        <w:t xml:space="preserve"> of </w:t>
      </w:r>
      <w:r w:rsidR="00577D1F">
        <w:rPr>
          <w:rFonts w:cs="Arial"/>
          <w:szCs w:val="20"/>
        </w:rPr>
        <w:fldChar w:fldCharType="begin" w:fldLock="1"/>
      </w:r>
      <w:r w:rsidR="00577D1F">
        <w:rPr>
          <w:rFonts w:cs="Arial"/>
          <w:szCs w:val="20"/>
        </w:rPr>
        <w:instrText xml:space="preserve"> REF _Ref65762141 \r \h </w:instrText>
      </w:r>
      <w:r w:rsidR="00577D1F">
        <w:rPr>
          <w:rFonts w:cs="Arial"/>
          <w:szCs w:val="20"/>
        </w:rPr>
      </w:r>
      <w:r w:rsidR="00577D1F">
        <w:rPr>
          <w:rFonts w:cs="Arial"/>
          <w:szCs w:val="20"/>
        </w:rPr>
        <w:fldChar w:fldCharType="separate"/>
      </w:r>
      <w:r w:rsidR="00DA4048">
        <w:rPr>
          <w:rFonts w:cs="Arial"/>
          <w:szCs w:val="20"/>
        </w:rPr>
        <w:t>Part 6</w:t>
      </w:r>
      <w:r w:rsidR="00577D1F">
        <w:rPr>
          <w:rFonts w:cs="Arial"/>
          <w:szCs w:val="20"/>
        </w:rPr>
        <w:fldChar w:fldCharType="end"/>
      </w:r>
      <w:r w:rsidRPr="00DE5D68">
        <w:rPr>
          <w:rFonts w:cs="Arial"/>
          <w:szCs w:val="20"/>
        </w:rPr>
        <w:t xml:space="preserve"> of this document. The Directors will seek renewals of this authority</w:t>
      </w:r>
      <w:r w:rsidRPr="00DE5D68" w:rsidR="00347710">
        <w:rPr>
          <w:rFonts w:cs="Arial"/>
          <w:szCs w:val="20"/>
        </w:rPr>
        <w:t xml:space="preserve"> as required</w:t>
      </w:r>
      <w:r w:rsidRPr="00DE5D68" w:rsidR="00240716">
        <w:rPr>
          <w:rFonts w:cs="Arial"/>
          <w:szCs w:val="20"/>
        </w:rPr>
        <w:t xml:space="preserve">. </w:t>
      </w:r>
    </w:p>
    <w:p w:rsidR="00312352" w:rsidP="00080B2D" w:rsidRDefault="00312352" w14:paraId="4718CB04" w14:textId="2560839E">
      <w:pPr>
        <w:rPr>
          <w:rFonts w:cs="Arial"/>
          <w:szCs w:val="20"/>
        </w:rPr>
      </w:pPr>
      <w:r>
        <w:rPr>
          <w:rFonts w:cs="Arial"/>
          <w:szCs w:val="20"/>
        </w:rPr>
        <w:t xml:space="preserve">Unless otherwise approved by Shareholders, new Ordinary Shares will not be issued for cash consideration at a price less than the prevailing published </w:t>
      </w:r>
      <w:r w:rsidR="00E81510">
        <w:rPr>
          <w:rFonts w:cs="Arial"/>
          <w:szCs w:val="20"/>
        </w:rPr>
        <w:t xml:space="preserve">Net Asset Value per </w:t>
      </w:r>
      <w:r w:rsidR="00084701">
        <w:rPr>
          <w:rFonts w:cs="Arial"/>
          <w:szCs w:val="20"/>
        </w:rPr>
        <w:t xml:space="preserve">Ordinary </w:t>
      </w:r>
      <w:r w:rsidR="00E81510">
        <w:rPr>
          <w:rFonts w:cs="Arial"/>
          <w:szCs w:val="20"/>
        </w:rPr>
        <w:t>Share</w:t>
      </w:r>
      <w:r w:rsidR="003B01E0">
        <w:rPr>
          <w:rFonts w:cs="Arial"/>
          <w:szCs w:val="20"/>
        </w:rPr>
        <w:t xml:space="preserve"> (audited or unaudited)</w:t>
      </w:r>
      <w:r w:rsidR="00876240">
        <w:rPr>
          <w:rFonts w:cs="Arial"/>
          <w:szCs w:val="20"/>
        </w:rPr>
        <w:t xml:space="preserve"> unless such Ordinary Shares are first offered to existing Shareholders on a pro rata basis.</w:t>
      </w:r>
    </w:p>
    <w:p w:rsidRPr="00D013EE" w:rsidR="00084701" w:rsidP="00D013EE" w:rsidRDefault="007A4318" w14:paraId="660378A8" w14:textId="5E34B7EF">
      <w:pPr>
        <w:rPr>
          <w:rFonts w:cs="Arial"/>
          <w:szCs w:val="20"/>
        </w:rPr>
      </w:pPr>
      <w:r w:rsidRPr="00DE5D68">
        <w:rPr>
          <w:rFonts w:cs="Arial"/>
          <w:szCs w:val="20"/>
        </w:rPr>
        <w:t>T</w:t>
      </w:r>
      <w:r w:rsidRPr="00DE5D68" w:rsidR="00784B64">
        <w:rPr>
          <w:rFonts w:cs="Arial"/>
          <w:szCs w:val="20"/>
        </w:rPr>
        <w:t>he Directors have been granted t</w:t>
      </w:r>
      <w:r w:rsidR="002432DD">
        <w:rPr>
          <w:rFonts w:cs="Arial"/>
          <w:szCs w:val="20"/>
        </w:rPr>
        <w:t xml:space="preserve">he authority to </w:t>
      </w:r>
      <w:r w:rsidR="009B6742">
        <w:rPr>
          <w:rFonts w:cs="Arial"/>
          <w:szCs w:val="20"/>
        </w:rPr>
        <w:t xml:space="preserve">make market </w:t>
      </w:r>
      <w:r w:rsidR="002432DD">
        <w:rPr>
          <w:rFonts w:cs="Arial"/>
          <w:szCs w:val="20"/>
        </w:rPr>
        <w:t>buyback</w:t>
      </w:r>
      <w:r w:rsidR="009B6742">
        <w:rPr>
          <w:rFonts w:cs="Arial"/>
          <w:szCs w:val="20"/>
        </w:rPr>
        <w:t>s of Ordinary Shares</w:t>
      </w:r>
      <w:r w:rsidR="002432DD">
        <w:rPr>
          <w:rFonts w:cs="Arial"/>
          <w:szCs w:val="20"/>
        </w:rPr>
        <w:t xml:space="preserve"> up to 14.99 per cent. of the</w:t>
      </w:r>
      <w:r w:rsidRPr="00DE5D68" w:rsidR="00784B64">
        <w:rPr>
          <w:rFonts w:cs="Arial"/>
          <w:szCs w:val="20"/>
        </w:rPr>
        <w:t xml:space="preserve"> Ordinary Shares</w:t>
      </w:r>
      <w:r w:rsidR="002432DD">
        <w:rPr>
          <w:rFonts w:cs="Arial"/>
          <w:szCs w:val="20"/>
        </w:rPr>
        <w:t xml:space="preserve"> in issue following Initial Admission</w:t>
      </w:r>
      <w:r w:rsidRPr="00DE5D68" w:rsidR="00784B64">
        <w:rPr>
          <w:rFonts w:cs="Arial"/>
          <w:szCs w:val="20"/>
        </w:rPr>
        <w:t xml:space="preserve">. The Directors will seek renewal of this authority from Shareholders annually and at other times should this prove necessary. Any buyback of Ordinary </w:t>
      </w:r>
      <w:r w:rsidRPr="00080B2D" w:rsidR="00784B64">
        <w:rPr>
          <w:rFonts w:cs="Arial"/>
        </w:rPr>
        <w:t>Shares</w:t>
      </w:r>
      <w:r w:rsidRPr="00DE5D68" w:rsidR="00784B64">
        <w:rPr>
          <w:rFonts w:cs="Arial"/>
          <w:szCs w:val="20"/>
        </w:rPr>
        <w:t xml:space="preserve"> will be made subject to the Companies Law and within guidelines established from time </w:t>
      </w:r>
      <w:r w:rsidRPr="00DE5D68" w:rsidR="00784B64">
        <w:rPr>
          <w:rFonts w:cs="Arial"/>
          <w:szCs w:val="20"/>
        </w:rPr>
        <w:lastRenderedPageBreak/>
        <w:t>to time by the Board and the making and timing of any buybacks will be at the absolute discretion of the Board. The Directors are authorised to cancel any Ordinary Shares purchased under this authority or to hold them in treasury. The Directors will have regard to what they believe to be in the best interests of Shareholders and in compliance with the Articles, the Companies Law and all other applicable legal and regulatory requirements. The maximum price (exclusive of expenses) which may be paid for an Ordinary Share must not be more than the higher of</w:t>
      </w:r>
      <w:r w:rsidR="00845FD8">
        <w:rPr>
          <w:rFonts w:cs="Arial"/>
          <w:szCs w:val="20"/>
        </w:rPr>
        <w:t>:</w:t>
      </w:r>
      <w:r w:rsidRPr="00DE5D68" w:rsidR="00784B64">
        <w:rPr>
          <w:rFonts w:cs="Arial"/>
          <w:szCs w:val="20"/>
        </w:rPr>
        <w:t xml:space="preserve"> (</w:t>
      </w:r>
      <w:proofErr w:type="spellStart"/>
      <w:r w:rsidRPr="00DE5D68" w:rsidR="00784B64">
        <w:rPr>
          <w:rFonts w:cs="Arial"/>
          <w:szCs w:val="20"/>
        </w:rPr>
        <w:t>i</w:t>
      </w:r>
      <w:proofErr w:type="spellEnd"/>
      <w:r w:rsidRPr="00DE5D68" w:rsidR="00784B64">
        <w:rPr>
          <w:rFonts w:cs="Arial"/>
          <w:szCs w:val="20"/>
        </w:rPr>
        <w:t>) 5 per cent. above the average of the mid-market quotations for the five Business Days before the purchase is made, and (ii) the higher of</w:t>
      </w:r>
      <w:r w:rsidR="00084701">
        <w:rPr>
          <w:rFonts w:cs="Arial"/>
          <w:szCs w:val="20"/>
        </w:rPr>
        <w:t>:</w:t>
      </w:r>
      <w:r w:rsidRPr="00DE5D68" w:rsidR="00784B64">
        <w:rPr>
          <w:rFonts w:cs="Arial"/>
          <w:szCs w:val="20"/>
        </w:rPr>
        <w:t xml:space="preserve"> (a) the price of the last independent trade</w:t>
      </w:r>
      <w:r w:rsidR="00084701">
        <w:rPr>
          <w:rFonts w:cs="Arial"/>
          <w:szCs w:val="20"/>
        </w:rPr>
        <w:t>,</w:t>
      </w:r>
      <w:r w:rsidRPr="00DE5D68" w:rsidR="00784B64">
        <w:rPr>
          <w:rFonts w:cs="Arial"/>
          <w:szCs w:val="20"/>
        </w:rPr>
        <w:t xml:space="preserve"> and (b) the highest current independent bid for Ordinary Shares on </w:t>
      </w:r>
      <w:r w:rsidR="00640CB6">
        <w:rPr>
          <w:rFonts w:cs="Arial"/>
          <w:szCs w:val="20"/>
        </w:rPr>
        <w:fldChar w:fldCharType="begin">
          <w:fldData xml:space="preserve">dgAxAHwAMQAwADAAMQA5AHwAdABoAGUAIABMAG8AbgBkAG8AbgB8AEEAbQBiAGkAZwAtADEAMAAw
ADEAOQB8AHwA
</w:fldData>
        </w:fldChar>
      </w:r>
      <w:r w:rsidR="00640CB6">
        <w:rPr>
          <w:rFonts w:cs="Arial"/>
          <w:szCs w:val="20"/>
        </w:rPr>
        <w:instrText xml:space="preserve"> ADDIN CiteCheck Marker </w:instrText>
      </w:r>
      <w:r w:rsidR="00640CB6">
        <w:rPr>
          <w:rFonts w:cs="Arial"/>
          <w:szCs w:val="20"/>
        </w:rPr>
      </w:r>
      <w:r w:rsidR="00640CB6">
        <w:rPr>
          <w:rFonts w:cs="Arial"/>
          <w:szCs w:val="20"/>
        </w:rPr>
        <w:fldChar w:fldCharType="end"/>
      </w:r>
      <w:r w:rsidRPr="00DE5D68" w:rsidR="00784B64">
        <w:rPr>
          <w:rFonts w:cs="Arial"/>
          <w:szCs w:val="20"/>
        </w:rPr>
        <w:t>the London Stock Exchange at the time the purchase is carried out.</w:t>
      </w:r>
    </w:p>
    <w:p w:rsidRPr="0066675A" w:rsidR="0022222D" w:rsidP="0022222D" w:rsidRDefault="006311A4" w14:paraId="0A23C885" w14:textId="0E1C77DE">
      <w:pPr>
        <w:pStyle w:val="2style"/>
        <w:rPr>
          <w:i/>
          <w:iCs/>
          <w:spacing w:val="-2"/>
          <w:szCs w:val="16"/>
        </w:rPr>
      </w:pPr>
      <w:bookmarkStart w:name="_Hlk155272465" w:id="121"/>
      <w:r>
        <w:rPr>
          <w:i/>
          <w:iCs/>
          <w:spacing w:val="-2"/>
          <w:szCs w:val="16"/>
        </w:rPr>
        <w:t>Return of uninvested proceeds</w:t>
      </w:r>
      <w:r w:rsidR="0022222D">
        <w:rPr>
          <w:i/>
          <w:iCs/>
          <w:spacing w:val="-2"/>
          <w:szCs w:val="16"/>
        </w:rPr>
        <w:t xml:space="preserve"> </w:t>
      </w:r>
    </w:p>
    <w:p w:rsidR="00647D30" w:rsidP="003309E6" w:rsidRDefault="006311A4" w14:paraId="2C40BAC0" w14:textId="77777777">
      <w:r>
        <w:t xml:space="preserve">In the event that, on the first anniversary of Initial Admission, 50 per cent. or more of the proceeds from the Initial Placing remain uninvested in accordance with the Company’s investment policy, the Board shall take steps to return such uninvested proceeds to </w:t>
      </w:r>
      <w:r w:rsidR="009B6742">
        <w:t>S</w:t>
      </w:r>
      <w:r>
        <w:t xml:space="preserve">hareholders. </w:t>
      </w:r>
      <w:r w:rsidR="009B6742">
        <w:t>Any s</w:t>
      </w:r>
      <w:r>
        <w:t>uch return of uninvested proceeds w</w:t>
      </w:r>
      <w:r w:rsidR="009B6742">
        <w:t>ould</w:t>
      </w:r>
      <w:r>
        <w:t xml:space="preserve"> be </w:t>
      </w:r>
      <w:proofErr w:type="gramStart"/>
      <w:r>
        <w:t>effected</w:t>
      </w:r>
      <w:proofErr w:type="gramEnd"/>
      <w:r>
        <w:t xml:space="preserve"> through the </w:t>
      </w:r>
      <w:r w:rsidR="009B6742">
        <w:t xml:space="preserve">use of the </w:t>
      </w:r>
      <w:r>
        <w:t xml:space="preserve">Redemption Mechanism. </w:t>
      </w:r>
    </w:p>
    <w:p w:rsidRPr="0051056D" w:rsidR="0051056D" w:rsidP="003309E6" w:rsidRDefault="0051056D" w14:paraId="2D475ADA" w14:textId="76542736">
      <w:pPr>
        <w:rPr>
          <w:i/>
          <w:iCs/>
        </w:rPr>
      </w:pPr>
      <w:r>
        <w:rPr>
          <w:i/>
          <w:iCs/>
        </w:rPr>
        <w:t>Shareholder engagement on continuation</w:t>
      </w:r>
    </w:p>
    <w:p w:rsidRPr="00DB5DFD" w:rsidR="00AF0793" w:rsidP="003309E6" w:rsidRDefault="00647D30" w14:paraId="1B92AC73" w14:textId="419A9DDA">
      <w:r w:rsidRPr="00647D30">
        <w:t>Should the Net Asset Value fall below £30 million</w:t>
      </w:r>
      <w:r>
        <w:t xml:space="preserve"> at any time following Initial Admission</w:t>
      </w:r>
      <w:r w:rsidRPr="00647D30">
        <w:t xml:space="preserve">, the Board will engage with </w:t>
      </w:r>
      <w:r>
        <w:t>S</w:t>
      </w:r>
      <w:r w:rsidRPr="00647D30">
        <w:t>hareholders to determine their preference for the Company</w:t>
      </w:r>
      <w:r>
        <w:t>'</w:t>
      </w:r>
      <w:r w:rsidRPr="00647D30">
        <w:t xml:space="preserve">s continuation. If </w:t>
      </w:r>
      <w:r>
        <w:t>S</w:t>
      </w:r>
      <w:r w:rsidRPr="00647D30">
        <w:t xml:space="preserve">hareholders indicate a preference not to proceed, the Board will bring forward proposals to facilitate an orderly return of capital to </w:t>
      </w:r>
      <w:r>
        <w:t>S</w:t>
      </w:r>
      <w:r w:rsidRPr="00647D30">
        <w:t>hareholders.</w:t>
      </w:r>
    </w:p>
    <w:p w:rsidR="00AF0793" w:rsidP="003309E6" w:rsidRDefault="00AF0793" w14:paraId="21AA5A27" w14:textId="1BC791B6">
      <w:pPr>
        <w:rPr>
          <w:i/>
          <w:iCs/>
        </w:rPr>
      </w:pPr>
      <w:bookmarkStart w:name="_Hlk188015061" w:id="122"/>
      <w:r>
        <w:rPr>
          <w:i/>
          <w:iCs/>
        </w:rPr>
        <w:t xml:space="preserve">Continuation </w:t>
      </w:r>
      <w:r w:rsidR="0051056D">
        <w:rPr>
          <w:i/>
          <w:iCs/>
        </w:rPr>
        <w:t>v</w:t>
      </w:r>
      <w:r>
        <w:rPr>
          <w:i/>
          <w:iCs/>
        </w:rPr>
        <w:t>ote</w:t>
      </w:r>
    </w:p>
    <w:p w:rsidR="00AF0793" w:rsidP="003309E6" w:rsidRDefault="00AF0793" w14:paraId="2F2DC8FE" w14:textId="2098DC0A">
      <w:r w:rsidRPr="00AF0793">
        <w:t xml:space="preserve">In accordance with the Articles, the Directors are required to propose an ordinary resolution at the </w:t>
      </w:r>
      <w:r>
        <w:t xml:space="preserve">Company's third </w:t>
      </w:r>
      <w:r w:rsidRPr="00AF0793">
        <w:t xml:space="preserve">annual general meeting </w:t>
      </w:r>
      <w:r>
        <w:t xml:space="preserve">following </w:t>
      </w:r>
      <w:r w:rsidR="00054653">
        <w:t xml:space="preserve">Initial </w:t>
      </w:r>
      <w:r>
        <w:t xml:space="preserve">Admission </w:t>
      </w:r>
      <w:r w:rsidRPr="00AF0793">
        <w:t>that the Company continues its business as presently constituted (the “</w:t>
      </w:r>
      <w:r w:rsidRPr="00AF0793">
        <w:rPr>
          <w:b/>
          <w:bCs/>
        </w:rPr>
        <w:t>Initial Continuation Resolution</w:t>
      </w:r>
      <w:r w:rsidRPr="00AF0793">
        <w:t>”). If passed, the Articles provide that the Directors will propose an ordinary resolution that the Company continue its business as presently constituted at each annual general meeting thereafter (a “</w:t>
      </w:r>
      <w:r w:rsidRPr="00AF0793">
        <w:rPr>
          <w:b/>
          <w:bCs/>
        </w:rPr>
        <w:t>Continuation Resolution</w:t>
      </w:r>
      <w:r w:rsidRPr="00AF0793">
        <w:t xml:space="preserve">”). </w:t>
      </w:r>
    </w:p>
    <w:p w:rsidRPr="00AF0793" w:rsidR="00AF0793" w:rsidP="003309E6" w:rsidRDefault="00AF0793" w14:paraId="2EEAFD23" w14:textId="789CB738">
      <w:r w:rsidRPr="00AF0793">
        <w:t>If the Initial Continuation Resolution or any Continuation Resolution is not passed, the Directors will put forward proposals for the reconstruction, reorganisation or winding up of the Company to Shareholders for their approval as soon as reasonably practicable following the date on which the Initial Continuation Resolution or relevant Continuation Resolution (as the case may be) is not passed. These proposals may or may not involve winding up the Company and, accordingly, failure to pass the Initial Continuation Resolution or any Continuation Resolution will not necessarily result in the winding up of the Company.</w:t>
      </w:r>
    </w:p>
    <w:bookmarkEnd w:id="121"/>
    <w:bookmarkEnd w:id="122"/>
    <w:p w:rsidRPr="00080B2D" w:rsidR="00AD5B06" w:rsidP="00C27D12" w:rsidRDefault="00AD5B06" w14:paraId="33985203" w14:textId="00B88C59">
      <w:pPr>
        <w:pStyle w:val="Heading1"/>
        <w:rPr>
          <w:rFonts w:cs="Arial"/>
          <w:caps w:val="0"/>
        </w:rPr>
      </w:pPr>
      <w:r w:rsidRPr="00080B2D">
        <w:rPr>
          <w:rFonts w:cs="Arial"/>
          <w:caps w:val="0"/>
        </w:rPr>
        <w:t>THE</w:t>
      </w:r>
      <w:r w:rsidRPr="00080B2D" w:rsidR="002479C6">
        <w:rPr>
          <w:rFonts w:cs="Arial"/>
          <w:caps w:val="0"/>
        </w:rPr>
        <w:t xml:space="preserve"> </w:t>
      </w:r>
      <w:r w:rsidR="00CC3344">
        <w:rPr>
          <w:rFonts w:cs="Arial"/>
          <w:caps w:val="0"/>
        </w:rPr>
        <w:t xml:space="preserve">INITIAL </w:t>
      </w:r>
      <w:r w:rsidR="006311A4">
        <w:rPr>
          <w:rFonts w:cs="Arial"/>
          <w:caps w:val="0"/>
        </w:rPr>
        <w:t>PLACING</w:t>
      </w:r>
      <w:r w:rsidRPr="00080B2D" w:rsidR="00662988">
        <w:rPr>
          <w:rFonts w:cs="Arial"/>
          <w:caps w:val="0"/>
        </w:rPr>
        <w:t xml:space="preserve"> </w:t>
      </w:r>
      <w:r w:rsidRPr="00080B2D" w:rsidR="002479C6">
        <w:rPr>
          <w:rFonts w:cs="Arial"/>
          <w:caps w:val="0"/>
        </w:rPr>
        <w:t xml:space="preserve">AND THE PLACING PROGRAMME </w:t>
      </w:r>
    </w:p>
    <w:p w:rsidRPr="00080B2D" w:rsidR="00876240" w:rsidP="00C27D12" w:rsidRDefault="00C12350" w14:paraId="0345A518" w14:textId="1784BF61">
      <w:pPr>
        <w:tabs>
          <w:tab w:val="left" w:pos="3544"/>
        </w:tabs>
        <w:rPr>
          <w:rFonts w:cs="Arial"/>
          <w:b/>
          <w:i/>
          <w:szCs w:val="20"/>
        </w:rPr>
      </w:pPr>
      <w:r>
        <w:rPr>
          <w:rFonts w:cs="Arial"/>
          <w:b/>
          <w:i/>
          <w:szCs w:val="20"/>
        </w:rPr>
        <w:t xml:space="preserve">The </w:t>
      </w:r>
      <w:r w:rsidR="00CC3344">
        <w:rPr>
          <w:rFonts w:cs="Arial"/>
          <w:b/>
          <w:i/>
          <w:szCs w:val="20"/>
        </w:rPr>
        <w:t xml:space="preserve">Initial </w:t>
      </w:r>
      <w:r w:rsidR="006311A4">
        <w:rPr>
          <w:rFonts w:cs="Arial"/>
          <w:b/>
          <w:i/>
          <w:szCs w:val="20"/>
        </w:rPr>
        <w:t>Placing</w:t>
      </w:r>
    </w:p>
    <w:p w:rsidR="00721416" w:rsidP="00C27D12" w:rsidRDefault="00D81FEC" w14:paraId="758EFCC7" w14:textId="5D507FF6">
      <w:pPr>
        <w:tabs>
          <w:tab w:val="left" w:pos="3544"/>
        </w:tabs>
        <w:rPr>
          <w:rFonts w:cs="Arial"/>
          <w:szCs w:val="20"/>
        </w:rPr>
      </w:pPr>
      <w:r w:rsidRPr="00080B2D">
        <w:rPr>
          <w:rFonts w:cs="Arial"/>
          <w:szCs w:val="20"/>
        </w:rPr>
        <w:t xml:space="preserve">The size of the </w:t>
      </w:r>
      <w:r w:rsidR="00CC3344">
        <w:rPr>
          <w:rFonts w:cs="Arial"/>
          <w:szCs w:val="20"/>
        </w:rPr>
        <w:t xml:space="preserve">Initial </w:t>
      </w:r>
      <w:r w:rsidR="006311A4">
        <w:rPr>
          <w:rFonts w:cs="Arial"/>
          <w:szCs w:val="20"/>
        </w:rPr>
        <w:t>Placing</w:t>
      </w:r>
      <w:r w:rsidR="00191DEA">
        <w:rPr>
          <w:rFonts w:cs="Arial"/>
          <w:szCs w:val="20"/>
        </w:rPr>
        <w:t xml:space="preserve"> </w:t>
      </w:r>
      <w:r w:rsidR="004177A2">
        <w:rPr>
          <w:rFonts w:cs="Arial"/>
          <w:szCs w:val="20"/>
        </w:rPr>
        <w:t>will be</w:t>
      </w:r>
      <w:r w:rsidRPr="00080B2D" w:rsidR="004177A2">
        <w:rPr>
          <w:rFonts w:cs="Arial"/>
          <w:szCs w:val="20"/>
        </w:rPr>
        <w:t xml:space="preserve"> </w:t>
      </w:r>
      <w:r w:rsidRPr="00080B2D" w:rsidR="002479C6">
        <w:rPr>
          <w:rFonts w:cs="Arial"/>
          <w:szCs w:val="20"/>
        </w:rPr>
        <w:t>£</w:t>
      </w:r>
      <w:r w:rsidR="00893EA6">
        <w:rPr>
          <w:rFonts w:cs="Arial"/>
          <w:szCs w:val="20"/>
        </w:rPr>
        <w:t>54</w:t>
      </w:r>
      <w:r w:rsidRPr="00080B2D" w:rsidR="00721416">
        <w:rPr>
          <w:rFonts w:cs="Arial"/>
          <w:szCs w:val="20"/>
        </w:rPr>
        <w:t xml:space="preserve"> million (before expenses).</w:t>
      </w:r>
      <w:r w:rsidRPr="00080B2D" w:rsidR="002479C6">
        <w:rPr>
          <w:rFonts w:cs="Arial"/>
          <w:szCs w:val="20"/>
        </w:rPr>
        <w:t xml:space="preserve"> </w:t>
      </w:r>
      <w:bookmarkStart w:name="_Hlk188880107" w:id="123"/>
      <w:r w:rsidRPr="00080B2D" w:rsidR="002479C6">
        <w:rPr>
          <w:rFonts w:cs="Arial"/>
          <w:szCs w:val="20"/>
        </w:rPr>
        <w:t>The minimum s</w:t>
      </w:r>
      <w:r w:rsidR="00C12350">
        <w:rPr>
          <w:rFonts w:cs="Arial"/>
          <w:szCs w:val="20"/>
        </w:rPr>
        <w:t xml:space="preserve">ize of the </w:t>
      </w:r>
      <w:r w:rsidR="00CC3344">
        <w:rPr>
          <w:rFonts w:cs="Arial"/>
          <w:szCs w:val="20"/>
        </w:rPr>
        <w:t xml:space="preserve">Initial </w:t>
      </w:r>
      <w:r w:rsidR="006311A4">
        <w:rPr>
          <w:rFonts w:cs="Arial"/>
          <w:szCs w:val="20"/>
        </w:rPr>
        <w:t>Placing</w:t>
      </w:r>
      <w:r w:rsidRPr="00080B2D" w:rsidR="00EF5E83">
        <w:rPr>
          <w:rFonts w:cs="Arial"/>
          <w:szCs w:val="20"/>
        </w:rPr>
        <w:t xml:space="preserve"> is </w:t>
      </w:r>
      <w:r w:rsidR="00301A97">
        <w:rPr>
          <w:rFonts w:cs="Arial"/>
          <w:szCs w:val="20"/>
        </w:rPr>
        <w:t xml:space="preserve">also </w:t>
      </w:r>
      <w:r w:rsidRPr="00080B2D" w:rsidR="00EF5E83">
        <w:rPr>
          <w:rFonts w:cs="Arial"/>
          <w:szCs w:val="20"/>
        </w:rPr>
        <w:t>£</w:t>
      </w:r>
      <w:r w:rsidR="00893EA6">
        <w:rPr>
          <w:rFonts w:cs="Arial"/>
        </w:rPr>
        <w:t>54</w:t>
      </w:r>
      <w:r w:rsidRPr="00080B2D" w:rsidR="002479C6">
        <w:rPr>
          <w:rFonts w:cs="Arial"/>
          <w:szCs w:val="20"/>
        </w:rPr>
        <w:t xml:space="preserve"> million (before expenses). </w:t>
      </w:r>
    </w:p>
    <w:bookmarkEnd w:id="123"/>
    <w:p w:rsidR="00AD5B06" w:rsidP="00C27D12" w:rsidRDefault="00DD0C05" w14:paraId="32AEE7FA" w14:textId="3B049B71">
      <w:pPr>
        <w:rPr>
          <w:rFonts w:cs="Arial"/>
          <w:szCs w:val="20"/>
        </w:rPr>
      </w:pPr>
      <w:r>
        <w:rPr>
          <w:rFonts w:cs="Arial"/>
          <w:szCs w:val="20"/>
        </w:rPr>
        <w:t>Singer Capital Markets</w:t>
      </w:r>
      <w:r w:rsidRPr="00DE5D68" w:rsidR="00631C3F">
        <w:rPr>
          <w:rFonts w:cs="Arial"/>
          <w:szCs w:val="20"/>
        </w:rPr>
        <w:t xml:space="preserve"> </w:t>
      </w:r>
      <w:r w:rsidRPr="00DE5D68" w:rsidR="00AD5B06">
        <w:rPr>
          <w:rFonts w:cs="Arial"/>
          <w:szCs w:val="20"/>
        </w:rPr>
        <w:t xml:space="preserve">has agreed to use its reasonable endeavours to procure </w:t>
      </w:r>
      <w:r w:rsidRPr="00DE5D68" w:rsidR="00E33DD5">
        <w:rPr>
          <w:rFonts w:cs="Arial"/>
          <w:szCs w:val="20"/>
        </w:rPr>
        <w:t xml:space="preserve">subscribers </w:t>
      </w:r>
      <w:r w:rsidRPr="00DE5D68" w:rsidR="00AD5B06">
        <w:rPr>
          <w:rFonts w:cs="Arial"/>
          <w:szCs w:val="20"/>
        </w:rPr>
        <w:t xml:space="preserve">pursuant to the </w:t>
      </w:r>
      <w:r w:rsidRPr="00DE5D68" w:rsidR="002479C6">
        <w:rPr>
          <w:rFonts w:cs="Arial"/>
          <w:szCs w:val="20"/>
        </w:rPr>
        <w:t xml:space="preserve">Initial </w:t>
      </w:r>
      <w:r w:rsidRPr="00DE5D68" w:rsidR="00AD5B06">
        <w:rPr>
          <w:rFonts w:cs="Arial"/>
          <w:szCs w:val="20"/>
        </w:rPr>
        <w:t xml:space="preserve">Placing for </w:t>
      </w:r>
      <w:r w:rsidRPr="00DE5D68" w:rsidR="001664DE">
        <w:rPr>
          <w:rFonts w:cs="Arial"/>
          <w:szCs w:val="20"/>
        </w:rPr>
        <w:t xml:space="preserve">Ordinary </w:t>
      </w:r>
      <w:r w:rsidRPr="00DE5D68" w:rsidR="00AD5B06">
        <w:rPr>
          <w:rFonts w:cs="Arial"/>
          <w:szCs w:val="20"/>
        </w:rPr>
        <w:t xml:space="preserve">Shares at the Issue Price on the terms and subject to the conditions set out in the </w:t>
      </w:r>
      <w:r w:rsidR="00020807">
        <w:rPr>
          <w:rFonts w:cs="Arial"/>
          <w:szCs w:val="20"/>
        </w:rPr>
        <w:t>Placing Agreement</w:t>
      </w:r>
      <w:r w:rsidRPr="00DE5D68" w:rsidR="00AD5B06">
        <w:rPr>
          <w:rFonts w:cs="Arial"/>
          <w:szCs w:val="20"/>
        </w:rPr>
        <w:t xml:space="preserve"> </w:t>
      </w:r>
      <w:r w:rsidRPr="00DE5D68" w:rsidR="00125DCE">
        <w:rPr>
          <w:rFonts w:cs="Arial"/>
          <w:szCs w:val="20"/>
        </w:rPr>
        <w:t>and this document</w:t>
      </w:r>
      <w:r w:rsidRPr="00DE5D68" w:rsidR="00AD5B06">
        <w:rPr>
          <w:rFonts w:cs="Arial"/>
          <w:szCs w:val="20"/>
        </w:rPr>
        <w:t>.</w:t>
      </w:r>
      <w:r w:rsidRPr="00DE5D68" w:rsidR="00A570E1">
        <w:rPr>
          <w:rFonts w:cs="Arial"/>
          <w:szCs w:val="20"/>
        </w:rPr>
        <w:t xml:space="preserve"> </w:t>
      </w:r>
    </w:p>
    <w:p w:rsidRPr="00DE5D68" w:rsidR="00504B48" w:rsidP="00C27D12" w:rsidRDefault="00D04539" w14:paraId="3620971D" w14:textId="19325D04">
      <w:pPr>
        <w:rPr>
          <w:rFonts w:cs="Arial"/>
          <w:szCs w:val="20"/>
        </w:rPr>
      </w:pPr>
      <w:r w:rsidRPr="00DE5D68">
        <w:rPr>
          <w:rFonts w:cs="Arial"/>
          <w:szCs w:val="20"/>
        </w:rPr>
        <w:t>Further details about the</w:t>
      </w:r>
      <w:r w:rsidRPr="00DE5D68" w:rsidR="00125DCE">
        <w:rPr>
          <w:rFonts w:cs="Arial"/>
          <w:szCs w:val="20"/>
        </w:rPr>
        <w:t xml:space="preserve"> </w:t>
      </w:r>
      <w:r w:rsidR="00CC3344">
        <w:rPr>
          <w:rFonts w:cs="Arial"/>
          <w:szCs w:val="20"/>
        </w:rPr>
        <w:t xml:space="preserve">Initial </w:t>
      </w:r>
      <w:r w:rsidR="006311A4">
        <w:rPr>
          <w:rFonts w:cs="Arial"/>
          <w:szCs w:val="20"/>
        </w:rPr>
        <w:t>Placing</w:t>
      </w:r>
      <w:r w:rsidRPr="00DE5D68">
        <w:rPr>
          <w:rFonts w:cs="Arial"/>
          <w:szCs w:val="20"/>
        </w:rPr>
        <w:t xml:space="preserve"> are set out in </w:t>
      </w:r>
      <w:r w:rsidR="00637905">
        <w:rPr>
          <w:rFonts w:cs="Arial"/>
          <w:szCs w:val="20"/>
        </w:rPr>
        <w:fldChar w:fldCharType="begin" w:fldLock="1"/>
      </w:r>
      <w:r w:rsidR="00637905">
        <w:rPr>
          <w:rFonts w:cs="Arial"/>
          <w:szCs w:val="20"/>
        </w:rPr>
        <w:instrText xml:space="preserve"> REF _Ref65764869 \n \h </w:instrText>
      </w:r>
      <w:r w:rsidR="00637905">
        <w:rPr>
          <w:rFonts w:cs="Arial"/>
          <w:szCs w:val="20"/>
        </w:rPr>
      </w:r>
      <w:r w:rsidR="00637905">
        <w:rPr>
          <w:rFonts w:cs="Arial"/>
          <w:szCs w:val="20"/>
        </w:rPr>
        <w:fldChar w:fldCharType="separate"/>
      </w:r>
      <w:r w:rsidR="00DA4048">
        <w:rPr>
          <w:rFonts w:cs="Arial"/>
          <w:szCs w:val="20"/>
        </w:rPr>
        <w:t>Part 3</w:t>
      </w:r>
      <w:r w:rsidR="00637905">
        <w:rPr>
          <w:rFonts w:cs="Arial"/>
          <w:szCs w:val="20"/>
        </w:rPr>
        <w:fldChar w:fldCharType="end"/>
      </w:r>
      <w:r w:rsidRPr="00DE5D68" w:rsidR="00B60774">
        <w:rPr>
          <w:rFonts w:cs="Arial"/>
          <w:szCs w:val="20"/>
        </w:rPr>
        <w:t xml:space="preserve"> </w:t>
      </w:r>
      <w:r w:rsidRPr="00DE5D68">
        <w:rPr>
          <w:rFonts w:cs="Arial"/>
          <w:szCs w:val="20"/>
        </w:rPr>
        <w:t xml:space="preserve">of </w:t>
      </w:r>
      <w:r w:rsidRPr="00DE5D68" w:rsidR="00F60B74">
        <w:rPr>
          <w:rFonts w:cs="Arial"/>
          <w:szCs w:val="20"/>
        </w:rPr>
        <w:t>this</w:t>
      </w:r>
      <w:r w:rsidRPr="00DE5D68" w:rsidR="00EA5406">
        <w:rPr>
          <w:rFonts w:cs="Arial"/>
          <w:szCs w:val="20"/>
        </w:rPr>
        <w:t xml:space="preserve"> document. </w:t>
      </w:r>
    </w:p>
    <w:p w:rsidRPr="00DE5D68" w:rsidR="002479C6" w:rsidP="00C27D12" w:rsidRDefault="002479C6" w14:paraId="53C4E222" w14:textId="549A292B">
      <w:pPr>
        <w:keepNext/>
        <w:jc w:val="left"/>
        <w:rPr>
          <w:rFonts w:cs="Arial"/>
          <w:b/>
          <w:i/>
          <w:szCs w:val="20"/>
        </w:rPr>
      </w:pPr>
      <w:r w:rsidRPr="00DE5D68">
        <w:rPr>
          <w:rFonts w:cs="Arial"/>
          <w:b/>
          <w:i/>
          <w:szCs w:val="20"/>
        </w:rPr>
        <w:t xml:space="preserve">The Placing Programme </w:t>
      </w:r>
    </w:p>
    <w:p w:rsidRPr="00DE5D68" w:rsidR="002479C6" w:rsidP="00C27D12" w:rsidRDefault="002479C6" w14:paraId="1A7F64A4" w14:textId="2D191ECD">
      <w:pPr>
        <w:rPr>
          <w:rFonts w:cs="Arial"/>
          <w:szCs w:val="20"/>
        </w:rPr>
      </w:pPr>
      <w:r w:rsidRPr="00DE5D68">
        <w:rPr>
          <w:rFonts w:cs="Arial"/>
          <w:szCs w:val="20"/>
        </w:rPr>
        <w:t>In addition to any Ordinary Shares issued under the</w:t>
      </w:r>
      <w:r w:rsidR="00652A25">
        <w:rPr>
          <w:rFonts w:cs="Arial"/>
          <w:szCs w:val="20"/>
        </w:rPr>
        <w:t xml:space="preserve"> Initial </w:t>
      </w:r>
      <w:r w:rsidR="006311A4">
        <w:rPr>
          <w:rFonts w:cs="Arial"/>
          <w:szCs w:val="20"/>
        </w:rPr>
        <w:t>Placing</w:t>
      </w:r>
      <w:r w:rsidR="00652A25">
        <w:rPr>
          <w:rFonts w:cs="Arial"/>
          <w:szCs w:val="20"/>
        </w:rPr>
        <w:t>, the Company may</w:t>
      </w:r>
      <w:r w:rsidRPr="00DE5D68">
        <w:rPr>
          <w:rFonts w:cs="Arial"/>
          <w:szCs w:val="20"/>
        </w:rPr>
        <w:t xml:space="preserve"> </w:t>
      </w:r>
      <w:r w:rsidRPr="00DE5D68" w:rsidR="00F66C32">
        <w:rPr>
          <w:rFonts w:cs="Arial"/>
          <w:szCs w:val="20"/>
        </w:rPr>
        <w:t>i</w:t>
      </w:r>
      <w:r w:rsidRPr="00DE5D68" w:rsidR="000C0D70">
        <w:rPr>
          <w:rFonts w:cs="Arial"/>
          <w:szCs w:val="20"/>
        </w:rPr>
        <w:t>ssue</w:t>
      </w:r>
      <w:r w:rsidR="00C12350">
        <w:rPr>
          <w:rFonts w:cs="Arial"/>
          <w:szCs w:val="20"/>
        </w:rPr>
        <w:t xml:space="preserve"> up to </w:t>
      </w:r>
      <w:r w:rsidR="006311A4">
        <w:rPr>
          <w:rFonts w:cs="Arial"/>
          <w:szCs w:val="20"/>
        </w:rPr>
        <w:t>150</w:t>
      </w:r>
      <w:r w:rsidRPr="00DE5D68">
        <w:rPr>
          <w:rFonts w:cs="Arial"/>
          <w:szCs w:val="20"/>
        </w:rPr>
        <w:t xml:space="preserve"> million </w:t>
      </w:r>
      <w:r w:rsidR="00C12350">
        <w:rPr>
          <w:rFonts w:cs="Arial"/>
          <w:szCs w:val="20"/>
        </w:rPr>
        <w:t xml:space="preserve">Ordinary </w:t>
      </w:r>
      <w:r w:rsidRPr="00DE5D68" w:rsidR="00140CB9">
        <w:rPr>
          <w:rFonts w:cs="Arial"/>
          <w:szCs w:val="20"/>
        </w:rPr>
        <w:t>Shares</w:t>
      </w:r>
      <w:r w:rsidRPr="00DE5D68">
        <w:rPr>
          <w:rFonts w:cs="Arial"/>
          <w:szCs w:val="20"/>
        </w:rPr>
        <w:t xml:space="preserve"> in aggregate pursuant to the Placing Programme.</w:t>
      </w:r>
    </w:p>
    <w:p w:rsidR="002479C6" w:rsidP="00C27D12" w:rsidRDefault="002479C6" w14:paraId="724A2B2F" w14:textId="488BF662">
      <w:pPr>
        <w:rPr>
          <w:rFonts w:cs="Arial"/>
          <w:szCs w:val="20"/>
        </w:rPr>
      </w:pPr>
      <w:r w:rsidRPr="00DE5D68">
        <w:rPr>
          <w:rFonts w:cs="Arial"/>
          <w:szCs w:val="20"/>
        </w:rPr>
        <w:t xml:space="preserve">Any </w:t>
      </w:r>
      <w:r w:rsidRPr="00DE5D68" w:rsidR="004C7275">
        <w:rPr>
          <w:rFonts w:cs="Arial"/>
          <w:szCs w:val="20"/>
        </w:rPr>
        <w:t xml:space="preserve">Ordinary </w:t>
      </w:r>
      <w:r w:rsidRPr="00DE5D68" w:rsidR="00140CB9">
        <w:rPr>
          <w:rFonts w:cs="Arial"/>
          <w:szCs w:val="20"/>
        </w:rPr>
        <w:t>Shares</w:t>
      </w:r>
      <w:r w:rsidRPr="00DE5D68">
        <w:rPr>
          <w:rFonts w:cs="Arial"/>
          <w:szCs w:val="20"/>
        </w:rPr>
        <w:t xml:space="preserve"> issued pursuant to the Placing Programme will be issued at the prevailin</w:t>
      </w:r>
      <w:r w:rsidR="00C12350">
        <w:rPr>
          <w:rFonts w:cs="Arial"/>
          <w:szCs w:val="20"/>
        </w:rPr>
        <w:t xml:space="preserve">g published Net Asset Value per Ordinary </w:t>
      </w:r>
      <w:r w:rsidRPr="00DE5D68">
        <w:rPr>
          <w:rFonts w:cs="Arial"/>
          <w:szCs w:val="20"/>
        </w:rPr>
        <w:t xml:space="preserve">Share </w:t>
      </w:r>
      <w:r w:rsidR="009B6742">
        <w:rPr>
          <w:rFonts w:cs="Arial"/>
          <w:szCs w:val="20"/>
        </w:rPr>
        <w:t xml:space="preserve">(audited or unaudited) </w:t>
      </w:r>
      <w:r w:rsidRPr="00DE5D68">
        <w:rPr>
          <w:rFonts w:cs="Arial"/>
          <w:szCs w:val="20"/>
        </w:rPr>
        <w:t xml:space="preserve">at the time of </w:t>
      </w:r>
      <w:r w:rsidRPr="00DE5D68" w:rsidR="00F66C32">
        <w:rPr>
          <w:rFonts w:cs="Arial"/>
          <w:szCs w:val="20"/>
        </w:rPr>
        <w:t>i</w:t>
      </w:r>
      <w:r w:rsidRPr="00DE5D68" w:rsidR="000C0D70">
        <w:rPr>
          <w:rFonts w:cs="Arial"/>
          <w:szCs w:val="20"/>
        </w:rPr>
        <w:t>ssue</w:t>
      </w:r>
      <w:r w:rsidRPr="00DE5D68">
        <w:rPr>
          <w:rFonts w:cs="Arial"/>
          <w:szCs w:val="20"/>
        </w:rPr>
        <w:t xml:space="preserve"> together with a premium intended to at least cover the costs and expenses of the relevant Subsequent Placing (including, without limitation, any placing commissions). </w:t>
      </w:r>
      <w:r w:rsidRPr="00104A41" w:rsidR="00104A41">
        <w:rPr>
          <w:rFonts w:cs="Arial"/>
          <w:szCs w:val="20"/>
        </w:rPr>
        <w:t>The Company will raise sufficient cash proceeds pursuant to any Subsequent Placing in order to cover the costs and expenses of such Subsequent Placing.</w:t>
      </w:r>
    </w:p>
    <w:p w:rsidRPr="00DE5D68" w:rsidR="002479C6" w:rsidP="00C27D12" w:rsidRDefault="006311A4" w14:paraId="6C2FCC9D" w14:textId="18232B41">
      <w:pPr>
        <w:rPr>
          <w:rFonts w:cs="Arial"/>
          <w:szCs w:val="20"/>
        </w:rPr>
      </w:pPr>
      <w:r>
        <w:rPr>
          <w:rFonts w:cs="Arial"/>
          <w:szCs w:val="20"/>
        </w:rPr>
        <w:lastRenderedPageBreak/>
        <w:t xml:space="preserve">Ordinary </w:t>
      </w:r>
      <w:r w:rsidRPr="00DE5D68" w:rsidR="00140CB9">
        <w:rPr>
          <w:rFonts w:cs="Arial"/>
          <w:szCs w:val="20"/>
        </w:rPr>
        <w:t>Shares</w:t>
      </w:r>
      <w:r w:rsidRPr="00DE5D68" w:rsidR="002479C6">
        <w:rPr>
          <w:rFonts w:cs="Arial"/>
          <w:szCs w:val="20"/>
        </w:rPr>
        <w:t xml:space="preserve"> issued under the Placing Programme may be issued under this document provided that it is updated by a supplementar</w:t>
      </w:r>
      <w:r w:rsidR="008D0F1B">
        <w:rPr>
          <w:rFonts w:cs="Arial"/>
          <w:szCs w:val="20"/>
        </w:rPr>
        <w:t>y prospectus (if required).</w:t>
      </w:r>
    </w:p>
    <w:p w:rsidRPr="00DE5D68" w:rsidR="002479C6" w:rsidP="00C27D12" w:rsidRDefault="002479C6" w14:paraId="392A2F69" w14:textId="43E58D19">
      <w:pPr>
        <w:rPr>
          <w:rFonts w:cs="Arial"/>
          <w:szCs w:val="20"/>
        </w:rPr>
      </w:pPr>
      <w:r w:rsidRPr="00DE5D68">
        <w:rPr>
          <w:rFonts w:cs="Arial"/>
          <w:szCs w:val="20"/>
        </w:rPr>
        <w:t xml:space="preserve">Further details about the Placing Programme are set out in </w:t>
      </w:r>
      <w:r w:rsidR="00637905">
        <w:rPr>
          <w:rFonts w:cs="Arial"/>
          <w:szCs w:val="20"/>
        </w:rPr>
        <w:fldChar w:fldCharType="begin" w:fldLock="1"/>
      </w:r>
      <w:r w:rsidR="00637905">
        <w:rPr>
          <w:rFonts w:cs="Arial"/>
          <w:szCs w:val="20"/>
        </w:rPr>
        <w:instrText xml:space="preserve"> REF _Ref65764882 \n \h </w:instrText>
      </w:r>
      <w:r w:rsidR="00637905">
        <w:rPr>
          <w:rFonts w:cs="Arial"/>
          <w:szCs w:val="20"/>
        </w:rPr>
      </w:r>
      <w:r w:rsidR="00637905">
        <w:rPr>
          <w:rFonts w:cs="Arial"/>
          <w:szCs w:val="20"/>
        </w:rPr>
        <w:fldChar w:fldCharType="separate"/>
      </w:r>
      <w:r w:rsidR="00DA4048">
        <w:rPr>
          <w:rFonts w:cs="Arial"/>
          <w:szCs w:val="20"/>
        </w:rPr>
        <w:t>Part 4</w:t>
      </w:r>
      <w:r w:rsidR="00637905">
        <w:rPr>
          <w:rFonts w:cs="Arial"/>
          <w:szCs w:val="20"/>
        </w:rPr>
        <w:fldChar w:fldCharType="end"/>
      </w:r>
      <w:r w:rsidRPr="00DE5D68" w:rsidR="00B60774">
        <w:rPr>
          <w:rFonts w:cs="Arial"/>
          <w:szCs w:val="20"/>
        </w:rPr>
        <w:t xml:space="preserve"> </w:t>
      </w:r>
      <w:r w:rsidRPr="00DE5D68">
        <w:rPr>
          <w:rFonts w:cs="Arial"/>
          <w:szCs w:val="20"/>
        </w:rPr>
        <w:t>of this document.</w:t>
      </w:r>
    </w:p>
    <w:p w:rsidRPr="00DE5D68" w:rsidR="00E635E1" w:rsidP="00C27D12" w:rsidRDefault="00876240" w14:paraId="1B521146" w14:textId="6E460CF5">
      <w:pPr>
        <w:pStyle w:val="Heading1"/>
        <w:rPr>
          <w:rFonts w:cs="Arial"/>
          <w:caps w:val="0"/>
        </w:rPr>
      </w:pPr>
      <w:r>
        <w:rPr>
          <w:rFonts w:cs="Arial"/>
          <w:caps w:val="0"/>
        </w:rPr>
        <w:t>TAXATION</w:t>
      </w:r>
    </w:p>
    <w:p w:rsidRPr="00DE5D68" w:rsidR="00E635E1" w:rsidP="00C27D12" w:rsidRDefault="00E635E1" w14:paraId="366D66D3" w14:textId="60337264">
      <w:pPr>
        <w:rPr>
          <w:rFonts w:cs="Arial"/>
        </w:rPr>
      </w:pPr>
      <w:r w:rsidRPr="00DE5D68">
        <w:rPr>
          <w:rFonts w:cs="Arial"/>
        </w:rPr>
        <w:t xml:space="preserve">Potential investors are referred to </w:t>
      </w:r>
      <w:r w:rsidR="00637905">
        <w:rPr>
          <w:rFonts w:cs="Arial"/>
        </w:rPr>
        <w:fldChar w:fldCharType="begin" w:fldLock="1"/>
      </w:r>
      <w:r w:rsidR="00637905">
        <w:rPr>
          <w:rFonts w:cs="Arial"/>
        </w:rPr>
        <w:instrText xml:space="preserve"> REF _Ref65764905 \n \h </w:instrText>
      </w:r>
      <w:r w:rsidR="00637905">
        <w:rPr>
          <w:rFonts w:cs="Arial"/>
        </w:rPr>
      </w:r>
      <w:r w:rsidR="00637905">
        <w:rPr>
          <w:rFonts w:cs="Arial"/>
        </w:rPr>
        <w:fldChar w:fldCharType="separate"/>
      </w:r>
      <w:r w:rsidR="00DA4048">
        <w:rPr>
          <w:rFonts w:cs="Arial"/>
        </w:rPr>
        <w:t>Part 5</w:t>
      </w:r>
      <w:r w:rsidR="00637905">
        <w:rPr>
          <w:rFonts w:cs="Arial"/>
        </w:rPr>
        <w:fldChar w:fldCharType="end"/>
      </w:r>
      <w:r w:rsidRPr="00DE5D68" w:rsidR="00B60774">
        <w:rPr>
          <w:rFonts w:cs="Arial"/>
          <w:szCs w:val="20"/>
        </w:rPr>
        <w:t xml:space="preserve"> </w:t>
      </w:r>
      <w:r w:rsidRPr="00DE5D68">
        <w:rPr>
          <w:rFonts w:cs="Arial"/>
        </w:rPr>
        <w:t>of this document for details of the taxation of the Company and Shareholders in</w:t>
      </w:r>
      <w:r w:rsidRPr="00DE5D68" w:rsidR="002479C6">
        <w:rPr>
          <w:rFonts w:cs="Arial"/>
        </w:rPr>
        <w:t xml:space="preserve"> Guernsey and the U</w:t>
      </w:r>
      <w:r w:rsidR="00652A25">
        <w:rPr>
          <w:rFonts w:cs="Arial"/>
        </w:rPr>
        <w:t xml:space="preserve">nited </w:t>
      </w:r>
      <w:r w:rsidRPr="00DE5D68" w:rsidR="002479C6">
        <w:rPr>
          <w:rFonts w:cs="Arial"/>
        </w:rPr>
        <w:t>K</w:t>
      </w:r>
      <w:r w:rsidR="00652A25">
        <w:rPr>
          <w:rFonts w:cs="Arial"/>
        </w:rPr>
        <w:t>ingdom</w:t>
      </w:r>
      <w:r w:rsidRPr="00DE5D68" w:rsidR="002479C6">
        <w:rPr>
          <w:rFonts w:cs="Arial"/>
        </w:rPr>
        <w:t xml:space="preserve">. </w:t>
      </w:r>
      <w:r w:rsidRPr="00DE5D68">
        <w:rPr>
          <w:rFonts w:cs="Arial"/>
        </w:rPr>
        <w:t>Investors who are in any doubt as to their tax position or who are subject to tax in jurisdictions other than</w:t>
      </w:r>
      <w:r w:rsidRPr="00DE5D68" w:rsidR="002479C6">
        <w:rPr>
          <w:rFonts w:cs="Arial"/>
        </w:rPr>
        <w:t xml:space="preserve"> Guernsey and</w:t>
      </w:r>
      <w:r w:rsidRPr="00DE5D68">
        <w:rPr>
          <w:rFonts w:cs="Arial"/>
        </w:rPr>
        <w:t xml:space="preserve"> the U</w:t>
      </w:r>
      <w:r w:rsidR="00652A25">
        <w:rPr>
          <w:rFonts w:cs="Arial"/>
        </w:rPr>
        <w:t xml:space="preserve">nited </w:t>
      </w:r>
      <w:r w:rsidRPr="00DE5D68">
        <w:rPr>
          <w:rFonts w:cs="Arial"/>
        </w:rPr>
        <w:t>K</w:t>
      </w:r>
      <w:r w:rsidR="00652A25">
        <w:rPr>
          <w:rFonts w:cs="Arial"/>
        </w:rPr>
        <w:t>ingdom</w:t>
      </w:r>
      <w:r w:rsidRPr="00DE5D68">
        <w:rPr>
          <w:rFonts w:cs="Arial"/>
        </w:rPr>
        <w:t xml:space="preserve"> are strongly advised to consult their own professional advisers immediately.</w:t>
      </w:r>
    </w:p>
    <w:p w:rsidRPr="00DE5D68" w:rsidR="00A85654" w:rsidP="00C27D12" w:rsidRDefault="00A85654" w14:paraId="1E0E6F91" w14:textId="77777777">
      <w:pPr>
        <w:pStyle w:val="Heading1"/>
        <w:rPr>
          <w:rFonts w:cs="Arial"/>
          <w:caps w:val="0"/>
        </w:rPr>
      </w:pPr>
      <w:r w:rsidRPr="00DE5D68">
        <w:rPr>
          <w:rFonts w:cs="Arial"/>
          <w:caps w:val="0"/>
        </w:rPr>
        <w:t xml:space="preserve">DISCLOSURE OBLIGATIONS </w:t>
      </w:r>
    </w:p>
    <w:p w:rsidRPr="00DE5D68" w:rsidR="00A85654" w:rsidP="00C27D12" w:rsidRDefault="00A85654" w14:paraId="74CB5EA6" w14:textId="29670AE4">
      <w:pPr>
        <w:rPr>
          <w:rFonts w:cs="Arial"/>
        </w:rPr>
      </w:pPr>
      <w:r w:rsidRPr="00B17E5A">
        <w:rPr>
          <w:rFonts w:cs="Arial"/>
        </w:rPr>
        <w:t>The provisions of Chapter 5 of the Disclosure Guidance and Transparency Rules (as amended from time to time) (</w:t>
      </w:r>
      <w:r w:rsidRPr="00B17E5A" w:rsidR="00170F35">
        <w:rPr>
          <w:rFonts w:cs="Arial"/>
        </w:rPr>
        <w:t>"</w:t>
      </w:r>
      <w:r w:rsidRPr="00B17E5A">
        <w:rPr>
          <w:rFonts w:cs="Arial"/>
          <w:b/>
        </w:rPr>
        <w:t>DTR 5</w:t>
      </w:r>
      <w:r w:rsidRPr="00B17E5A" w:rsidR="00170F35">
        <w:rPr>
          <w:rFonts w:cs="Arial"/>
        </w:rPr>
        <w:t>"</w:t>
      </w:r>
      <w:r w:rsidRPr="00B17E5A">
        <w:rPr>
          <w:rFonts w:cs="Arial"/>
        </w:rPr>
        <w:t xml:space="preserve">) of the Financial Conduct Authority Handbook apply to the </w:t>
      </w:r>
      <w:r w:rsidRPr="00B17E5A" w:rsidR="003860B7">
        <w:rPr>
          <w:rFonts w:cs="Arial"/>
        </w:rPr>
        <w:t xml:space="preserve">members of the </w:t>
      </w:r>
      <w:r w:rsidRPr="00B17E5A">
        <w:rPr>
          <w:rFonts w:cs="Arial"/>
        </w:rPr>
        <w:t>Company</w:t>
      </w:r>
      <w:r w:rsidRPr="00B17E5A" w:rsidR="003860B7">
        <w:rPr>
          <w:rFonts w:cs="Arial"/>
        </w:rPr>
        <w:t>.  Pursuant to the Articles, the Company elects to apply DTR 5 as if</w:t>
      </w:r>
      <w:r w:rsidRPr="00B17E5A">
        <w:rPr>
          <w:rFonts w:cs="Arial"/>
        </w:rPr>
        <w:t xml:space="preserve"> the Company is </w:t>
      </w:r>
      <w:r w:rsidRPr="00B17E5A" w:rsidR="00341B20">
        <w:rPr>
          <w:rFonts w:cs="Arial"/>
        </w:rPr>
        <w:t xml:space="preserve">a "UK issuer", as such term is defined in DTR 5. As such, a person is required to notify the Company of the percentage of voting rights it holds as a holder of </w:t>
      </w:r>
      <w:r w:rsidRPr="00B17E5A" w:rsidR="00140CB9">
        <w:rPr>
          <w:rFonts w:cs="Arial"/>
        </w:rPr>
        <w:t>Shares</w:t>
      </w:r>
      <w:r w:rsidRPr="00B17E5A" w:rsidR="00341B20">
        <w:rPr>
          <w:rFonts w:cs="Arial"/>
        </w:rPr>
        <w:t xml:space="preserve"> or holds or is deemed to hold through the direct or indirect holding of financial instruments falling within DTR 5 if, as a result of an </w:t>
      </w:r>
      <w:r w:rsidRPr="00B17E5A" w:rsidR="00A07CB4">
        <w:rPr>
          <w:rFonts w:cs="Arial"/>
        </w:rPr>
        <w:t>a</w:t>
      </w:r>
      <w:r w:rsidRPr="00B17E5A" w:rsidR="000C0D70">
        <w:rPr>
          <w:rFonts w:cs="Arial"/>
        </w:rPr>
        <w:t>cquisition</w:t>
      </w:r>
      <w:r w:rsidRPr="00B17E5A" w:rsidR="00341B20">
        <w:rPr>
          <w:rFonts w:cs="Arial"/>
        </w:rPr>
        <w:t xml:space="preserve"> or disposal of </w:t>
      </w:r>
      <w:r w:rsidR="00C12350">
        <w:rPr>
          <w:rFonts w:cs="Arial"/>
        </w:rPr>
        <w:t xml:space="preserve">Ordinary </w:t>
      </w:r>
      <w:r w:rsidRPr="00B17E5A" w:rsidR="00140CB9">
        <w:rPr>
          <w:rFonts w:cs="Arial"/>
        </w:rPr>
        <w:t>Shares</w:t>
      </w:r>
      <w:r w:rsidRPr="00B17E5A" w:rsidR="00341B20">
        <w:rPr>
          <w:rFonts w:cs="Arial"/>
        </w:rPr>
        <w:t xml:space="preserve"> (or financial instruments), the percentage of voting rights reaches, exceeds or falls below the relevant percentage thresholds</w:t>
      </w:r>
      <w:r w:rsidRPr="00B17E5A" w:rsidR="00652A25">
        <w:rPr>
          <w:rFonts w:cs="Arial"/>
        </w:rPr>
        <w:t xml:space="preserve"> being, in the case of a Company</w:t>
      </w:r>
      <w:r w:rsidRPr="00B17E5A" w:rsidR="00341B20">
        <w:rPr>
          <w:rFonts w:cs="Arial"/>
        </w:rPr>
        <w:t>,</w:t>
      </w:r>
      <w:r w:rsidRPr="00B17E5A" w:rsidR="003860B7">
        <w:rPr>
          <w:rFonts w:cs="Arial"/>
        </w:rPr>
        <w:t xml:space="preserve"> 3 per cent. </w:t>
      </w:r>
      <w:r w:rsidRPr="00B17E5A" w:rsidR="00594E62">
        <w:rPr>
          <w:rFonts w:cs="Arial"/>
        </w:rPr>
        <w:t>a</w:t>
      </w:r>
      <w:r w:rsidRPr="00B17E5A" w:rsidR="003860B7">
        <w:rPr>
          <w:rFonts w:cs="Arial"/>
        </w:rPr>
        <w:t>nd each 1 per cent. threshold thereafter up to 100</w:t>
      </w:r>
      <w:r w:rsidRPr="00B17E5A" w:rsidR="00341B20">
        <w:rPr>
          <w:rFonts w:cs="Arial"/>
        </w:rPr>
        <w:t xml:space="preserve"> </w:t>
      </w:r>
      <w:r w:rsidRPr="00B17E5A" w:rsidR="00AB3375">
        <w:rPr>
          <w:rFonts w:cs="Arial"/>
        </w:rPr>
        <w:t>per cent</w:t>
      </w:r>
      <w:r w:rsidRPr="00B17E5A" w:rsidR="00341B20">
        <w:rPr>
          <w:rFonts w:cs="Arial"/>
        </w:rPr>
        <w:t>.</w:t>
      </w:r>
    </w:p>
    <w:p w:rsidRPr="00DE5D68" w:rsidR="00E635E1" w:rsidP="00C27D12" w:rsidRDefault="0088500D" w14:paraId="38FB0648" w14:textId="1288B8CC">
      <w:pPr>
        <w:pStyle w:val="Heading1"/>
        <w:rPr>
          <w:rFonts w:cs="Arial"/>
          <w:caps w:val="0"/>
        </w:rPr>
      </w:pPr>
      <w:r w:rsidRPr="00DE5D68">
        <w:rPr>
          <w:rFonts w:cs="Arial"/>
          <w:caps w:val="0"/>
        </w:rPr>
        <w:t>RISK FACTORS</w:t>
      </w:r>
    </w:p>
    <w:p w:rsidRPr="00F96BB0" w:rsidR="00E635E1" w:rsidP="00C27D12" w:rsidRDefault="00E635E1" w14:paraId="112CDB4A" w14:textId="7BB79742">
      <w:pPr>
        <w:jc w:val="left"/>
        <w:rPr>
          <w:rFonts w:cs="Arial"/>
        </w:rPr>
      </w:pPr>
      <w:r w:rsidRPr="00DE5D68">
        <w:rPr>
          <w:rFonts w:cs="Arial"/>
        </w:rPr>
        <w:t xml:space="preserve">The Company’s performance is dependent on many factors and potential investors should read the whole </w:t>
      </w:r>
      <w:r w:rsidRPr="00F96BB0">
        <w:rPr>
          <w:rFonts w:cs="Arial"/>
        </w:rPr>
        <w:t xml:space="preserve">of this document and in particular the section entitled </w:t>
      </w:r>
      <w:r w:rsidRPr="00F96BB0" w:rsidR="00170F35">
        <w:rPr>
          <w:rFonts w:cs="Arial"/>
        </w:rPr>
        <w:t>"</w:t>
      </w:r>
      <w:r w:rsidRPr="00F96BB0">
        <w:rPr>
          <w:rFonts w:cs="Arial"/>
        </w:rPr>
        <w:t>Risk Factors</w:t>
      </w:r>
      <w:r w:rsidRPr="00F96BB0" w:rsidR="00170F35">
        <w:rPr>
          <w:rFonts w:cs="Arial"/>
        </w:rPr>
        <w:t>"</w:t>
      </w:r>
      <w:r w:rsidRPr="00F96BB0">
        <w:rPr>
          <w:rFonts w:cs="Arial"/>
        </w:rPr>
        <w:t xml:space="preserve"> on pages </w:t>
      </w:r>
      <w:r w:rsidR="00D372D0">
        <w:rPr>
          <w:rFonts w:cs="Arial"/>
        </w:rPr>
        <w:t>10</w:t>
      </w:r>
      <w:r w:rsidRPr="00F96BB0" w:rsidR="00507A16">
        <w:rPr>
          <w:rFonts w:cs="Arial"/>
        </w:rPr>
        <w:t xml:space="preserve"> to </w:t>
      </w:r>
      <w:r w:rsidR="00D372D0">
        <w:rPr>
          <w:rFonts w:cs="Arial"/>
        </w:rPr>
        <w:t>17</w:t>
      </w:r>
      <w:r w:rsidRPr="00F96BB0">
        <w:rPr>
          <w:rFonts w:cs="Arial"/>
        </w:rPr>
        <w:t xml:space="preserve"> of this document.</w:t>
      </w:r>
    </w:p>
    <w:p w:rsidRPr="00F96BB0" w:rsidR="00AD5B06" w:rsidP="00C27D12" w:rsidRDefault="00A656FC" w14:paraId="7B6AFB87" w14:textId="77777777">
      <w:pPr>
        <w:pStyle w:val="Heading1"/>
        <w:rPr>
          <w:rFonts w:cs="Arial"/>
          <w:caps w:val="0"/>
        </w:rPr>
      </w:pPr>
      <w:r w:rsidRPr="00F96BB0">
        <w:rPr>
          <w:rFonts w:cs="Arial"/>
          <w:caps w:val="0"/>
        </w:rPr>
        <w:t>DISTRIBUTION TO RETAIL INVESTORS</w:t>
      </w:r>
      <w:r w:rsidRPr="00F96BB0" w:rsidR="00BF3523">
        <w:rPr>
          <w:rFonts w:cs="Arial"/>
          <w:caps w:val="0"/>
        </w:rPr>
        <w:t xml:space="preserve"> AND MiFID II</w:t>
      </w:r>
      <w:r w:rsidRPr="00F96BB0" w:rsidR="00BC1881">
        <w:rPr>
          <w:rFonts w:cs="Arial"/>
          <w:caps w:val="0"/>
        </w:rPr>
        <w:t xml:space="preserve"> </w:t>
      </w:r>
    </w:p>
    <w:p w:rsidRPr="00F96BB0" w:rsidR="00D950CF" w:rsidP="00C27D12" w:rsidRDefault="00D950CF" w14:paraId="63620A56" w14:textId="2AED5906">
      <w:pPr>
        <w:textAlignment w:val="baseline"/>
        <w:rPr>
          <w:rFonts w:eastAsia="Arial" w:cs="Arial"/>
        </w:rPr>
      </w:pPr>
      <w:r w:rsidRPr="00F96BB0">
        <w:rPr>
          <w:rFonts w:eastAsia="Arial" w:cs="Arial"/>
        </w:rPr>
        <w:t>The Company notes the rules of the FCA on the promotion of</w:t>
      </w:r>
      <w:r w:rsidR="008F0D56">
        <w:rPr>
          <w:rFonts w:eastAsia="Arial" w:cs="Arial"/>
        </w:rPr>
        <w:t xml:space="preserve"> non-mass market investments and which apply to the promotion of non-mainstream pooled investments</w:t>
      </w:r>
      <w:r w:rsidRPr="00F96BB0">
        <w:rPr>
          <w:rFonts w:eastAsia="Arial" w:cs="Arial"/>
        </w:rPr>
        <w:t xml:space="preserve">. The Company intends to conduct its affairs so that the </w:t>
      </w:r>
      <w:r w:rsidRPr="00F96BB0" w:rsidR="00C12350">
        <w:rPr>
          <w:rFonts w:eastAsia="Arial" w:cs="Arial"/>
        </w:rPr>
        <w:t xml:space="preserve">Ordinary </w:t>
      </w:r>
      <w:r w:rsidRPr="00F96BB0" w:rsidR="00140CB9">
        <w:rPr>
          <w:rFonts w:eastAsia="Arial" w:cs="Arial"/>
        </w:rPr>
        <w:t>Shares</w:t>
      </w:r>
      <w:r w:rsidRPr="00F96BB0">
        <w:rPr>
          <w:rFonts w:eastAsia="Arial" w:cs="Arial"/>
        </w:rPr>
        <w:t xml:space="preserve"> can be recommended by ﬁnancial advisers to retail investors in </w:t>
      </w:r>
      <w:r w:rsidR="006815E4">
        <w:rPr>
          <w:rFonts w:eastAsia="Arial" w:cs="Arial"/>
        </w:rPr>
        <w:t>compliance</w:t>
      </w:r>
      <w:r w:rsidRPr="00F96BB0">
        <w:rPr>
          <w:rFonts w:eastAsia="Arial" w:cs="Arial"/>
        </w:rPr>
        <w:t xml:space="preserve"> with the FCA’s rules in relation to </w:t>
      </w:r>
      <w:r w:rsidR="008F0D56">
        <w:rPr>
          <w:rFonts w:eastAsia="Arial" w:cs="Arial"/>
        </w:rPr>
        <w:t>non-mass market investments</w:t>
      </w:r>
      <w:r w:rsidRPr="00F96BB0">
        <w:rPr>
          <w:rFonts w:eastAsia="Arial" w:cs="Arial"/>
        </w:rPr>
        <w:t xml:space="preserve">. The </w:t>
      </w:r>
      <w:r w:rsidRPr="00F96BB0" w:rsidR="00C12350">
        <w:rPr>
          <w:rFonts w:eastAsia="Arial" w:cs="Arial"/>
        </w:rPr>
        <w:t xml:space="preserve">Ordinary </w:t>
      </w:r>
      <w:r w:rsidRPr="00F96BB0" w:rsidR="00140CB9">
        <w:rPr>
          <w:rFonts w:eastAsia="Arial" w:cs="Arial"/>
        </w:rPr>
        <w:t>Shares</w:t>
      </w:r>
      <w:r w:rsidRPr="00F96BB0">
        <w:rPr>
          <w:rFonts w:eastAsia="Arial" w:cs="Arial"/>
        </w:rPr>
        <w:t xml:space="preserve"> are </w:t>
      </w:r>
      <w:r w:rsidR="008F0D56">
        <w:rPr>
          <w:rFonts w:eastAsia="Arial" w:cs="Arial"/>
        </w:rPr>
        <w:t xml:space="preserve">not a non-mass market investment (as they do not constitute a non-mainstream pooled investment) and are consequently </w:t>
      </w:r>
      <w:r w:rsidRPr="00F96BB0">
        <w:rPr>
          <w:rFonts w:eastAsia="Arial" w:cs="Arial"/>
        </w:rPr>
        <w:t xml:space="preserve">excluded from the FCA’s restrictions which apply to </w:t>
      </w:r>
      <w:r w:rsidR="008F0D56">
        <w:rPr>
          <w:rFonts w:eastAsia="Arial" w:cs="Arial"/>
        </w:rPr>
        <w:t xml:space="preserve">the promotion of </w:t>
      </w:r>
      <w:r w:rsidRPr="00F96BB0">
        <w:rPr>
          <w:rFonts w:eastAsia="Arial" w:cs="Arial"/>
        </w:rPr>
        <w:t>non-mainstream pooled investme</w:t>
      </w:r>
      <w:r w:rsidRPr="00F96BB0" w:rsidR="00EF5E83">
        <w:rPr>
          <w:rFonts w:eastAsia="Arial" w:cs="Arial"/>
        </w:rPr>
        <w:t>nt</w:t>
      </w:r>
      <w:r w:rsidR="008F0D56">
        <w:rPr>
          <w:rFonts w:eastAsia="Arial" w:cs="Arial"/>
        </w:rPr>
        <w:t>s</w:t>
      </w:r>
      <w:r w:rsidRPr="00F96BB0" w:rsidR="00EF5E83">
        <w:rPr>
          <w:rFonts w:eastAsia="Arial" w:cs="Arial"/>
        </w:rPr>
        <w:t xml:space="preserve"> </w:t>
      </w:r>
      <w:r w:rsidR="006815E4">
        <w:rPr>
          <w:rFonts w:eastAsia="Arial" w:cs="Arial"/>
        </w:rPr>
        <w:t>on the basis that</w:t>
      </w:r>
      <w:r w:rsidRPr="00F96BB0" w:rsidR="00EF5E83">
        <w:rPr>
          <w:rFonts w:eastAsia="Arial" w:cs="Arial"/>
        </w:rPr>
        <w:t xml:space="preserve"> the Company invests primarily in shares and bonds</w:t>
      </w:r>
      <w:r w:rsidRPr="00F96BB0">
        <w:rPr>
          <w:rFonts w:eastAsia="Arial" w:cs="Arial"/>
        </w:rPr>
        <w:t xml:space="preserve">. </w:t>
      </w:r>
    </w:p>
    <w:p w:rsidR="00BF3523" w:rsidP="00C27D12" w:rsidRDefault="00D950CF" w14:paraId="3BA6B690" w14:textId="06FF2824">
      <w:pPr>
        <w:textAlignment w:val="baseline"/>
        <w:rPr>
          <w:rFonts w:eastAsia="Arial" w:cs="Arial"/>
        </w:rPr>
      </w:pPr>
      <w:r w:rsidRPr="00F96BB0">
        <w:rPr>
          <w:rFonts w:eastAsia="Arial" w:cs="Arial"/>
        </w:rPr>
        <w:t xml:space="preserve">The Company intends to conduct its affairs so that the </w:t>
      </w:r>
      <w:r w:rsidRPr="00F96BB0" w:rsidR="00C12350">
        <w:rPr>
          <w:rFonts w:eastAsia="Arial" w:cs="Arial"/>
        </w:rPr>
        <w:t xml:space="preserve">Ordinary </w:t>
      </w:r>
      <w:r w:rsidRPr="00F96BB0" w:rsidR="00140CB9">
        <w:rPr>
          <w:rFonts w:eastAsia="Arial" w:cs="Arial"/>
        </w:rPr>
        <w:t>Shares</w:t>
      </w:r>
      <w:r w:rsidRPr="00F96BB0">
        <w:rPr>
          <w:rFonts w:eastAsia="Arial" w:cs="Arial"/>
        </w:rPr>
        <w:t xml:space="preserve"> can be recommended by ﬁnancial advisers to retail investors in accordance with the rules on the distribution of ﬁnancial instruments under The Markets in Financial Instruments Directive II ("</w:t>
      </w:r>
      <w:r w:rsidRPr="00F96BB0">
        <w:rPr>
          <w:rFonts w:eastAsia="Arial" w:cs="Arial"/>
          <w:b/>
        </w:rPr>
        <w:t>MiFID II</w:t>
      </w:r>
      <w:r w:rsidRPr="00F96BB0">
        <w:rPr>
          <w:rFonts w:eastAsia="Arial" w:cs="Arial"/>
        </w:rPr>
        <w:t xml:space="preserve">"). The Directors consider that the </w:t>
      </w:r>
      <w:r w:rsidRPr="00F96BB0" w:rsidR="00C12350">
        <w:rPr>
          <w:rFonts w:eastAsia="Arial" w:cs="Arial"/>
        </w:rPr>
        <w:t xml:space="preserve">Ordinary </w:t>
      </w:r>
      <w:r w:rsidRPr="00F96BB0" w:rsidR="00140CB9">
        <w:rPr>
          <w:rFonts w:eastAsia="Arial" w:cs="Arial"/>
        </w:rPr>
        <w:t>Shares</w:t>
      </w:r>
      <w:r w:rsidRPr="00F96BB0">
        <w:rPr>
          <w:rFonts w:eastAsia="Arial" w:cs="Arial"/>
        </w:rPr>
        <w:t xml:space="preserve"> should be considered "non-complex" for the purposes of MiFID II.</w:t>
      </w:r>
    </w:p>
    <w:p w:rsidR="006311A4" w:rsidP="00E557A5" w:rsidRDefault="006311A4" w14:paraId="0526CD03" w14:textId="18B3FBC1">
      <w:pPr>
        <w:pStyle w:val="Heading1"/>
        <w:rPr>
          <w:rFonts w:cs="Arial"/>
          <w:caps w:val="0"/>
        </w:rPr>
      </w:pPr>
      <w:bookmarkStart w:name="_Ref65763848" w:id="124"/>
      <w:r>
        <w:rPr>
          <w:rFonts w:cs="Arial"/>
          <w:caps w:val="0"/>
        </w:rPr>
        <w:t>ELIGIBILITY FOR INVESTMENT BY UCITS AND NURS</w:t>
      </w:r>
    </w:p>
    <w:p w:rsidRPr="006311A4" w:rsidR="006311A4" w:rsidP="006311A4" w:rsidRDefault="006311A4" w14:paraId="30E5CF41" w14:textId="2AB1BD7B">
      <w:pPr>
        <w:pStyle w:val="Heading1"/>
        <w:numPr>
          <w:ilvl w:val="0"/>
          <w:numId w:val="0"/>
        </w:numPr>
        <w:rPr>
          <w:rFonts w:cs="Arial"/>
          <w:b w:val="0"/>
          <w:bCs/>
          <w:caps w:val="0"/>
        </w:rPr>
      </w:pPr>
      <w:r w:rsidRPr="006311A4">
        <w:rPr>
          <w:rFonts w:cs="Arial"/>
          <w:b w:val="0"/>
          <w:bCs/>
          <w:caps w:val="0"/>
        </w:rPr>
        <w:t xml:space="preserve">The Company has been advised that the Ordinary Shares are </w:t>
      </w:r>
      <w:r w:rsidR="009B6742">
        <w:rPr>
          <w:rFonts w:cs="Arial"/>
          <w:b w:val="0"/>
          <w:bCs/>
          <w:caps w:val="0"/>
        </w:rPr>
        <w:t>"</w:t>
      </w:r>
      <w:r w:rsidRPr="006311A4">
        <w:rPr>
          <w:rFonts w:cs="Arial"/>
          <w:b w:val="0"/>
          <w:bCs/>
          <w:caps w:val="0"/>
        </w:rPr>
        <w:t>transferable securities</w:t>
      </w:r>
      <w:r w:rsidR="009B6742">
        <w:rPr>
          <w:rFonts w:cs="Arial"/>
          <w:b w:val="0"/>
          <w:bCs/>
          <w:caps w:val="0"/>
        </w:rPr>
        <w:t>"</w:t>
      </w:r>
      <w:r w:rsidRPr="006311A4">
        <w:rPr>
          <w:rFonts w:cs="Arial"/>
          <w:b w:val="0"/>
          <w:bCs/>
          <w:caps w:val="0"/>
        </w:rPr>
        <w:t xml:space="preserve"> and, therefore, should be eligible for investment by UCITS or NURS on the basis that: (</w:t>
      </w:r>
      <w:proofErr w:type="spellStart"/>
      <w:r w:rsidRPr="006311A4">
        <w:rPr>
          <w:rFonts w:cs="Arial"/>
          <w:b w:val="0"/>
          <w:bCs/>
          <w:caps w:val="0"/>
        </w:rPr>
        <w:t>i</w:t>
      </w:r>
      <w:proofErr w:type="spellEnd"/>
      <w:r w:rsidRPr="006311A4">
        <w:rPr>
          <w:rFonts w:cs="Arial"/>
          <w:b w:val="0"/>
          <w:bCs/>
          <w:caps w:val="0"/>
        </w:rPr>
        <w:t xml:space="preserve">) the Company is a closed-ended investment company incorporated in Guernsey which is subject to the corporate governance mechanisms of Guernsey company law; and (ii) the Ordinary Shares </w:t>
      </w:r>
      <w:r w:rsidR="009B6742">
        <w:rPr>
          <w:rFonts w:cs="Arial"/>
          <w:b w:val="0"/>
          <w:bCs/>
          <w:caps w:val="0"/>
        </w:rPr>
        <w:t>will be</w:t>
      </w:r>
      <w:r w:rsidRPr="006311A4">
        <w:rPr>
          <w:rFonts w:cs="Arial"/>
          <w:b w:val="0"/>
          <w:bCs/>
          <w:caps w:val="0"/>
        </w:rPr>
        <w:t xml:space="preserve"> admitted to trading on the Specialist Funds Segment of the Main Market. The manager of a UCITS or NURS should, however, satisfy itself that the Ordinary Shares are eligible for investment by that UCITS or NURS, including the factors relating to that UCITS or NURS itself, specified in the Collective Investment Scheme Sourcebook of the FCA Handbook.</w:t>
      </w:r>
    </w:p>
    <w:bookmarkEnd w:id="124"/>
    <w:p w:rsidRPr="00DE5D68" w:rsidR="00E557A5" w:rsidP="00E557A5" w:rsidRDefault="00E557A5" w14:paraId="28DD9DAF" w14:textId="0B11C29A">
      <w:pPr>
        <w:pStyle w:val="Heading1"/>
        <w:rPr>
          <w:rFonts w:cs="Arial"/>
          <w:caps w:val="0"/>
        </w:rPr>
      </w:pPr>
      <w:r>
        <w:rPr>
          <w:rFonts w:cs="Arial"/>
          <w:caps w:val="0"/>
        </w:rPr>
        <w:t>REGULATORY ENVIRONMENT</w:t>
      </w:r>
    </w:p>
    <w:p w:rsidRPr="00E557A5" w:rsidR="00E557A5" w:rsidP="00E557A5" w:rsidRDefault="00E557A5" w14:paraId="5F0DB40D" w14:textId="5CE003C7">
      <w:pPr>
        <w:textAlignment w:val="baseline"/>
        <w:rPr>
          <w:rFonts w:cs="Arial"/>
          <w:szCs w:val="20"/>
        </w:rPr>
      </w:pPr>
      <w:r w:rsidRPr="00E557A5">
        <w:rPr>
          <w:rFonts w:cs="Arial"/>
          <w:szCs w:val="20"/>
        </w:rPr>
        <w:t>The Company, as a Guernsey-incorporated closed-ended investment co</w:t>
      </w:r>
      <w:r>
        <w:rPr>
          <w:rFonts w:cs="Arial"/>
          <w:szCs w:val="20"/>
        </w:rPr>
        <w:t xml:space="preserve">mpany </w:t>
      </w:r>
      <w:r w:rsidR="00F756CF">
        <w:rPr>
          <w:rFonts w:cs="Arial"/>
          <w:szCs w:val="20"/>
        </w:rPr>
        <w:t>whose</w:t>
      </w:r>
      <w:r w:rsidR="00024DAA">
        <w:rPr>
          <w:rFonts w:cs="Arial"/>
          <w:szCs w:val="20"/>
        </w:rPr>
        <w:t xml:space="preserve"> </w:t>
      </w:r>
      <w:r w:rsidR="00C12350">
        <w:rPr>
          <w:rFonts w:eastAsia="Arial" w:cs="Arial"/>
        </w:rPr>
        <w:t>Ordinary</w:t>
      </w:r>
      <w:r w:rsidR="00C12350">
        <w:rPr>
          <w:rFonts w:cs="Arial"/>
          <w:szCs w:val="20"/>
        </w:rPr>
        <w:t xml:space="preserve"> </w:t>
      </w:r>
      <w:r w:rsidR="00024DAA">
        <w:rPr>
          <w:rFonts w:cs="Arial"/>
          <w:szCs w:val="20"/>
        </w:rPr>
        <w:t>Shares will</w:t>
      </w:r>
      <w:r w:rsidR="00A807C8">
        <w:rPr>
          <w:rFonts w:cs="Arial"/>
          <w:szCs w:val="20"/>
        </w:rPr>
        <w:t xml:space="preserve"> be admitted to </w:t>
      </w:r>
      <w:r>
        <w:rPr>
          <w:rFonts w:cs="Arial"/>
          <w:szCs w:val="20"/>
        </w:rPr>
        <w:t xml:space="preserve">trading on the Specialist </w:t>
      </w:r>
      <w:r w:rsidR="00A807C8">
        <w:rPr>
          <w:rFonts w:cs="Arial"/>
          <w:szCs w:val="20"/>
        </w:rPr>
        <w:t>Fund Segment, will be</w:t>
      </w:r>
      <w:r w:rsidRPr="00E557A5">
        <w:rPr>
          <w:rFonts w:cs="Arial"/>
          <w:szCs w:val="20"/>
        </w:rPr>
        <w:t xml:space="preserve"> subject to laws, regulations and rules in such capacity,</w:t>
      </w:r>
      <w:r w:rsidR="00A807C8">
        <w:rPr>
          <w:rFonts w:cs="Arial"/>
          <w:szCs w:val="20"/>
        </w:rPr>
        <w:t xml:space="preserve"> including, whether directly or </w:t>
      </w:r>
      <w:r w:rsidRPr="00E557A5">
        <w:rPr>
          <w:rFonts w:cs="Arial"/>
          <w:szCs w:val="20"/>
        </w:rPr>
        <w:t xml:space="preserve">indirectly, the Prospectus Regulation Rules, the Disclosure Guidance </w:t>
      </w:r>
      <w:r w:rsidR="00A807C8">
        <w:rPr>
          <w:rFonts w:cs="Arial"/>
          <w:szCs w:val="20"/>
        </w:rPr>
        <w:t>and Transparenc</w:t>
      </w:r>
      <w:r w:rsidR="00024DAA">
        <w:rPr>
          <w:rFonts w:cs="Arial"/>
          <w:szCs w:val="20"/>
        </w:rPr>
        <w:t xml:space="preserve">y Rules, </w:t>
      </w:r>
      <w:r w:rsidR="00A807C8">
        <w:rPr>
          <w:rFonts w:cs="Arial"/>
          <w:szCs w:val="20"/>
        </w:rPr>
        <w:t xml:space="preserve">MAR, the UK AIFM Regime, </w:t>
      </w:r>
      <w:r w:rsidRPr="00E557A5">
        <w:rPr>
          <w:rFonts w:cs="Arial"/>
          <w:szCs w:val="20"/>
        </w:rPr>
        <w:t>the AIC Code, the R</w:t>
      </w:r>
      <w:r w:rsidR="003A2645">
        <w:rPr>
          <w:rFonts w:cs="Arial"/>
          <w:szCs w:val="20"/>
        </w:rPr>
        <w:t>CIS Rules</w:t>
      </w:r>
      <w:r w:rsidRPr="00E557A5">
        <w:rPr>
          <w:rFonts w:cs="Arial"/>
          <w:szCs w:val="20"/>
        </w:rPr>
        <w:t xml:space="preserve"> and the Com</w:t>
      </w:r>
      <w:r w:rsidR="00A807C8">
        <w:rPr>
          <w:rFonts w:cs="Arial"/>
          <w:szCs w:val="20"/>
        </w:rPr>
        <w:t xml:space="preserve">panies Law. The Company will also be subject </w:t>
      </w:r>
      <w:r w:rsidRPr="00E557A5">
        <w:rPr>
          <w:rFonts w:cs="Arial"/>
          <w:szCs w:val="20"/>
        </w:rPr>
        <w:t>to the</w:t>
      </w:r>
      <w:r w:rsidR="00A807C8">
        <w:rPr>
          <w:rFonts w:cs="Arial"/>
          <w:szCs w:val="20"/>
        </w:rPr>
        <w:t xml:space="preserve"> continuing obligations imposed </w:t>
      </w:r>
      <w:r w:rsidRPr="00E557A5">
        <w:rPr>
          <w:rFonts w:cs="Arial"/>
          <w:szCs w:val="20"/>
        </w:rPr>
        <w:t xml:space="preserve">on all investment </w:t>
      </w:r>
      <w:r w:rsidRPr="00E557A5">
        <w:rPr>
          <w:rFonts w:cs="Arial"/>
          <w:szCs w:val="20"/>
        </w:rPr>
        <w:lastRenderedPageBreak/>
        <w:t xml:space="preserve">companies whose shares are admitted to trading on </w:t>
      </w:r>
      <w:r w:rsidR="00A807C8">
        <w:rPr>
          <w:rFonts w:cs="Arial"/>
          <w:szCs w:val="20"/>
        </w:rPr>
        <w:t xml:space="preserve">the Specialist Fund Segment set </w:t>
      </w:r>
      <w:r w:rsidRPr="00E557A5">
        <w:rPr>
          <w:rFonts w:cs="Arial"/>
          <w:szCs w:val="20"/>
        </w:rPr>
        <w:t>out in the Admission and Disclosure Standards published by the London Stock Ex</w:t>
      </w:r>
      <w:r w:rsidR="00A807C8">
        <w:rPr>
          <w:rFonts w:cs="Arial"/>
          <w:szCs w:val="20"/>
        </w:rPr>
        <w:t xml:space="preserve">change in force from </w:t>
      </w:r>
      <w:r w:rsidRPr="00E557A5">
        <w:rPr>
          <w:rFonts w:cs="Arial"/>
          <w:szCs w:val="20"/>
        </w:rPr>
        <w:t>time to time.</w:t>
      </w:r>
    </w:p>
    <w:p w:rsidRPr="00E557A5" w:rsidR="00E557A5" w:rsidP="00E557A5" w:rsidRDefault="00E557A5" w14:paraId="2CF8907B" w14:textId="08A036F3">
      <w:pPr>
        <w:textAlignment w:val="baseline"/>
        <w:rPr>
          <w:rFonts w:cs="Arial"/>
          <w:szCs w:val="20"/>
        </w:rPr>
      </w:pPr>
      <w:r w:rsidRPr="00E557A5">
        <w:rPr>
          <w:rFonts w:cs="Arial"/>
          <w:szCs w:val="20"/>
        </w:rPr>
        <w:t>Together, these rules, regulations and laws govern the way that, amongs</w:t>
      </w:r>
      <w:r w:rsidR="00A807C8">
        <w:rPr>
          <w:rFonts w:cs="Arial"/>
          <w:szCs w:val="20"/>
        </w:rPr>
        <w:t xml:space="preserve">t other things, the Company can </w:t>
      </w:r>
      <w:r w:rsidRPr="00E557A5">
        <w:rPr>
          <w:rFonts w:cs="Arial"/>
          <w:szCs w:val="20"/>
        </w:rPr>
        <w:t xml:space="preserve">be operated (e.g. its governance), how its </w:t>
      </w:r>
      <w:r w:rsidR="00C12350">
        <w:rPr>
          <w:rFonts w:eastAsia="Arial" w:cs="Arial"/>
        </w:rPr>
        <w:t>Ordinary</w:t>
      </w:r>
      <w:r w:rsidRPr="00E557A5" w:rsidR="00C12350">
        <w:rPr>
          <w:rFonts w:cs="Arial"/>
          <w:szCs w:val="20"/>
        </w:rPr>
        <w:t xml:space="preserve"> </w:t>
      </w:r>
      <w:r w:rsidRPr="00E557A5">
        <w:rPr>
          <w:rFonts w:cs="Arial"/>
          <w:szCs w:val="20"/>
        </w:rPr>
        <w:t>Shares can be marketed</w:t>
      </w:r>
      <w:r w:rsidR="00A807C8">
        <w:rPr>
          <w:rFonts w:cs="Arial"/>
          <w:szCs w:val="20"/>
        </w:rPr>
        <w:t xml:space="preserve">, and how it must deal with its </w:t>
      </w:r>
      <w:r w:rsidRPr="00E557A5">
        <w:rPr>
          <w:rFonts w:cs="Arial"/>
          <w:szCs w:val="20"/>
        </w:rPr>
        <w:t>Shareholders, together with requiring the Company to make certain reports, filings and notifications.</w:t>
      </w:r>
    </w:p>
    <w:p w:rsidR="00E557A5" w:rsidP="00E557A5" w:rsidRDefault="00E557A5" w14:paraId="59D8532C" w14:textId="534A5A52">
      <w:pPr>
        <w:textAlignment w:val="baseline"/>
        <w:rPr>
          <w:rFonts w:cs="Arial"/>
          <w:szCs w:val="20"/>
        </w:rPr>
      </w:pPr>
      <w:r w:rsidRPr="00E557A5">
        <w:rPr>
          <w:rFonts w:cs="Arial"/>
          <w:szCs w:val="20"/>
        </w:rPr>
        <w:t xml:space="preserve">The Investment Manager is subject to, and will be required to </w:t>
      </w:r>
      <w:r w:rsidR="00A807C8">
        <w:rPr>
          <w:rFonts w:cs="Arial"/>
          <w:szCs w:val="20"/>
        </w:rPr>
        <w:t xml:space="preserve">comply with, certain regulatory </w:t>
      </w:r>
      <w:r w:rsidRPr="00E557A5">
        <w:rPr>
          <w:rFonts w:cs="Arial"/>
          <w:szCs w:val="20"/>
        </w:rPr>
        <w:t xml:space="preserve">requirements of the </w:t>
      </w:r>
      <w:r w:rsidR="009B6742">
        <w:rPr>
          <w:rFonts w:cs="Arial"/>
          <w:szCs w:val="20"/>
        </w:rPr>
        <w:t>Gibraltar Financial Services Commission</w:t>
      </w:r>
      <w:r w:rsidRPr="00E557A5">
        <w:rPr>
          <w:rFonts w:cs="Arial"/>
          <w:szCs w:val="20"/>
        </w:rPr>
        <w:t>, some of which affect the investment management of the Company.</w:t>
      </w:r>
    </w:p>
    <w:p w:rsidR="00D013EE" w:rsidRDefault="00D013EE" w14:paraId="67DAA46F" w14:textId="49E3266B">
      <w:pPr>
        <w:spacing w:after="0"/>
        <w:jc w:val="left"/>
        <w:rPr>
          <w:rFonts w:cs="Arial"/>
          <w:szCs w:val="20"/>
        </w:rPr>
      </w:pPr>
      <w:r>
        <w:rPr>
          <w:rFonts w:cs="Arial"/>
          <w:szCs w:val="20"/>
        </w:rPr>
        <w:br w:type="page"/>
      </w:r>
    </w:p>
    <w:bookmarkStart w:name="_Ref65763481" w:id="125"/>
    <w:p w:rsidRPr="00DE5D68" w:rsidR="000177D7" w:rsidP="00D73005" w:rsidRDefault="000177D7" w14:paraId="55187E5E" w14:textId="03BA0C87">
      <w:pPr>
        <w:pStyle w:val="Part"/>
        <w:rPr>
          <w:b/>
        </w:rPr>
      </w:pPr>
      <w:r w:rsidRPr="00DE5D68">
        <w:rPr>
          <w:b/>
        </w:rPr>
        <w:lastRenderedPageBreak/>
        <w:fldChar w:fldCharType="begin"/>
      </w:r>
      <w:r w:rsidRPr="00DE5D68">
        <w:instrText xml:space="preserve"> TC </w:instrText>
      </w:r>
      <w:r w:rsidRPr="00DE5D68" w:rsidR="00170F35">
        <w:instrText>"</w:instrText>
      </w:r>
      <w:bookmarkStart w:name="_Toc493520582" w:id="126"/>
      <w:bookmarkStart w:name="_Toc78485973" w:id="127"/>
      <w:bookmarkStart w:name="_Toc190288032" w:id="128"/>
      <w:r w:rsidRPr="00DE5D68">
        <w:instrText xml:space="preserve">PART </w:instrText>
      </w:r>
      <w:r w:rsidR="00035420">
        <w:instrText>2</w:instrText>
      </w:r>
      <w:r w:rsidRPr="00DE5D68" w:rsidR="00780E1C">
        <w:instrText xml:space="preserve"> </w:instrText>
      </w:r>
      <w:r w:rsidRPr="00DE5D68">
        <w:instrText>– DIRECTORS</w:instrText>
      </w:r>
      <w:r w:rsidRPr="00DE5D68" w:rsidR="00D15FB1">
        <w:instrText>, MANAGEMENT AND ADMINISTRATION</w:instrText>
      </w:r>
      <w:bookmarkEnd w:id="126"/>
      <w:bookmarkEnd w:id="127"/>
      <w:bookmarkEnd w:id="128"/>
      <w:r w:rsidRPr="00DE5D68" w:rsidR="00170F35">
        <w:instrText>"</w:instrText>
      </w:r>
      <w:r w:rsidRPr="00DE5D68">
        <w:instrText xml:space="preserve"> \f C \l </w:instrText>
      </w:r>
      <w:r w:rsidRPr="00DE5D68" w:rsidR="00170F35">
        <w:instrText>"</w:instrText>
      </w:r>
      <w:r w:rsidRPr="00DE5D68">
        <w:instrText>1</w:instrText>
      </w:r>
      <w:r w:rsidRPr="00DE5D68" w:rsidR="00170F35">
        <w:instrText>"</w:instrText>
      </w:r>
      <w:r w:rsidRPr="00DE5D68">
        <w:instrText xml:space="preserve"> </w:instrText>
      </w:r>
      <w:r w:rsidRPr="00DE5D68">
        <w:rPr>
          <w:b/>
        </w:rPr>
        <w:fldChar w:fldCharType="end"/>
      </w:r>
      <w:bookmarkEnd w:id="125"/>
    </w:p>
    <w:p w:rsidRPr="00DE5D68" w:rsidR="001777B4" w:rsidP="00C27D12" w:rsidRDefault="001777B4" w14:paraId="27B4AC40" w14:textId="77777777">
      <w:pPr>
        <w:jc w:val="center"/>
        <w:rPr>
          <w:rFonts w:cs="Arial"/>
          <w:b/>
        </w:rPr>
      </w:pPr>
      <w:r w:rsidRPr="00DE5D68">
        <w:rPr>
          <w:rFonts w:cs="Arial"/>
          <w:b/>
        </w:rPr>
        <w:t>DIRECTORS, MANAGEMENT AND ADMINISTRATION</w:t>
      </w:r>
    </w:p>
    <w:p w:rsidRPr="00DE5D68" w:rsidR="001777B4" w:rsidP="00565AD4" w:rsidRDefault="00F9129E" w14:paraId="5940CD65" w14:textId="67FC1B53">
      <w:pPr>
        <w:pStyle w:val="Heading1"/>
        <w:numPr>
          <w:ilvl w:val="0"/>
          <w:numId w:val="39"/>
        </w:numPr>
        <w:tabs>
          <w:tab w:val="clear" w:pos="1134"/>
        </w:tabs>
        <w:ind w:left="709" w:hanging="709"/>
        <w:rPr>
          <w:rFonts w:cs="Arial"/>
          <w:caps w:val="0"/>
        </w:rPr>
      </w:pPr>
      <w:bookmarkStart w:name="_Ref329161169" w:id="129"/>
      <w:r>
        <w:rPr>
          <w:rFonts w:cs="Arial"/>
          <w:caps w:val="0"/>
        </w:rPr>
        <w:t>DIRECTORS</w:t>
      </w:r>
      <w:r w:rsidRPr="00DE5D68" w:rsidR="000273B2">
        <w:rPr>
          <w:rFonts w:cs="Arial"/>
          <w:caps w:val="0"/>
        </w:rPr>
        <w:t xml:space="preserve"> </w:t>
      </w:r>
      <w:bookmarkEnd w:id="129"/>
    </w:p>
    <w:p w:rsidRPr="00DE5D68" w:rsidR="00DB4B49" w:rsidP="00C27D12" w:rsidRDefault="00DB4B49" w14:paraId="261473BC" w14:textId="43633BBA">
      <w:pPr>
        <w:widowControl w:val="0"/>
        <w:rPr>
          <w:rFonts w:cs="Arial"/>
          <w:b/>
        </w:rPr>
      </w:pPr>
      <w:r w:rsidRPr="00DE5D68">
        <w:rPr>
          <w:rFonts w:cs="Arial"/>
        </w:rPr>
        <w:t xml:space="preserve">The Directors are responsible for the determination of the Company's investment policy and strategy and have overall responsibility for the Company's activities including the review of investment activity and </w:t>
      </w:r>
      <w:r w:rsidRPr="00DE5D68">
        <w:rPr>
          <w:rFonts w:eastAsia="Arial" w:cs="Arial"/>
        </w:rPr>
        <w:t>performance</w:t>
      </w:r>
      <w:r w:rsidRPr="00DE5D68">
        <w:rPr>
          <w:rFonts w:cs="Arial"/>
        </w:rPr>
        <w:t xml:space="preserve"> and the control and supervision of the </w:t>
      </w:r>
      <w:r w:rsidRPr="00DE5D68" w:rsidR="00252559">
        <w:rPr>
          <w:rFonts w:cs="Arial"/>
        </w:rPr>
        <w:t>Company's service providers</w:t>
      </w:r>
      <w:r w:rsidRPr="00DE5D68">
        <w:rPr>
          <w:rFonts w:cs="Arial"/>
        </w:rPr>
        <w:t xml:space="preserve">. </w:t>
      </w:r>
      <w:r w:rsidR="00942D48">
        <w:rPr>
          <w:rFonts w:cs="Arial"/>
        </w:rPr>
        <w:t xml:space="preserve">The Directors, led by the Chair, will also be responsible for ensuring effective engagement with, and encouraging participation from, its shareholders and stakeholders. </w:t>
      </w:r>
      <w:r w:rsidRPr="00DE5D68">
        <w:rPr>
          <w:rFonts w:cs="Arial"/>
        </w:rPr>
        <w:t>All of the Directors are non-executive</w:t>
      </w:r>
      <w:r w:rsidR="00F1182F">
        <w:rPr>
          <w:rFonts w:cs="Arial"/>
        </w:rPr>
        <w:t xml:space="preserve"> and are </w:t>
      </w:r>
      <w:r w:rsidR="000F0980">
        <w:rPr>
          <w:rFonts w:cs="Arial"/>
        </w:rPr>
        <w:t>considered to be independent</w:t>
      </w:r>
      <w:r w:rsidR="00035420">
        <w:rPr>
          <w:rFonts w:cs="Arial"/>
        </w:rPr>
        <w:t xml:space="preserve"> of the Investment Manager</w:t>
      </w:r>
      <w:r w:rsidRPr="00DE5D68">
        <w:rPr>
          <w:rFonts w:cs="Arial"/>
        </w:rPr>
        <w:t>.</w:t>
      </w:r>
      <w:r w:rsidRPr="00DE5D68" w:rsidR="005A1D5A">
        <w:rPr>
          <w:rFonts w:cs="Arial"/>
        </w:rPr>
        <w:t xml:space="preserve"> </w:t>
      </w:r>
    </w:p>
    <w:p w:rsidRPr="00DE5D68" w:rsidR="00DB4B49" w:rsidP="00C27D12" w:rsidRDefault="00DB4B49" w14:paraId="79A8B72E" w14:textId="468E660E">
      <w:pPr>
        <w:widowControl w:val="0"/>
        <w:rPr>
          <w:rFonts w:cs="Arial"/>
          <w:b/>
        </w:rPr>
      </w:pPr>
      <w:r w:rsidRPr="00DE5D68">
        <w:rPr>
          <w:rFonts w:cs="Arial"/>
        </w:rPr>
        <w:t xml:space="preserve">The Directors will </w:t>
      </w:r>
      <w:r w:rsidRPr="00DE5D68" w:rsidR="004B4171">
        <w:rPr>
          <w:rFonts w:cs="Arial"/>
        </w:rPr>
        <w:t>meet at least four times a year,</w:t>
      </w:r>
      <w:r w:rsidRPr="00DE5D68" w:rsidR="00252559">
        <w:rPr>
          <w:rFonts w:cs="Arial"/>
        </w:rPr>
        <w:t xml:space="preserve"> </w:t>
      </w:r>
      <w:r w:rsidRPr="00DE5D68" w:rsidR="00252559">
        <w:rPr>
          <w:rFonts w:cs="Arial"/>
          <w:i/>
        </w:rPr>
        <w:t xml:space="preserve">inter alia, </w:t>
      </w:r>
      <w:r w:rsidRPr="00DE5D68" w:rsidR="00252559">
        <w:rPr>
          <w:rFonts w:cs="Arial"/>
        </w:rPr>
        <w:t xml:space="preserve">to review and assess the Company's investment policy and </w:t>
      </w:r>
      <w:r w:rsidRPr="00DE5D68" w:rsidR="00252559">
        <w:rPr>
          <w:rFonts w:eastAsia="Arial" w:cs="Arial"/>
        </w:rPr>
        <w:t>strategy</w:t>
      </w:r>
      <w:r w:rsidRPr="00DE5D68" w:rsidR="00252559">
        <w:rPr>
          <w:rFonts w:cs="Arial"/>
        </w:rPr>
        <w:t>, the risk profile of the Company, the Company's investment performance, the performance of the Company's service providers, including the Inve</w:t>
      </w:r>
      <w:r w:rsidR="008B55D4">
        <w:rPr>
          <w:rFonts w:cs="Arial"/>
        </w:rPr>
        <w:t>stment Manager and</w:t>
      </w:r>
      <w:r w:rsidR="00035420">
        <w:rPr>
          <w:rFonts w:cs="Arial"/>
        </w:rPr>
        <w:t xml:space="preserve"> </w:t>
      </w:r>
      <w:r w:rsidRPr="00DE5D68" w:rsidR="00252559">
        <w:rPr>
          <w:rFonts w:cs="Arial"/>
        </w:rPr>
        <w:t xml:space="preserve">the Administrator, and generally to supervise the conduct of its affairs. </w:t>
      </w:r>
      <w:r w:rsidRPr="00DE5D68" w:rsidR="004B4171">
        <w:rPr>
          <w:rFonts w:cs="Arial"/>
        </w:rPr>
        <w:t xml:space="preserve"> </w:t>
      </w:r>
      <w:r w:rsidRPr="00DE5D68">
        <w:rPr>
          <w:rFonts w:cs="Arial"/>
        </w:rPr>
        <w:t xml:space="preserve"> </w:t>
      </w:r>
    </w:p>
    <w:p w:rsidRPr="00DE5D68" w:rsidR="00DB4B49" w:rsidP="00C27D12" w:rsidRDefault="00DB4B49" w14:paraId="58884F47" w14:textId="77777777">
      <w:pPr>
        <w:widowControl w:val="0"/>
        <w:rPr>
          <w:rFonts w:cs="Arial"/>
        </w:rPr>
      </w:pPr>
      <w:bookmarkStart w:name="_Ref329161170" w:id="130"/>
      <w:r w:rsidRPr="00DE5D68">
        <w:rPr>
          <w:rFonts w:cs="Arial"/>
        </w:rPr>
        <w:t xml:space="preserve">The </w:t>
      </w:r>
      <w:r w:rsidRPr="00DE5D68">
        <w:rPr>
          <w:rFonts w:eastAsia="Arial" w:cs="Arial"/>
        </w:rPr>
        <w:t>Directors</w:t>
      </w:r>
      <w:r w:rsidRPr="00DE5D68">
        <w:rPr>
          <w:rFonts w:cs="Arial"/>
        </w:rPr>
        <w:t xml:space="preserve"> are as follows:</w:t>
      </w:r>
    </w:p>
    <w:p w:rsidRPr="00E65F2D" w:rsidR="00A83E00" w:rsidP="00A83E00" w:rsidRDefault="00A83E00" w14:paraId="253E28BF" w14:textId="75D41FD4">
      <w:pPr>
        <w:rPr>
          <w:rFonts w:cs="Arial"/>
          <w:b/>
          <w:i/>
        </w:rPr>
      </w:pPr>
      <w:r>
        <w:rPr>
          <w:rFonts w:cs="Arial"/>
          <w:b/>
          <w:i/>
        </w:rPr>
        <w:t>Charlotte Denton</w:t>
      </w:r>
      <w:r w:rsidRPr="00DE5D68">
        <w:rPr>
          <w:rFonts w:cs="Arial"/>
          <w:b/>
          <w:i/>
        </w:rPr>
        <w:t xml:space="preserve"> (aged </w:t>
      </w:r>
      <w:r>
        <w:rPr>
          <w:rFonts w:cs="Arial"/>
          <w:b/>
          <w:i/>
        </w:rPr>
        <w:t xml:space="preserve">51) (Chair) </w:t>
      </w:r>
    </w:p>
    <w:p w:rsidRPr="00A83E00" w:rsidR="00A83E00" w:rsidP="00C27D12" w:rsidRDefault="00A83E00" w14:paraId="413B9133" w14:textId="7EEC4D74">
      <w:pPr>
        <w:rPr>
          <w:szCs w:val="22"/>
        </w:rPr>
      </w:pPr>
      <w:r>
        <w:t>Charlotte is a Fellow of the Institute of Chartered Accountants in England and Wales and holds a degree in politics from Durham University. She is also a Chartered Director and a fellow of the Institute of Directors as well as a member of the Society of Trust and Estate Practitioners. She has served on boards for nearly twenty years and is currently a Non-</w:t>
      </w:r>
      <w:r w:rsidR="00DB4DC3">
        <w:t>e</w:t>
      </w:r>
      <w:r>
        <w:t xml:space="preserve">xecutive Director of various entities including the GP boards of Private Equity groups </w:t>
      </w:r>
      <w:proofErr w:type="spellStart"/>
      <w:r>
        <w:t>Cinven</w:t>
      </w:r>
      <w:proofErr w:type="spellEnd"/>
      <w:r>
        <w:t xml:space="preserve"> and </w:t>
      </w:r>
      <w:proofErr w:type="spellStart"/>
      <w:r>
        <w:t>Hitec</w:t>
      </w:r>
      <w:proofErr w:type="spellEnd"/>
      <w:r w:rsidR="00721DD7">
        <w:t>,</w:t>
      </w:r>
      <w:r>
        <w:t xml:space="preserve"> </w:t>
      </w:r>
      <w:r w:rsidRPr="00721DD7" w:rsidR="00721DD7">
        <w:t xml:space="preserve">the investment management company for Next Energy and the holding company for Alpha Real Capital. </w:t>
      </w:r>
      <w:r w:rsidR="00721DD7">
        <w:t xml:space="preserve">She is also on the board of the FTSE 100 company Pershing Square Holding Limited and </w:t>
      </w:r>
      <w:r w:rsidR="00524A7C">
        <w:t>a</w:t>
      </w:r>
      <w:r>
        <w:t xml:space="preserve">udit </w:t>
      </w:r>
      <w:r w:rsidR="00524A7C">
        <w:t>c</w:t>
      </w:r>
      <w:r>
        <w:t xml:space="preserve">hair for the listed </w:t>
      </w:r>
      <w:r w:rsidR="00524A7C">
        <w:t>i</w:t>
      </w:r>
      <w:r>
        <w:t xml:space="preserve">nvestment </w:t>
      </w:r>
      <w:r w:rsidR="00524A7C">
        <w:t>c</w:t>
      </w:r>
      <w:r>
        <w:t>ompan</w:t>
      </w:r>
      <w:r w:rsidR="00721DD7">
        <w:t>y</w:t>
      </w:r>
      <w:r>
        <w:t xml:space="preserve"> Starwood European Real Estate Finance. During Charlotte’s executive career she worked in various locations through roles in diverse organisations, including KPMG, Rothschild, Northern Trust, a property development startup and a privately held financial services group.  </w:t>
      </w:r>
    </w:p>
    <w:p w:rsidR="00ED289B" w:rsidP="00C27D12" w:rsidRDefault="00F1182F" w14:paraId="3E04A16E" w14:textId="431BFDA8">
      <w:pPr>
        <w:rPr>
          <w:rFonts w:cs="Arial"/>
          <w:b/>
          <w:i/>
          <w:szCs w:val="20"/>
        </w:rPr>
      </w:pPr>
      <w:r>
        <w:rPr>
          <w:rFonts w:cs="Arial"/>
          <w:b/>
          <w:i/>
        </w:rPr>
        <w:t>Helen Green</w:t>
      </w:r>
      <w:r w:rsidRPr="00DE5D68" w:rsidR="00ED289B">
        <w:rPr>
          <w:rFonts w:cs="Arial"/>
          <w:b/>
          <w:i/>
        </w:rPr>
        <w:t xml:space="preserve"> </w:t>
      </w:r>
      <w:r w:rsidRPr="00DE5D68" w:rsidR="00ED289B">
        <w:rPr>
          <w:rFonts w:cs="Arial"/>
          <w:b/>
          <w:i/>
          <w:szCs w:val="20"/>
        </w:rPr>
        <w:t xml:space="preserve">(aged </w:t>
      </w:r>
      <w:r w:rsidR="00F4219D">
        <w:rPr>
          <w:rFonts w:cs="Arial"/>
          <w:b/>
          <w:i/>
          <w:szCs w:val="20"/>
        </w:rPr>
        <w:t>62</w:t>
      </w:r>
      <w:r w:rsidRPr="00DE5D68" w:rsidR="00ED289B">
        <w:rPr>
          <w:rFonts w:cs="Arial"/>
          <w:b/>
          <w:i/>
          <w:szCs w:val="20"/>
        </w:rPr>
        <w:t xml:space="preserve">) </w:t>
      </w:r>
      <w:r w:rsidRPr="00DE5D68" w:rsidR="00A83E00">
        <w:rPr>
          <w:rFonts w:cs="Arial"/>
          <w:b/>
          <w:i/>
          <w:szCs w:val="20"/>
        </w:rPr>
        <w:t>(</w:t>
      </w:r>
      <w:r w:rsidR="00107014">
        <w:rPr>
          <w:rFonts w:cs="Arial"/>
          <w:b/>
          <w:i/>
          <w:szCs w:val="20"/>
        </w:rPr>
        <w:t>N</w:t>
      </w:r>
      <w:r w:rsidRPr="00DE5D68" w:rsidR="00A83E00">
        <w:rPr>
          <w:rFonts w:cs="Arial"/>
          <w:b/>
          <w:i/>
          <w:szCs w:val="20"/>
        </w:rPr>
        <w:t>on-executive Director)</w:t>
      </w:r>
    </w:p>
    <w:p w:rsidRPr="00202D08" w:rsidR="00DB4DC3" w:rsidP="00C27D12" w:rsidRDefault="00631F61" w14:paraId="46AD1E6D" w14:textId="5ACF01B2">
      <w:pPr>
        <w:rPr>
          <w:rFonts w:cs="Arial"/>
          <w:bCs/>
          <w:iCs/>
          <w:szCs w:val="20"/>
        </w:rPr>
      </w:pPr>
      <w:bookmarkStart w:name="_Hlk190104875" w:id="131"/>
      <w:r>
        <w:rPr>
          <w:rFonts w:cs="Arial"/>
          <w:bCs/>
          <w:iCs/>
          <w:szCs w:val="20"/>
        </w:rPr>
        <w:t xml:space="preserve">Helen has served on investment company boards for nearly twenty years. She is currently the Audit Chair of </w:t>
      </w:r>
      <w:r w:rsidR="00AB34E7">
        <w:rPr>
          <w:rFonts w:cs="Arial"/>
          <w:bCs/>
          <w:iCs/>
          <w:szCs w:val="20"/>
        </w:rPr>
        <w:t xml:space="preserve">both </w:t>
      </w:r>
      <w:r>
        <w:rPr>
          <w:rFonts w:cs="Arial"/>
          <w:bCs/>
          <w:iCs/>
          <w:szCs w:val="20"/>
        </w:rPr>
        <w:t>JPMorgan Global Core Real Assets Limited</w:t>
      </w:r>
      <w:r w:rsidR="00AB34E7">
        <w:rPr>
          <w:rFonts w:cs="Arial"/>
          <w:bCs/>
          <w:iCs/>
          <w:szCs w:val="20"/>
        </w:rPr>
        <w:t xml:space="preserve"> and </w:t>
      </w:r>
      <w:proofErr w:type="spellStart"/>
      <w:r w:rsidR="00AB34E7">
        <w:rPr>
          <w:rFonts w:cs="Arial"/>
          <w:bCs/>
          <w:iCs/>
          <w:szCs w:val="20"/>
        </w:rPr>
        <w:t>Landore</w:t>
      </w:r>
      <w:proofErr w:type="spellEnd"/>
      <w:r w:rsidR="00AB34E7">
        <w:rPr>
          <w:rFonts w:cs="Arial"/>
          <w:bCs/>
          <w:iCs/>
          <w:szCs w:val="20"/>
        </w:rPr>
        <w:t xml:space="preserve"> Resources Limited</w:t>
      </w:r>
      <w:r w:rsidR="00DB4DC3">
        <w:rPr>
          <w:rFonts w:cs="Arial"/>
          <w:bCs/>
          <w:iCs/>
          <w:szCs w:val="20"/>
        </w:rPr>
        <w:t xml:space="preserve"> </w:t>
      </w:r>
      <w:r w:rsidR="00AB34E7">
        <w:rPr>
          <w:rFonts w:cs="Arial"/>
          <w:bCs/>
          <w:iCs/>
          <w:szCs w:val="20"/>
        </w:rPr>
        <w:t>among other n</w:t>
      </w:r>
      <w:r w:rsidR="00DB4DC3">
        <w:rPr>
          <w:rFonts w:cs="Arial"/>
          <w:bCs/>
          <w:iCs/>
          <w:szCs w:val="20"/>
        </w:rPr>
        <w:t xml:space="preserve">on-executive </w:t>
      </w:r>
      <w:r w:rsidR="00AB34E7">
        <w:rPr>
          <w:rFonts w:cs="Arial"/>
          <w:bCs/>
          <w:iCs/>
          <w:szCs w:val="20"/>
        </w:rPr>
        <w:t>d</w:t>
      </w:r>
      <w:r w:rsidR="00DB4DC3">
        <w:rPr>
          <w:rFonts w:cs="Arial"/>
          <w:bCs/>
          <w:iCs/>
          <w:szCs w:val="20"/>
        </w:rPr>
        <w:t>irector</w:t>
      </w:r>
      <w:r w:rsidR="00AB34E7">
        <w:rPr>
          <w:rFonts w:cs="Arial"/>
          <w:bCs/>
          <w:iCs/>
          <w:szCs w:val="20"/>
        </w:rPr>
        <w:t xml:space="preserve">ships at various entities </w:t>
      </w:r>
      <w:r w:rsidR="00DB4DC3">
        <w:rPr>
          <w:rFonts w:cs="Arial"/>
          <w:bCs/>
          <w:iCs/>
          <w:szCs w:val="20"/>
        </w:rPr>
        <w:t xml:space="preserve">including </w:t>
      </w:r>
      <w:r w:rsidR="00AB34E7">
        <w:rPr>
          <w:rFonts w:cs="Arial"/>
          <w:bCs/>
          <w:iCs/>
          <w:szCs w:val="20"/>
        </w:rPr>
        <w:t xml:space="preserve">the holding company of </w:t>
      </w:r>
      <w:r w:rsidR="00DB4DC3">
        <w:rPr>
          <w:rFonts w:cs="Arial"/>
          <w:bCs/>
          <w:iCs/>
          <w:szCs w:val="20"/>
        </w:rPr>
        <w:t>Alpha Real Capital</w:t>
      </w:r>
      <w:r>
        <w:rPr>
          <w:rFonts w:cs="Arial"/>
          <w:bCs/>
          <w:iCs/>
          <w:szCs w:val="20"/>
        </w:rPr>
        <w:t xml:space="preserve">. </w:t>
      </w:r>
      <w:r w:rsidR="00AB34E7">
        <w:rPr>
          <w:rFonts w:cs="Arial"/>
          <w:bCs/>
          <w:iCs/>
          <w:szCs w:val="20"/>
        </w:rPr>
        <w:t xml:space="preserve">Helen's previous non-executive </w:t>
      </w:r>
      <w:r w:rsidR="00DB4DC3">
        <w:rPr>
          <w:rFonts w:cs="Arial"/>
          <w:bCs/>
          <w:iCs/>
          <w:szCs w:val="20"/>
        </w:rPr>
        <w:t>directorships includ</w:t>
      </w:r>
      <w:r w:rsidR="00AB34E7">
        <w:rPr>
          <w:rFonts w:cs="Arial"/>
          <w:bCs/>
          <w:iCs/>
          <w:szCs w:val="20"/>
        </w:rPr>
        <w:t>e</w:t>
      </w:r>
      <w:r w:rsidR="00DB4DC3">
        <w:rPr>
          <w:rFonts w:cs="Arial"/>
          <w:bCs/>
          <w:iCs/>
          <w:szCs w:val="20"/>
        </w:rPr>
        <w:t xml:space="preserve"> CQS Natural Resources Growth and Income Company plc, UK Mortgages Limited and John Laing Infrastructure Fund Limited through which she has extensive experience</w:t>
      </w:r>
      <w:r w:rsidR="00AB34E7">
        <w:rPr>
          <w:rFonts w:cs="Arial"/>
          <w:bCs/>
          <w:iCs/>
          <w:szCs w:val="20"/>
        </w:rPr>
        <w:t xml:space="preserve"> as a non-executive director, including in the role of Audit and/or Risk Committee Chair and Board Chair. </w:t>
      </w:r>
      <w:r>
        <w:rPr>
          <w:rFonts w:cs="Arial"/>
          <w:bCs/>
          <w:iCs/>
          <w:szCs w:val="20"/>
        </w:rPr>
        <w:t xml:space="preserve">Helen has worked for Saffery since 1984 and was a partner in the London office from 1998 until 2000 </w:t>
      </w:r>
      <w:r w:rsidR="00AB34E7">
        <w:rPr>
          <w:rFonts w:cs="Arial"/>
          <w:bCs/>
          <w:iCs/>
          <w:szCs w:val="20"/>
        </w:rPr>
        <w:t xml:space="preserve">before she relocated to </w:t>
      </w:r>
      <w:r>
        <w:rPr>
          <w:rFonts w:cs="Arial"/>
          <w:bCs/>
          <w:iCs/>
          <w:szCs w:val="20"/>
        </w:rPr>
        <w:t>Guernsey and became a director of Saffery Trust Guernsey. Helen is a Fellow of the Institute of Chartered Accountants in England and Wales, a member of the Institute of Directors a</w:t>
      </w:r>
      <w:r w:rsidR="00AB34E7">
        <w:rPr>
          <w:rFonts w:cs="Arial"/>
          <w:bCs/>
          <w:iCs/>
          <w:szCs w:val="20"/>
        </w:rPr>
        <w:t>nd</w:t>
      </w:r>
      <w:r>
        <w:rPr>
          <w:rFonts w:cs="Arial"/>
          <w:bCs/>
          <w:iCs/>
          <w:szCs w:val="20"/>
        </w:rPr>
        <w:t xml:space="preserve"> a member of the Society of Trust and Estate Practitioners. Helen is a resident of Guernsey.</w:t>
      </w:r>
      <w:r w:rsidRPr="00DB4DC3" w:rsidR="00DB4DC3">
        <w:rPr>
          <w:rFonts w:cs="Arial"/>
          <w:bCs/>
          <w:iCs/>
          <w:szCs w:val="20"/>
        </w:rPr>
        <w:t xml:space="preserve"> </w:t>
      </w:r>
      <w:r w:rsidR="00942D48">
        <w:rPr>
          <w:rFonts w:cs="Arial"/>
          <w:bCs/>
          <w:iCs/>
          <w:szCs w:val="20"/>
        </w:rPr>
        <w:t xml:space="preserve">Helen will serve as Chair of the Audit Committee. </w:t>
      </w:r>
    </w:p>
    <w:p w:rsidR="00F1182F" w:rsidP="00C27D12" w:rsidRDefault="00F1182F" w14:paraId="07BC3C64" w14:textId="7C3FCF17">
      <w:pPr>
        <w:rPr>
          <w:rFonts w:cs="Arial"/>
          <w:b/>
          <w:i/>
          <w:szCs w:val="20"/>
        </w:rPr>
      </w:pPr>
      <w:bookmarkStart w:name="_Hlk190108572" w:id="132"/>
      <w:bookmarkEnd w:id="131"/>
      <w:r>
        <w:rPr>
          <w:rFonts w:cs="Arial"/>
          <w:b/>
          <w:i/>
          <w:szCs w:val="20"/>
        </w:rPr>
        <w:t xml:space="preserve">Brett Miller (aged </w:t>
      </w:r>
      <w:r w:rsidR="00107014">
        <w:rPr>
          <w:rFonts w:cs="Arial"/>
          <w:b/>
          <w:i/>
          <w:szCs w:val="20"/>
        </w:rPr>
        <w:t>57</w:t>
      </w:r>
      <w:r>
        <w:rPr>
          <w:rFonts w:cs="Arial"/>
          <w:b/>
          <w:i/>
          <w:szCs w:val="20"/>
        </w:rPr>
        <w:t>) (</w:t>
      </w:r>
      <w:r w:rsidR="00107014">
        <w:rPr>
          <w:rFonts w:cs="Arial"/>
          <w:b/>
          <w:i/>
          <w:szCs w:val="20"/>
        </w:rPr>
        <w:t>N</w:t>
      </w:r>
      <w:r>
        <w:rPr>
          <w:rFonts w:cs="Arial"/>
          <w:b/>
          <w:i/>
          <w:szCs w:val="20"/>
        </w:rPr>
        <w:t>on-executive Director)</w:t>
      </w:r>
    </w:p>
    <w:p w:rsidR="00155EB7" w:rsidP="00155EB7" w:rsidRDefault="00A12A55" w14:paraId="3A011992" w14:textId="1FAE276A">
      <w:pPr>
        <w:pStyle w:val="BodyText"/>
        <w:rPr>
          <w:rFonts w:eastAsia="Batang"/>
          <w:szCs w:val="20"/>
        </w:rPr>
      </w:pPr>
      <w:r>
        <w:rPr>
          <w:rFonts w:eastAsia="Batang"/>
          <w:szCs w:val="20"/>
        </w:rPr>
        <w:t xml:space="preserve">Brett has </w:t>
      </w:r>
      <w:r w:rsidR="005F2764">
        <w:rPr>
          <w:rFonts w:eastAsia="Batang"/>
          <w:szCs w:val="20"/>
        </w:rPr>
        <w:t>wide-ranging investment company experience, particularly in the restructuring and managed run-off of a number of listed closed ended funds across a range of asset classes, delivering value to shareholders. He has been involved (as executive and non-executive director) in the management of numerous London Stock Exchange and AIM-listed closed ended funds</w:t>
      </w:r>
      <w:r w:rsidR="00C63FCB">
        <w:rPr>
          <w:rFonts w:eastAsia="Batang"/>
          <w:szCs w:val="20"/>
        </w:rPr>
        <w:t>. He</w:t>
      </w:r>
      <w:r w:rsidR="005F2764">
        <w:rPr>
          <w:rFonts w:eastAsia="Batang"/>
          <w:szCs w:val="20"/>
        </w:rPr>
        <w:t xml:space="preserve"> cu</w:t>
      </w:r>
      <w:r>
        <w:rPr>
          <w:rFonts w:eastAsia="Batang"/>
          <w:szCs w:val="20"/>
        </w:rPr>
        <w:t>rrently</w:t>
      </w:r>
      <w:r w:rsidRPr="004A0094" w:rsidR="00155EB7">
        <w:rPr>
          <w:rFonts w:eastAsia="Batang"/>
          <w:szCs w:val="20"/>
        </w:rPr>
        <w:t xml:space="preserve"> serves as a </w:t>
      </w:r>
      <w:r>
        <w:rPr>
          <w:rFonts w:eastAsia="Batang"/>
          <w:szCs w:val="20"/>
        </w:rPr>
        <w:t xml:space="preserve">non-executive </w:t>
      </w:r>
      <w:r w:rsidRPr="004A0094" w:rsidR="00155EB7">
        <w:rPr>
          <w:rFonts w:eastAsia="Batang"/>
          <w:szCs w:val="20"/>
        </w:rPr>
        <w:t xml:space="preserve">director of Manchester &amp; London Investment Trust plc and </w:t>
      </w:r>
      <w:r w:rsidRPr="004A0094" w:rsidR="00155EB7">
        <w:rPr>
          <w:szCs w:val="20"/>
        </w:rPr>
        <w:t xml:space="preserve">Ecofin U.S. Renewables Infrastructure </w:t>
      </w:r>
      <w:r>
        <w:rPr>
          <w:szCs w:val="20"/>
        </w:rPr>
        <w:t xml:space="preserve">Trust </w:t>
      </w:r>
      <w:r w:rsidRPr="004A0094" w:rsidR="00155EB7">
        <w:rPr>
          <w:szCs w:val="20"/>
        </w:rPr>
        <w:t>plc</w:t>
      </w:r>
      <w:r>
        <w:rPr>
          <w:szCs w:val="20"/>
        </w:rPr>
        <w:t>, both of which are London-listed</w:t>
      </w:r>
      <w:r w:rsidR="005F2764">
        <w:rPr>
          <w:szCs w:val="20"/>
        </w:rPr>
        <w:t>,</w:t>
      </w:r>
      <w:r w:rsidR="00550275">
        <w:rPr>
          <w:szCs w:val="20"/>
        </w:rPr>
        <w:t xml:space="preserve"> among a number of directorships </w:t>
      </w:r>
      <w:r w:rsidRPr="004A0094" w:rsidR="00155EB7">
        <w:rPr>
          <w:rFonts w:eastAsia="Batang"/>
          <w:szCs w:val="20"/>
        </w:rPr>
        <w:t>of unlisted and/or private companies.</w:t>
      </w:r>
      <w:r w:rsidRPr="00550275" w:rsidR="00550275">
        <w:rPr>
          <w:rFonts w:eastAsia="Batang"/>
          <w:szCs w:val="20"/>
        </w:rPr>
        <w:t xml:space="preserve"> </w:t>
      </w:r>
      <w:r w:rsidR="00550275">
        <w:rPr>
          <w:rFonts w:eastAsia="Batang"/>
          <w:szCs w:val="20"/>
        </w:rPr>
        <w:t>In addition, he has initiated investments in or represented institutional investors (activist and long only) in a number of London Stock Exchange or AIM listed companies where he subsequently orchestrated the restructuring of such funds, including</w:t>
      </w:r>
      <w:r w:rsidR="00C63FCB">
        <w:rPr>
          <w:rFonts w:eastAsia="Batang"/>
          <w:szCs w:val="20"/>
        </w:rPr>
        <w:t xml:space="preserve"> most recently</w:t>
      </w:r>
      <w:r w:rsidR="00550275">
        <w:rPr>
          <w:rFonts w:eastAsia="Batang"/>
          <w:szCs w:val="20"/>
        </w:rPr>
        <w:t xml:space="preserve"> SLF Realisation Fund Limited (formerly KKV Secured Loan Fund Limited). Brett </w:t>
      </w:r>
      <w:r w:rsidR="00C63FCB">
        <w:rPr>
          <w:rFonts w:eastAsia="Batang"/>
          <w:szCs w:val="20"/>
        </w:rPr>
        <w:t xml:space="preserve">graduated from the University of Witwatersrand (South Africa) with a </w:t>
      </w:r>
      <w:r w:rsidR="00C05082">
        <w:rPr>
          <w:rFonts w:eastAsia="Batang"/>
          <w:szCs w:val="20"/>
        </w:rPr>
        <w:t>bachelor's</w:t>
      </w:r>
      <w:r w:rsidR="00550275">
        <w:rPr>
          <w:rFonts w:eastAsia="Batang"/>
          <w:szCs w:val="20"/>
        </w:rPr>
        <w:t xml:space="preserve"> degree </w:t>
      </w:r>
      <w:r w:rsidR="00C63FCB">
        <w:rPr>
          <w:rFonts w:eastAsia="Batang"/>
          <w:szCs w:val="20"/>
        </w:rPr>
        <w:t xml:space="preserve">majoring </w:t>
      </w:r>
      <w:r w:rsidR="00550275">
        <w:rPr>
          <w:rFonts w:eastAsia="Batang"/>
          <w:szCs w:val="20"/>
        </w:rPr>
        <w:t xml:space="preserve">in </w:t>
      </w:r>
      <w:r w:rsidR="00C63FCB">
        <w:rPr>
          <w:rFonts w:eastAsia="Batang"/>
          <w:szCs w:val="20"/>
        </w:rPr>
        <w:t>l</w:t>
      </w:r>
      <w:r w:rsidR="00550275">
        <w:rPr>
          <w:rFonts w:eastAsia="Batang"/>
          <w:szCs w:val="20"/>
        </w:rPr>
        <w:t xml:space="preserve">aw and </w:t>
      </w:r>
      <w:r w:rsidR="00C63FCB">
        <w:rPr>
          <w:rFonts w:eastAsia="Batang"/>
          <w:szCs w:val="20"/>
        </w:rPr>
        <w:t>e</w:t>
      </w:r>
      <w:r w:rsidR="00550275">
        <w:rPr>
          <w:rFonts w:eastAsia="Batang"/>
          <w:szCs w:val="20"/>
        </w:rPr>
        <w:t xml:space="preserve">conomics </w:t>
      </w:r>
      <w:r w:rsidR="00C63FCB">
        <w:rPr>
          <w:rFonts w:eastAsia="Batang"/>
          <w:szCs w:val="20"/>
        </w:rPr>
        <w:t>and also holds a law degree from the L</w:t>
      </w:r>
      <w:r w:rsidR="00550275">
        <w:rPr>
          <w:rFonts w:eastAsia="Batang"/>
          <w:szCs w:val="20"/>
        </w:rPr>
        <w:t>ondon School of Economics</w:t>
      </w:r>
      <w:r w:rsidR="00C63FCB">
        <w:rPr>
          <w:rFonts w:eastAsia="Batang"/>
          <w:szCs w:val="20"/>
        </w:rPr>
        <w:t xml:space="preserve">. </w:t>
      </w:r>
    </w:p>
    <w:bookmarkEnd w:id="132"/>
    <w:p w:rsidR="00155EB7" w:rsidP="00155EB7" w:rsidRDefault="00155EB7" w14:paraId="199AFA5C" w14:textId="3D8CCD50">
      <w:pPr>
        <w:pStyle w:val="BodyText"/>
        <w:rPr>
          <w:rFonts w:eastAsia="Batang"/>
          <w:szCs w:val="20"/>
        </w:rPr>
      </w:pPr>
    </w:p>
    <w:p w:rsidRPr="00DE5D68" w:rsidR="00242D40" w:rsidP="00565AD4" w:rsidRDefault="00F9129E" w14:paraId="4D374B98" w14:textId="3377F7F1">
      <w:pPr>
        <w:pStyle w:val="Heading1"/>
        <w:numPr>
          <w:ilvl w:val="0"/>
          <w:numId w:val="39"/>
        </w:numPr>
        <w:tabs>
          <w:tab w:val="clear" w:pos="1134"/>
        </w:tabs>
        <w:ind w:left="709" w:hanging="709"/>
        <w:rPr>
          <w:rFonts w:cs="Arial"/>
          <w:caps w:val="0"/>
        </w:rPr>
      </w:pPr>
      <w:bookmarkStart w:name="_DV_M483" w:id="133"/>
      <w:bookmarkStart w:name="_DV_M484" w:id="134"/>
      <w:bookmarkEnd w:id="133"/>
      <w:bookmarkEnd w:id="134"/>
      <w:r>
        <w:rPr>
          <w:rFonts w:cs="Arial"/>
          <w:caps w:val="0"/>
        </w:rPr>
        <w:lastRenderedPageBreak/>
        <w:t>THE</w:t>
      </w:r>
      <w:r w:rsidRPr="00DE5D68" w:rsidR="00242D40">
        <w:rPr>
          <w:rFonts w:cs="Arial"/>
          <w:caps w:val="0"/>
        </w:rPr>
        <w:t xml:space="preserve"> INVESTMENT MANAGER</w:t>
      </w:r>
    </w:p>
    <w:p w:rsidR="00C13CE3" w:rsidP="00BA27FE" w:rsidRDefault="001411AB" w14:paraId="710E7F5B" w14:textId="28F272BE">
      <w:pPr>
        <w:rPr>
          <w:rFonts w:cs="Arial"/>
          <w:bCs/>
          <w:iCs/>
        </w:rPr>
      </w:pPr>
      <w:r w:rsidRPr="001411AB">
        <w:rPr>
          <w:rFonts w:cs="Arial"/>
          <w:bCs/>
          <w:iCs/>
        </w:rPr>
        <w:t xml:space="preserve">The Company has appointed Harwood </w:t>
      </w:r>
      <w:r>
        <w:rPr>
          <w:rFonts w:cs="Arial"/>
          <w:bCs/>
          <w:iCs/>
        </w:rPr>
        <w:t>Capita</w:t>
      </w:r>
      <w:r w:rsidR="005B78A8">
        <w:rPr>
          <w:rFonts w:cs="Arial"/>
          <w:bCs/>
          <w:iCs/>
        </w:rPr>
        <w:t>l Management (Gibraltar) Limited</w:t>
      </w:r>
      <w:r>
        <w:rPr>
          <w:rFonts w:cs="Arial"/>
          <w:bCs/>
          <w:iCs/>
        </w:rPr>
        <w:t xml:space="preserve"> </w:t>
      </w:r>
      <w:r w:rsidRPr="001411AB">
        <w:rPr>
          <w:rFonts w:cs="Arial"/>
          <w:bCs/>
          <w:iCs/>
        </w:rPr>
        <w:t xml:space="preserve">as the Company's alternative investment fund manager to provide portfolio management and risk management services to it pursuant to the Investment Management Agreement (details of which are set out below and in paragraph </w:t>
      </w:r>
      <w:r w:rsidR="00381DAD">
        <w:rPr>
          <w:rFonts w:cs="Arial"/>
          <w:bCs/>
          <w:iCs/>
        </w:rPr>
        <w:fldChar w:fldCharType="begin" w:fldLock="1"/>
      </w:r>
      <w:r w:rsidR="00381DAD">
        <w:rPr>
          <w:rFonts w:cs="Arial"/>
          <w:bCs/>
          <w:iCs/>
        </w:rPr>
        <w:instrText xml:space="preserve"> REF _Ref65762500 \r \h </w:instrText>
      </w:r>
      <w:r w:rsidR="00381DAD">
        <w:rPr>
          <w:rFonts w:cs="Arial"/>
          <w:bCs/>
          <w:iCs/>
        </w:rPr>
      </w:r>
      <w:r w:rsidR="00381DAD">
        <w:rPr>
          <w:rFonts w:cs="Arial"/>
          <w:bCs/>
          <w:iCs/>
        </w:rPr>
        <w:fldChar w:fldCharType="separate"/>
      </w:r>
      <w:r w:rsidR="00DA4048">
        <w:rPr>
          <w:rFonts w:cs="Arial"/>
          <w:bCs/>
          <w:iCs/>
        </w:rPr>
        <w:t>6.2</w:t>
      </w:r>
      <w:r w:rsidR="00381DAD">
        <w:rPr>
          <w:rFonts w:cs="Arial"/>
          <w:bCs/>
          <w:iCs/>
        </w:rPr>
        <w:fldChar w:fldCharType="end"/>
      </w:r>
      <w:r w:rsidR="00381DAD">
        <w:rPr>
          <w:rFonts w:cs="Arial"/>
          <w:bCs/>
          <w:iCs/>
        </w:rPr>
        <w:t xml:space="preserve"> </w:t>
      </w:r>
      <w:r w:rsidRPr="001411AB">
        <w:rPr>
          <w:rFonts w:cs="Arial"/>
          <w:bCs/>
          <w:iCs/>
        </w:rPr>
        <w:t xml:space="preserve">of Part </w:t>
      </w:r>
      <w:r w:rsidR="0002645D">
        <w:rPr>
          <w:rFonts w:cs="Arial"/>
          <w:bCs/>
          <w:iCs/>
        </w:rPr>
        <w:t>6</w:t>
      </w:r>
      <w:r w:rsidRPr="001411AB">
        <w:rPr>
          <w:rFonts w:cs="Arial"/>
          <w:bCs/>
          <w:iCs/>
        </w:rPr>
        <w:t xml:space="preserve"> (</w:t>
      </w:r>
      <w:r w:rsidR="00233B14">
        <w:rPr>
          <w:rFonts w:cs="Arial"/>
          <w:bCs/>
          <w:i/>
          <w:iCs/>
        </w:rPr>
        <w:t>General</w:t>
      </w:r>
      <w:r w:rsidRPr="001411AB">
        <w:rPr>
          <w:rFonts w:cs="Arial"/>
          <w:bCs/>
          <w:i/>
          <w:iCs/>
        </w:rPr>
        <w:t xml:space="preserve"> Information</w:t>
      </w:r>
      <w:r w:rsidRPr="001411AB">
        <w:rPr>
          <w:rFonts w:cs="Arial"/>
          <w:bCs/>
          <w:iCs/>
        </w:rPr>
        <w:t>) of this document).</w:t>
      </w:r>
      <w:r w:rsidR="000432FC">
        <w:rPr>
          <w:rFonts w:cs="Arial"/>
          <w:bCs/>
          <w:iCs/>
        </w:rPr>
        <w:t xml:space="preserve"> The Investment Manager is a member of the Harwood Capital Management Group. </w:t>
      </w:r>
    </w:p>
    <w:p w:rsidR="001411AB" w:rsidP="001411AB" w:rsidRDefault="001411AB" w14:paraId="65D71282" w14:textId="5B1D5B84">
      <w:pPr>
        <w:rPr>
          <w:rFonts w:cstheme="minorHAnsi"/>
        </w:rPr>
      </w:pPr>
      <w:r w:rsidRPr="00546FEB">
        <w:rPr>
          <w:rFonts w:cstheme="minorHAnsi"/>
        </w:rPr>
        <w:t xml:space="preserve">The </w:t>
      </w:r>
      <w:r w:rsidR="0002645D">
        <w:rPr>
          <w:rFonts w:cstheme="minorHAnsi"/>
        </w:rPr>
        <w:t>key investment professional</w:t>
      </w:r>
      <w:r w:rsidR="00524A7C">
        <w:rPr>
          <w:rFonts w:cstheme="minorHAnsi"/>
        </w:rPr>
        <w:t>s</w:t>
      </w:r>
      <w:r w:rsidRPr="00546FEB">
        <w:rPr>
          <w:rFonts w:cstheme="minorHAnsi"/>
        </w:rPr>
        <w:t xml:space="preserve"> of the Investment Manager who </w:t>
      </w:r>
      <w:r w:rsidR="0002645D">
        <w:rPr>
          <w:rFonts w:cstheme="minorHAnsi"/>
        </w:rPr>
        <w:t>will be</w:t>
      </w:r>
      <w:r w:rsidRPr="00546FEB">
        <w:rPr>
          <w:rFonts w:cstheme="minorHAnsi"/>
        </w:rPr>
        <w:t xml:space="preserve"> involved with the provision of investment management services to the Company </w:t>
      </w:r>
      <w:r>
        <w:rPr>
          <w:rFonts w:cstheme="minorHAnsi"/>
        </w:rPr>
        <w:t>are Christopher Mills and Robert Naylor.</w:t>
      </w:r>
    </w:p>
    <w:p w:rsidRPr="00EE3ACA" w:rsidR="001411AB" w:rsidP="001411AB" w:rsidRDefault="001411AB" w14:paraId="6D60D11C" w14:textId="70207A53">
      <w:pPr>
        <w:rPr>
          <w:rFonts w:cstheme="minorHAnsi"/>
          <w:b/>
          <w:bCs/>
          <w:i/>
          <w:iCs/>
        </w:rPr>
      </w:pPr>
      <w:r w:rsidRPr="00EE3ACA">
        <w:rPr>
          <w:rFonts w:cstheme="minorHAnsi"/>
          <w:b/>
          <w:bCs/>
          <w:i/>
          <w:iCs/>
        </w:rPr>
        <w:t>Christopher Mills - Advisory Group Member and CIO Harwood Capital</w:t>
      </w:r>
      <w:r w:rsidRPr="00EE3ACA" w:rsidR="0002645D">
        <w:rPr>
          <w:rFonts w:cstheme="minorHAnsi"/>
          <w:b/>
          <w:bCs/>
          <w:i/>
          <w:iCs/>
        </w:rPr>
        <w:t xml:space="preserve"> </w:t>
      </w:r>
      <w:r w:rsidR="00F1182F">
        <w:rPr>
          <w:rFonts w:cstheme="minorHAnsi"/>
          <w:b/>
          <w:bCs/>
          <w:i/>
          <w:iCs/>
        </w:rPr>
        <w:t xml:space="preserve">Management </w:t>
      </w:r>
      <w:r w:rsidRPr="00EE3ACA" w:rsidR="0002645D">
        <w:rPr>
          <w:rFonts w:cstheme="minorHAnsi"/>
          <w:b/>
          <w:bCs/>
          <w:i/>
          <w:iCs/>
        </w:rPr>
        <w:t>Group</w:t>
      </w:r>
    </w:p>
    <w:p w:rsidR="001411AB" w:rsidP="00BA27FE" w:rsidRDefault="001411AB" w14:paraId="569BCF2C" w14:textId="3E891E4F">
      <w:pPr>
        <w:rPr>
          <w:rFonts w:cstheme="minorHAnsi"/>
        </w:rPr>
      </w:pPr>
      <w:r w:rsidRPr="000717C9">
        <w:rPr>
          <w:rFonts w:cstheme="minorHAnsi"/>
        </w:rPr>
        <w:t xml:space="preserve">Christopher Mills </w:t>
      </w:r>
      <w:r>
        <w:rPr>
          <w:rFonts w:cstheme="minorHAnsi"/>
        </w:rPr>
        <w:t xml:space="preserve">has 50 </w:t>
      </w:r>
      <w:r w:rsidRPr="000717C9">
        <w:rPr>
          <w:rFonts w:cstheme="minorHAnsi"/>
        </w:rPr>
        <w:t>years</w:t>
      </w:r>
      <w:r w:rsidR="00524A7C">
        <w:rPr>
          <w:rFonts w:cstheme="minorHAnsi"/>
        </w:rPr>
        <w:t>'</w:t>
      </w:r>
      <w:r w:rsidRPr="000717C9">
        <w:rPr>
          <w:rFonts w:cstheme="minorHAnsi"/>
        </w:rPr>
        <w:t xml:space="preserve"> investment experience</w:t>
      </w:r>
      <w:r w:rsidR="0002645D">
        <w:rPr>
          <w:rFonts w:cstheme="minorHAnsi"/>
        </w:rPr>
        <w:t xml:space="preserve"> and is</w:t>
      </w:r>
      <w:r w:rsidRPr="000717C9">
        <w:rPr>
          <w:rFonts w:cstheme="minorHAnsi"/>
        </w:rPr>
        <w:t xml:space="preserve"> Chief Executive Officer and principal shareholder of Harwood Capital Management</w:t>
      </w:r>
      <w:r w:rsidR="00AF023F">
        <w:rPr>
          <w:rFonts w:cstheme="minorHAnsi"/>
        </w:rPr>
        <w:t xml:space="preserve"> Limited, the holding company of the Harwood Capital Management Group,</w:t>
      </w:r>
      <w:r w:rsidRPr="000717C9">
        <w:rPr>
          <w:rFonts w:cstheme="minorHAnsi"/>
        </w:rPr>
        <w:t xml:space="preserve"> since 2011. He founded JO Hambro Capital Management with Jamie Hambro in 1993 acting as Chief Investment Officer and Harwood Wealth with Alan Durant in 2013 until their respective sales in 2011 and 2020. He is CEO of North Atlantic Smaller Companies Investment Trust </w:t>
      </w:r>
      <w:r>
        <w:rPr>
          <w:rFonts w:cstheme="minorHAnsi"/>
        </w:rPr>
        <w:t xml:space="preserve">plc </w:t>
      </w:r>
      <w:r w:rsidRPr="000717C9">
        <w:rPr>
          <w:rFonts w:cstheme="minorHAnsi"/>
        </w:rPr>
        <w:t>(</w:t>
      </w:r>
      <w:r w:rsidR="0002645D">
        <w:rPr>
          <w:rFonts w:cstheme="minorHAnsi"/>
        </w:rPr>
        <w:t>"</w:t>
      </w:r>
      <w:r w:rsidRPr="0002645D">
        <w:rPr>
          <w:rFonts w:cstheme="minorHAnsi"/>
          <w:b/>
          <w:bCs/>
        </w:rPr>
        <w:t>NASCIT</w:t>
      </w:r>
      <w:r w:rsidR="0002645D">
        <w:rPr>
          <w:rFonts w:cstheme="minorHAnsi"/>
        </w:rPr>
        <w:t>"</w:t>
      </w:r>
      <w:r w:rsidRPr="000717C9">
        <w:rPr>
          <w:rFonts w:cstheme="minorHAnsi"/>
        </w:rPr>
        <w:t xml:space="preserve">) which he has managed since 1982 and Executive Director of Oryx International Growth Fund which he has managed since 1995. NASCIT has delivered a total </w:t>
      </w:r>
      <w:r w:rsidR="0002645D">
        <w:rPr>
          <w:rFonts w:cstheme="minorHAnsi"/>
        </w:rPr>
        <w:t>net asset value</w:t>
      </w:r>
      <w:r w:rsidRPr="000717C9">
        <w:rPr>
          <w:rFonts w:cstheme="minorHAnsi"/>
        </w:rPr>
        <w:t xml:space="preserve"> per share </w:t>
      </w:r>
      <w:r w:rsidR="0002645D">
        <w:rPr>
          <w:rFonts w:cstheme="minorHAnsi"/>
        </w:rPr>
        <w:t xml:space="preserve">return </w:t>
      </w:r>
      <w:r w:rsidRPr="000717C9">
        <w:rPr>
          <w:rFonts w:cstheme="minorHAnsi"/>
        </w:rPr>
        <w:t xml:space="preserve">of nearly 200x under Mr Mills’ management. He has sat on the Board of over 100 companies during his career including Augean, MJ Gleeson, Ten Entertainment, </w:t>
      </w:r>
      <w:proofErr w:type="spellStart"/>
      <w:r w:rsidRPr="000717C9">
        <w:rPr>
          <w:rFonts w:cstheme="minorHAnsi"/>
        </w:rPr>
        <w:t>SureServe</w:t>
      </w:r>
      <w:proofErr w:type="spellEnd"/>
      <w:r w:rsidRPr="000717C9">
        <w:rPr>
          <w:rFonts w:cstheme="minorHAnsi"/>
        </w:rPr>
        <w:t xml:space="preserve">, Frenkel Topping and is currently Chairman of EKF Diagnostics and </w:t>
      </w:r>
      <w:proofErr w:type="spellStart"/>
      <w:r w:rsidRPr="000717C9">
        <w:rPr>
          <w:rFonts w:cstheme="minorHAnsi"/>
        </w:rPr>
        <w:t>Renalytix</w:t>
      </w:r>
      <w:proofErr w:type="spellEnd"/>
      <w:r w:rsidRPr="000717C9">
        <w:rPr>
          <w:rFonts w:cstheme="minorHAnsi"/>
        </w:rPr>
        <w:t xml:space="preserve"> Plc.</w:t>
      </w:r>
      <w:r>
        <w:rPr>
          <w:rFonts w:cstheme="minorHAnsi"/>
        </w:rPr>
        <w:t xml:space="preserve"> </w:t>
      </w:r>
    </w:p>
    <w:p w:rsidRPr="00E65F2D" w:rsidR="00F1182F" w:rsidP="00F1182F" w:rsidRDefault="00F1182F" w14:paraId="37077900" w14:textId="5119D59E">
      <w:pPr>
        <w:keepNext/>
        <w:rPr>
          <w:rFonts w:cs="Arial"/>
          <w:b/>
          <w:i/>
        </w:rPr>
      </w:pPr>
      <w:bookmarkStart w:name="_Hlk190179869" w:id="135"/>
      <w:r>
        <w:rPr>
          <w:rFonts w:cs="Arial"/>
          <w:b/>
          <w:i/>
        </w:rPr>
        <w:t>Robert Naylor</w:t>
      </w:r>
      <w:r w:rsidRPr="00DE5D68">
        <w:rPr>
          <w:rFonts w:cs="Arial"/>
          <w:b/>
          <w:i/>
        </w:rPr>
        <w:t xml:space="preserve"> </w:t>
      </w:r>
      <w:r>
        <w:rPr>
          <w:rFonts w:cs="Arial"/>
          <w:b/>
          <w:i/>
        </w:rPr>
        <w:t xml:space="preserve">– </w:t>
      </w:r>
      <w:r w:rsidR="00296CEA">
        <w:rPr>
          <w:rFonts w:cs="Arial"/>
          <w:b/>
          <w:i/>
        </w:rPr>
        <w:t xml:space="preserve">Lead </w:t>
      </w:r>
      <w:r w:rsidR="00C80142">
        <w:rPr>
          <w:rFonts w:cs="Arial"/>
          <w:b/>
          <w:i/>
        </w:rPr>
        <w:t>Investment</w:t>
      </w:r>
      <w:r w:rsidR="00296CEA">
        <w:rPr>
          <w:rFonts w:cs="Arial"/>
          <w:b/>
          <w:i/>
        </w:rPr>
        <w:t xml:space="preserve"> Manager</w:t>
      </w:r>
    </w:p>
    <w:p w:rsidRPr="00C43333" w:rsidR="00F1182F" w:rsidP="00F1182F" w:rsidRDefault="00F1182F" w14:paraId="34B9C420" w14:textId="4B9C5D2D">
      <w:pPr>
        <w:spacing w:after="0"/>
        <w:rPr>
          <w:rFonts w:cstheme="minorHAnsi"/>
        </w:rPr>
      </w:pPr>
      <w:r w:rsidRPr="00C43333">
        <w:rPr>
          <w:rFonts w:cstheme="minorHAnsi"/>
        </w:rPr>
        <w:t xml:space="preserve">Robert has 29 </w:t>
      </w:r>
      <w:r w:rsidRPr="004E1C2A">
        <w:rPr>
          <w:rFonts w:cstheme="minorHAnsi"/>
        </w:rPr>
        <w:t>years</w:t>
      </w:r>
      <w:r>
        <w:rPr>
          <w:rFonts w:cstheme="minorHAnsi"/>
        </w:rPr>
        <w:t xml:space="preserve"> of</w:t>
      </w:r>
      <w:r w:rsidRPr="004E1C2A">
        <w:rPr>
          <w:rFonts w:cstheme="minorHAnsi"/>
        </w:rPr>
        <w:t xml:space="preserve"> experience</w:t>
      </w:r>
      <w:r w:rsidRPr="00C43333">
        <w:rPr>
          <w:rFonts w:cstheme="minorHAnsi"/>
        </w:rPr>
        <w:t xml:space="preserve"> in capital markets, specialising in both </w:t>
      </w:r>
      <w:r>
        <w:rPr>
          <w:rFonts w:cstheme="minorHAnsi"/>
        </w:rPr>
        <w:t xml:space="preserve">the </w:t>
      </w:r>
      <w:r w:rsidRPr="00C43333">
        <w:rPr>
          <w:rFonts w:cstheme="minorHAnsi"/>
        </w:rPr>
        <w:t xml:space="preserve">life sciences and investment companies sectors. Robert is currently CEO and Co-Founder of Intuitive Investments Group plc, a London Stock Exchange Specialist Fund Segment investment company providing investors with exposure to fast growing technology and life sciences businesses. Robert is also Non-Executive Director of NIOX Group PLC, a company dedicated to improving asthma diagnosis and management, </w:t>
      </w:r>
      <w:proofErr w:type="spellStart"/>
      <w:r w:rsidRPr="00B52FAF">
        <w:rPr>
          <w:rFonts w:cstheme="minorHAnsi"/>
        </w:rPr>
        <w:t>Renalytix</w:t>
      </w:r>
      <w:proofErr w:type="spellEnd"/>
      <w:r w:rsidRPr="00B52FAF">
        <w:rPr>
          <w:rFonts w:cstheme="minorHAnsi"/>
        </w:rPr>
        <w:t xml:space="preserve"> PLC, which is commercialising the only FDA-approved and Medicare reimbursed prognostic test to support early-stage risk assessment for chronic kidney disease</w:t>
      </w:r>
      <w:r>
        <w:rPr>
          <w:rFonts w:cstheme="minorHAnsi"/>
        </w:rPr>
        <w:t>,</w:t>
      </w:r>
      <w:r w:rsidRPr="00B52FAF">
        <w:rPr>
          <w:rFonts w:cstheme="minorHAnsi"/>
        </w:rPr>
        <w:t xml:space="preserve"> </w:t>
      </w:r>
      <w:r w:rsidRPr="00C43333">
        <w:rPr>
          <w:rFonts w:cstheme="minorHAnsi"/>
        </w:rPr>
        <w:t xml:space="preserve">and </w:t>
      </w:r>
      <w:r>
        <w:rPr>
          <w:rFonts w:cstheme="minorHAnsi"/>
        </w:rPr>
        <w:t xml:space="preserve">The </w:t>
      </w:r>
      <w:r w:rsidRPr="00C43333">
        <w:rPr>
          <w:rFonts w:cstheme="minorHAnsi"/>
        </w:rPr>
        <w:t xml:space="preserve">PRS REIT plc, a FTSE 250 closed-ended real estate investment company which invests in high-quality, new build, family homes in the private rented sector. </w:t>
      </w:r>
    </w:p>
    <w:p w:rsidRPr="00C43333" w:rsidR="00F1182F" w:rsidP="00F1182F" w:rsidRDefault="00F1182F" w14:paraId="55A5D245" w14:textId="77777777">
      <w:pPr>
        <w:spacing w:after="0"/>
        <w:rPr>
          <w:rFonts w:cstheme="minorHAnsi"/>
        </w:rPr>
      </w:pPr>
    </w:p>
    <w:p w:rsidR="00F1182F" w:rsidP="00F1182F" w:rsidRDefault="00F1182F" w14:paraId="0572DAB0" w14:textId="223C34EE">
      <w:pPr>
        <w:spacing w:after="0"/>
        <w:rPr>
          <w:rFonts w:cstheme="minorHAnsi"/>
        </w:rPr>
      </w:pPr>
      <w:r w:rsidRPr="00C43333">
        <w:rPr>
          <w:rFonts w:cstheme="minorHAnsi"/>
        </w:rPr>
        <w:t xml:space="preserve">Previously Robert was </w:t>
      </w:r>
      <w:r>
        <w:rPr>
          <w:rFonts w:cstheme="minorHAnsi"/>
        </w:rPr>
        <w:t>c</w:t>
      </w:r>
      <w:r w:rsidRPr="00C43333">
        <w:rPr>
          <w:rFonts w:cstheme="minorHAnsi"/>
        </w:rPr>
        <w:t xml:space="preserve">hairman of Hipgnosis Songs Fund Limited, a FTSE 250 company, which was subject to a recommended cash offer by a </w:t>
      </w:r>
      <w:r w:rsidRPr="004E1C2A">
        <w:rPr>
          <w:rFonts w:cstheme="minorHAnsi"/>
        </w:rPr>
        <w:t>newly formed</w:t>
      </w:r>
      <w:r w:rsidRPr="00C43333">
        <w:rPr>
          <w:rFonts w:cstheme="minorHAnsi"/>
        </w:rPr>
        <w:t xml:space="preserve"> company indirectly wholly owned by investment funds advised by affiliates of Blackstone Inc. Robert was </w:t>
      </w:r>
      <w:r>
        <w:rPr>
          <w:rFonts w:cstheme="minorHAnsi"/>
        </w:rPr>
        <w:t>also c</w:t>
      </w:r>
      <w:r w:rsidRPr="00C43333">
        <w:rPr>
          <w:rFonts w:cstheme="minorHAnsi"/>
        </w:rPr>
        <w:t>hairman of Round Hill Music Royalty Fund Limited and oversaw its sale</w:t>
      </w:r>
      <w:r>
        <w:rPr>
          <w:rFonts w:cstheme="minorHAnsi"/>
        </w:rPr>
        <w:t>, via a recommended cash offer</w:t>
      </w:r>
      <w:r w:rsidRPr="00C43333">
        <w:rPr>
          <w:rFonts w:cstheme="minorHAnsi"/>
        </w:rPr>
        <w:t xml:space="preserve"> to a company directly owned by Alchemy Copyrights, LLC, trading as Concord. Earlier in his career Robert held various positions within JP Morgan Asset Management Limited, </w:t>
      </w:r>
      <w:proofErr w:type="spellStart"/>
      <w:r w:rsidRPr="00C43333">
        <w:rPr>
          <w:rFonts w:cstheme="minorHAnsi"/>
        </w:rPr>
        <w:t>Panmure</w:t>
      </w:r>
      <w:proofErr w:type="spellEnd"/>
      <w:r w:rsidRPr="00C43333">
        <w:rPr>
          <w:rFonts w:cstheme="minorHAnsi"/>
        </w:rPr>
        <w:t xml:space="preserve"> Gordon (UK) Limited and Cenkos Securities plc. Robert is a qualified chartered accountant, having started his career with Ernst &amp; Young in 1996.</w:t>
      </w:r>
    </w:p>
    <w:bookmarkEnd w:id="135"/>
    <w:p w:rsidRPr="00F1182F" w:rsidR="00F1182F" w:rsidP="00F1182F" w:rsidRDefault="00F1182F" w14:paraId="4DF94F27" w14:textId="77777777">
      <w:pPr>
        <w:spacing w:after="0"/>
        <w:rPr>
          <w:rFonts w:cstheme="minorHAnsi"/>
        </w:rPr>
      </w:pPr>
    </w:p>
    <w:p w:rsidRPr="00DE5D68" w:rsidR="00242D40" w:rsidP="00C27D12" w:rsidRDefault="009A3657" w14:paraId="36CCA16A" w14:textId="6901CF19">
      <w:pPr>
        <w:keepNext/>
        <w:rPr>
          <w:rFonts w:cs="Arial"/>
          <w:b/>
          <w:i/>
        </w:rPr>
      </w:pPr>
      <w:r>
        <w:rPr>
          <w:rFonts w:cs="Arial"/>
          <w:b/>
          <w:i/>
        </w:rPr>
        <w:t>The Investment Management</w:t>
      </w:r>
      <w:r w:rsidRPr="00DE5D68" w:rsidR="00242D40">
        <w:rPr>
          <w:rFonts w:cs="Arial"/>
          <w:b/>
          <w:i/>
        </w:rPr>
        <w:t xml:space="preserve"> Agreement</w:t>
      </w:r>
    </w:p>
    <w:p w:rsidRPr="00DE5D68" w:rsidR="00242D40" w:rsidP="00C27D12" w:rsidRDefault="00242D40" w14:paraId="6359329A" w14:textId="026A64D7">
      <w:pPr>
        <w:rPr>
          <w:rFonts w:cs="Arial"/>
        </w:rPr>
      </w:pPr>
      <w:r w:rsidRPr="00DE5D68">
        <w:rPr>
          <w:rFonts w:cs="Arial"/>
        </w:rPr>
        <w:t xml:space="preserve">The Company and the Investment Manager have entered into </w:t>
      </w:r>
      <w:r w:rsidRPr="00DE5D68" w:rsidR="00FF758E">
        <w:rPr>
          <w:rFonts w:cs="Arial"/>
        </w:rPr>
        <w:t xml:space="preserve">the </w:t>
      </w:r>
      <w:r w:rsidR="009A3657">
        <w:rPr>
          <w:rFonts w:cs="Arial"/>
        </w:rPr>
        <w:t>Investment Management</w:t>
      </w:r>
      <w:r w:rsidRPr="00DE5D68">
        <w:rPr>
          <w:rFonts w:cs="Arial"/>
        </w:rPr>
        <w:t xml:space="preserve"> Agreement, a summary of which is set out at paragraph </w:t>
      </w:r>
      <w:r w:rsidR="00577D1F">
        <w:rPr>
          <w:rFonts w:cs="Arial"/>
        </w:rPr>
        <w:fldChar w:fldCharType="begin" w:fldLock="1"/>
      </w:r>
      <w:r w:rsidR="00577D1F">
        <w:rPr>
          <w:rFonts w:cs="Arial"/>
        </w:rPr>
        <w:instrText xml:space="preserve"> REF _Ref65762500 \r \h </w:instrText>
      </w:r>
      <w:r w:rsidR="00577D1F">
        <w:rPr>
          <w:rFonts w:cs="Arial"/>
        </w:rPr>
      </w:r>
      <w:r w:rsidR="00577D1F">
        <w:rPr>
          <w:rFonts w:cs="Arial"/>
        </w:rPr>
        <w:fldChar w:fldCharType="separate"/>
      </w:r>
      <w:r w:rsidR="00DA4048">
        <w:rPr>
          <w:rFonts w:cs="Arial"/>
        </w:rPr>
        <w:t>6.2</w:t>
      </w:r>
      <w:r w:rsidR="00577D1F">
        <w:rPr>
          <w:rFonts w:cs="Arial"/>
        </w:rPr>
        <w:fldChar w:fldCharType="end"/>
      </w:r>
      <w:r w:rsidRPr="00DE5D68" w:rsidR="0037406A">
        <w:rPr>
          <w:rFonts w:cs="Arial"/>
        </w:rPr>
        <w:t xml:space="preserve"> </w:t>
      </w:r>
      <w:r w:rsidRPr="00DE5D68">
        <w:rPr>
          <w:rFonts w:cs="Arial"/>
        </w:rPr>
        <w:t xml:space="preserve">of </w:t>
      </w:r>
      <w:r w:rsidR="00577D1F">
        <w:rPr>
          <w:rFonts w:cs="Arial"/>
        </w:rPr>
        <w:fldChar w:fldCharType="begin" w:fldLock="1"/>
      </w:r>
      <w:r w:rsidR="00577D1F">
        <w:rPr>
          <w:rFonts w:cs="Arial"/>
        </w:rPr>
        <w:instrText xml:space="preserve"> REF _Ref65762141 \r \h </w:instrText>
      </w:r>
      <w:r w:rsidR="00577D1F">
        <w:rPr>
          <w:rFonts w:cs="Arial"/>
        </w:rPr>
      </w:r>
      <w:r w:rsidR="00577D1F">
        <w:rPr>
          <w:rFonts w:cs="Arial"/>
        </w:rPr>
        <w:fldChar w:fldCharType="separate"/>
      </w:r>
      <w:r w:rsidR="00DA4048">
        <w:rPr>
          <w:rFonts w:cs="Arial"/>
        </w:rPr>
        <w:t>Part 6</w:t>
      </w:r>
      <w:r w:rsidR="00577D1F">
        <w:rPr>
          <w:rFonts w:cs="Arial"/>
        </w:rPr>
        <w:fldChar w:fldCharType="end"/>
      </w:r>
      <w:r w:rsidRPr="00DE5D68" w:rsidR="0037406A">
        <w:rPr>
          <w:rFonts w:cs="Arial"/>
        </w:rPr>
        <w:t xml:space="preserve"> </w:t>
      </w:r>
      <w:r w:rsidRPr="00DE5D68">
        <w:rPr>
          <w:rFonts w:cs="Arial"/>
        </w:rPr>
        <w:t xml:space="preserve">of this document. </w:t>
      </w:r>
    </w:p>
    <w:p w:rsidR="003C3122" w:rsidP="00C27D12" w:rsidRDefault="003C3122" w14:paraId="2DCEBFDB" w14:textId="4B39873A">
      <w:pPr>
        <w:rPr>
          <w:rFonts w:cs="Arial"/>
        </w:rPr>
      </w:pPr>
      <w:r w:rsidRPr="00DE5D68">
        <w:rPr>
          <w:rFonts w:cs="Arial"/>
        </w:rPr>
        <w:t xml:space="preserve">Details of the </w:t>
      </w:r>
      <w:r w:rsidR="001411AB">
        <w:rPr>
          <w:rFonts w:cs="Arial"/>
        </w:rPr>
        <w:t xml:space="preserve">Management Fee and </w:t>
      </w:r>
      <w:r w:rsidRPr="00DE5D68" w:rsidR="0037406A">
        <w:rPr>
          <w:rFonts w:cs="Arial"/>
        </w:rPr>
        <w:t>P</w:t>
      </w:r>
      <w:r w:rsidRPr="00DE5D68">
        <w:rPr>
          <w:rFonts w:cs="Arial"/>
        </w:rPr>
        <w:t xml:space="preserve">erformance </w:t>
      </w:r>
      <w:r w:rsidRPr="00DE5D68" w:rsidR="0037406A">
        <w:rPr>
          <w:rFonts w:cs="Arial"/>
        </w:rPr>
        <w:t>F</w:t>
      </w:r>
      <w:r w:rsidRPr="00DE5D68">
        <w:rPr>
          <w:rFonts w:cs="Arial"/>
        </w:rPr>
        <w:t xml:space="preserve">ee </w:t>
      </w:r>
      <w:r w:rsidR="001411AB">
        <w:rPr>
          <w:rFonts w:cs="Arial"/>
        </w:rPr>
        <w:t xml:space="preserve">payable to the Investment Manager </w:t>
      </w:r>
      <w:r w:rsidRPr="00DE5D68">
        <w:rPr>
          <w:rFonts w:cs="Arial"/>
        </w:rPr>
        <w:t xml:space="preserve">and </w:t>
      </w:r>
      <w:r w:rsidR="001411AB">
        <w:rPr>
          <w:rFonts w:cs="Arial"/>
        </w:rPr>
        <w:t>their</w:t>
      </w:r>
      <w:r w:rsidRPr="00DE5D68">
        <w:rPr>
          <w:rFonts w:cs="Arial"/>
        </w:rPr>
        <w:t xml:space="preserve"> method of calculation are set out at paragraph </w:t>
      </w:r>
      <w:r w:rsidR="00577D1F">
        <w:rPr>
          <w:rFonts w:cs="Arial"/>
        </w:rPr>
        <w:fldChar w:fldCharType="begin" w:fldLock="1"/>
      </w:r>
      <w:r w:rsidR="00577D1F">
        <w:rPr>
          <w:rFonts w:cs="Arial"/>
        </w:rPr>
        <w:instrText xml:space="preserve"> REF _Ref65762500 \r \h </w:instrText>
      </w:r>
      <w:r w:rsidR="00577D1F">
        <w:rPr>
          <w:rFonts w:cs="Arial"/>
        </w:rPr>
      </w:r>
      <w:r w:rsidR="00577D1F">
        <w:rPr>
          <w:rFonts w:cs="Arial"/>
        </w:rPr>
        <w:fldChar w:fldCharType="separate"/>
      </w:r>
      <w:r w:rsidR="00DA4048">
        <w:rPr>
          <w:rFonts w:cs="Arial"/>
        </w:rPr>
        <w:t>6.2</w:t>
      </w:r>
      <w:r w:rsidR="00577D1F">
        <w:rPr>
          <w:rFonts w:cs="Arial"/>
        </w:rPr>
        <w:fldChar w:fldCharType="end"/>
      </w:r>
      <w:r w:rsidRPr="00DE5D68" w:rsidR="0037406A">
        <w:rPr>
          <w:rFonts w:cs="Arial"/>
        </w:rPr>
        <w:t xml:space="preserve"> </w:t>
      </w:r>
      <w:r w:rsidRPr="00DE5D68">
        <w:rPr>
          <w:rFonts w:cs="Arial"/>
        </w:rPr>
        <w:t xml:space="preserve">of </w:t>
      </w:r>
      <w:r w:rsidR="00577D1F">
        <w:rPr>
          <w:rFonts w:cs="Arial"/>
        </w:rPr>
        <w:fldChar w:fldCharType="begin" w:fldLock="1"/>
      </w:r>
      <w:r w:rsidR="00577D1F">
        <w:rPr>
          <w:rFonts w:cs="Arial"/>
        </w:rPr>
        <w:instrText xml:space="preserve"> REF _Ref65762141 \r \h </w:instrText>
      </w:r>
      <w:r w:rsidR="00577D1F">
        <w:rPr>
          <w:rFonts w:cs="Arial"/>
        </w:rPr>
      </w:r>
      <w:r w:rsidR="00577D1F">
        <w:rPr>
          <w:rFonts w:cs="Arial"/>
        </w:rPr>
        <w:fldChar w:fldCharType="separate"/>
      </w:r>
      <w:r w:rsidR="00DA4048">
        <w:rPr>
          <w:rFonts w:cs="Arial"/>
        </w:rPr>
        <w:t>Part 6</w:t>
      </w:r>
      <w:r w:rsidR="00577D1F">
        <w:rPr>
          <w:rFonts w:cs="Arial"/>
        </w:rPr>
        <w:fldChar w:fldCharType="end"/>
      </w:r>
      <w:r w:rsidRPr="00DE5D68" w:rsidR="0037406A">
        <w:rPr>
          <w:rFonts w:cs="Arial"/>
        </w:rPr>
        <w:t xml:space="preserve"> </w:t>
      </w:r>
      <w:r w:rsidRPr="00DE5D68">
        <w:rPr>
          <w:rFonts w:cs="Arial"/>
        </w:rPr>
        <w:t>of this document.</w:t>
      </w:r>
    </w:p>
    <w:p w:rsidRPr="00DE5D68" w:rsidR="00A5141C" w:rsidP="00C27D12" w:rsidRDefault="009A3657" w14:paraId="19580308" w14:textId="0D004F53">
      <w:pPr>
        <w:rPr>
          <w:rFonts w:cs="Arial"/>
        </w:rPr>
      </w:pPr>
      <w:r>
        <w:rPr>
          <w:rFonts w:cs="Arial" w:eastAsiaTheme="minorHAnsi"/>
          <w:lang w:eastAsia="en-US"/>
        </w:rPr>
        <w:t>The Investment Management</w:t>
      </w:r>
      <w:r w:rsidRPr="00DE5D68" w:rsidR="00242D40">
        <w:rPr>
          <w:rFonts w:cs="Arial" w:eastAsiaTheme="minorHAnsi"/>
          <w:lang w:eastAsia="en-US"/>
        </w:rPr>
        <w:t xml:space="preserve"> Agreement is subject to termination on not less than </w:t>
      </w:r>
      <w:r w:rsidR="001411AB">
        <w:rPr>
          <w:rFonts w:cs="Arial" w:eastAsiaTheme="minorHAnsi"/>
          <w:lang w:eastAsia="en-US"/>
        </w:rPr>
        <w:t>6</w:t>
      </w:r>
      <w:r w:rsidRPr="00DE5D68" w:rsidR="00242D40">
        <w:rPr>
          <w:rFonts w:cs="Arial" w:eastAsiaTheme="minorHAnsi"/>
          <w:lang w:eastAsia="en-US"/>
        </w:rPr>
        <w:t xml:space="preserve"> months' written notice by either party</w:t>
      </w:r>
      <w:r w:rsidR="0002645D">
        <w:rPr>
          <w:rFonts w:cs="Arial" w:eastAsiaTheme="minorHAnsi"/>
          <w:lang w:eastAsia="en-US"/>
        </w:rPr>
        <w:t xml:space="preserve"> (not to be served before the first anniversary of </w:t>
      </w:r>
      <w:r w:rsidR="00054653">
        <w:rPr>
          <w:rFonts w:cs="Arial" w:eastAsiaTheme="minorHAnsi"/>
          <w:lang w:eastAsia="en-US"/>
        </w:rPr>
        <w:t xml:space="preserve">Initial </w:t>
      </w:r>
      <w:r w:rsidR="0002645D">
        <w:rPr>
          <w:rFonts w:cs="Arial" w:eastAsiaTheme="minorHAnsi"/>
          <w:lang w:eastAsia="en-US"/>
        </w:rPr>
        <w:t>Admission) and may in addition be terminat</w:t>
      </w:r>
      <w:r w:rsidR="00524A7C">
        <w:rPr>
          <w:rFonts w:cs="Arial" w:eastAsiaTheme="minorHAnsi"/>
          <w:lang w:eastAsia="en-US"/>
        </w:rPr>
        <w:t>ed</w:t>
      </w:r>
      <w:r w:rsidR="0002645D">
        <w:rPr>
          <w:rFonts w:cs="Arial" w:eastAsiaTheme="minorHAnsi"/>
          <w:lang w:eastAsia="en-US"/>
        </w:rPr>
        <w:t xml:space="preserve"> immediately in certain circumstances, </w:t>
      </w:r>
      <w:r w:rsidRPr="00DE5D68" w:rsidR="0002645D">
        <w:rPr>
          <w:rFonts w:cs="Arial"/>
        </w:rPr>
        <w:t xml:space="preserve">a summary of which is set out at paragraph </w:t>
      </w:r>
      <w:r w:rsidR="0002645D">
        <w:rPr>
          <w:rFonts w:cs="Arial"/>
        </w:rPr>
        <w:fldChar w:fldCharType="begin" w:fldLock="1"/>
      </w:r>
      <w:r w:rsidR="0002645D">
        <w:rPr>
          <w:rFonts w:cs="Arial"/>
        </w:rPr>
        <w:instrText xml:space="preserve"> REF _Ref65762500 \r \h </w:instrText>
      </w:r>
      <w:r w:rsidR="0002645D">
        <w:rPr>
          <w:rFonts w:cs="Arial"/>
        </w:rPr>
      </w:r>
      <w:r w:rsidR="0002645D">
        <w:rPr>
          <w:rFonts w:cs="Arial"/>
        </w:rPr>
        <w:fldChar w:fldCharType="separate"/>
      </w:r>
      <w:r w:rsidR="00DA4048">
        <w:rPr>
          <w:rFonts w:cs="Arial"/>
        </w:rPr>
        <w:t>6.2</w:t>
      </w:r>
      <w:r w:rsidR="0002645D">
        <w:rPr>
          <w:rFonts w:cs="Arial"/>
        </w:rPr>
        <w:fldChar w:fldCharType="end"/>
      </w:r>
      <w:r w:rsidRPr="00DE5D68" w:rsidR="0002645D">
        <w:rPr>
          <w:rFonts w:cs="Arial"/>
        </w:rPr>
        <w:t xml:space="preserve"> of </w:t>
      </w:r>
      <w:r w:rsidR="0002645D">
        <w:rPr>
          <w:rFonts w:cs="Arial"/>
        </w:rPr>
        <w:fldChar w:fldCharType="begin" w:fldLock="1"/>
      </w:r>
      <w:r w:rsidR="0002645D">
        <w:rPr>
          <w:rFonts w:cs="Arial"/>
        </w:rPr>
        <w:instrText xml:space="preserve"> REF _Ref65762141 \r \h </w:instrText>
      </w:r>
      <w:r w:rsidR="0002645D">
        <w:rPr>
          <w:rFonts w:cs="Arial"/>
        </w:rPr>
      </w:r>
      <w:r w:rsidR="0002645D">
        <w:rPr>
          <w:rFonts w:cs="Arial"/>
        </w:rPr>
        <w:fldChar w:fldCharType="separate"/>
      </w:r>
      <w:r w:rsidR="00DA4048">
        <w:rPr>
          <w:rFonts w:cs="Arial"/>
        </w:rPr>
        <w:t>Part 6</w:t>
      </w:r>
      <w:r w:rsidR="0002645D">
        <w:rPr>
          <w:rFonts w:cs="Arial"/>
        </w:rPr>
        <w:fldChar w:fldCharType="end"/>
      </w:r>
      <w:r w:rsidRPr="00DE5D68" w:rsidR="0002645D">
        <w:rPr>
          <w:rFonts w:cs="Arial"/>
        </w:rPr>
        <w:t xml:space="preserve"> of this document</w:t>
      </w:r>
      <w:r w:rsidRPr="00DE5D68" w:rsidR="00242D40">
        <w:rPr>
          <w:rFonts w:cs="Arial" w:eastAsiaTheme="minorHAnsi"/>
          <w:lang w:eastAsia="en-US"/>
        </w:rPr>
        <w:t xml:space="preserve">. </w:t>
      </w:r>
      <w:r w:rsidRPr="00DE5D68" w:rsidR="005D2D5C">
        <w:rPr>
          <w:rFonts w:cs="Arial" w:eastAsiaTheme="minorHAnsi"/>
          <w:lang w:eastAsia="en-US"/>
        </w:rPr>
        <w:t xml:space="preserve"> </w:t>
      </w:r>
    </w:p>
    <w:p w:rsidRPr="00DE5D68" w:rsidR="00310D91" w:rsidP="00565AD4" w:rsidRDefault="00310D91" w14:paraId="49A9B26D" w14:textId="50F727BC">
      <w:pPr>
        <w:pStyle w:val="Heading1"/>
        <w:numPr>
          <w:ilvl w:val="0"/>
          <w:numId w:val="39"/>
        </w:numPr>
        <w:tabs>
          <w:tab w:val="clear" w:pos="1134"/>
        </w:tabs>
        <w:ind w:left="709" w:hanging="709"/>
        <w:rPr>
          <w:rFonts w:cs="Arial"/>
          <w:caps w:val="0"/>
        </w:rPr>
      </w:pPr>
      <w:bookmarkStart w:name="_Toc480839430" w:id="136"/>
      <w:bookmarkStart w:name="_Toc480839494" w:id="137"/>
      <w:bookmarkStart w:name="_Toc481993846" w:id="138"/>
      <w:bookmarkStart w:name="_Toc481994201" w:id="139"/>
      <w:bookmarkStart w:name="_Toc482002681" w:id="140"/>
      <w:bookmarkStart w:name="_Toc482089484" w:id="141"/>
      <w:bookmarkStart w:name="_Toc482089976" w:id="142"/>
      <w:bookmarkStart w:name="_Toc482090469" w:id="143"/>
      <w:bookmarkStart w:name="_Toc482093192" w:id="144"/>
      <w:bookmarkStart w:name="_Toc482104924" w:id="145"/>
      <w:bookmarkStart w:name="_Toc482112387" w:id="146"/>
      <w:bookmarkStart w:name="_Toc482115392" w:id="147"/>
      <w:bookmarkStart w:name="_Toc482118282" w:id="148"/>
      <w:bookmarkStart w:name="_Toc492910858" w:id="149"/>
      <w:r w:rsidRPr="00DE5D68">
        <w:rPr>
          <w:rFonts w:cs="Arial"/>
          <w:caps w:val="0"/>
        </w:rPr>
        <w:t>OTHER ARRANGEMENTS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Pr="00DE5D68" w:rsidR="00310D91" w:rsidP="00C27D12" w:rsidRDefault="00B536EC" w14:paraId="0E2ECD27" w14:textId="5F9B7FB9">
      <w:pPr>
        <w:pStyle w:val="Heading2"/>
        <w:keepNext/>
        <w:rPr>
          <w:rFonts w:cs="Arial"/>
          <w:b/>
        </w:rPr>
      </w:pPr>
      <w:bookmarkStart w:name="_Ref65763658" w:id="150"/>
      <w:r w:rsidRPr="00DE5D68">
        <w:rPr>
          <w:rFonts w:cs="Arial"/>
          <w:b/>
        </w:rPr>
        <w:t>Administrator</w:t>
      </w:r>
      <w:bookmarkEnd w:id="150"/>
      <w:r w:rsidR="001411AB">
        <w:rPr>
          <w:rFonts w:cs="Arial"/>
          <w:b/>
        </w:rPr>
        <w:t xml:space="preserve"> and Company Secretary</w:t>
      </w:r>
    </w:p>
    <w:p w:rsidR="00716E7D" w:rsidP="00824CF6" w:rsidRDefault="002267BD" w14:paraId="1B47D394" w14:textId="566F62CF">
      <w:pPr>
        <w:spacing w:after="0"/>
        <w:ind w:left="709"/>
        <w:rPr>
          <w:rFonts w:cs="Arial"/>
        </w:rPr>
      </w:pPr>
      <w:bookmarkStart w:name="_Hlk188904786" w:id="151"/>
      <w:r>
        <w:rPr>
          <w:rFonts w:cs="Arial"/>
          <w:spacing w:val="6"/>
        </w:rPr>
        <w:t>NSM Funds Limited</w:t>
      </w:r>
      <w:r w:rsidR="00613AAF">
        <w:rPr>
          <w:rFonts w:cs="Arial"/>
        </w:rPr>
        <w:t xml:space="preserve"> </w:t>
      </w:r>
      <w:r w:rsidRPr="00DE5D68" w:rsidR="00846B86">
        <w:rPr>
          <w:rFonts w:cs="Arial"/>
        </w:rPr>
        <w:t xml:space="preserve">has been appointed as </w:t>
      </w:r>
      <w:r w:rsidR="006522BA">
        <w:rPr>
          <w:rFonts w:cs="Arial"/>
        </w:rPr>
        <w:t>a</w:t>
      </w:r>
      <w:r w:rsidRPr="00DE5D68" w:rsidR="000C0D70">
        <w:rPr>
          <w:rFonts w:cs="Arial"/>
        </w:rPr>
        <w:t>dministrator</w:t>
      </w:r>
      <w:r w:rsidRPr="00DE5D68" w:rsidR="00846B86">
        <w:rPr>
          <w:rFonts w:cs="Arial"/>
        </w:rPr>
        <w:t xml:space="preserve"> and </w:t>
      </w:r>
      <w:r w:rsidR="006522BA">
        <w:rPr>
          <w:rFonts w:cs="Arial"/>
        </w:rPr>
        <w:t>c</w:t>
      </w:r>
      <w:r w:rsidR="006B1EEB">
        <w:rPr>
          <w:rFonts w:cs="Arial"/>
        </w:rPr>
        <w:t xml:space="preserve">ompany </w:t>
      </w:r>
      <w:r w:rsidR="006522BA">
        <w:rPr>
          <w:rFonts w:cs="Arial"/>
        </w:rPr>
        <w:t>s</w:t>
      </w:r>
      <w:r w:rsidR="006B1EEB">
        <w:rPr>
          <w:rFonts w:cs="Arial"/>
        </w:rPr>
        <w:t>ecretary</w:t>
      </w:r>
      <w:r w:rsidRPr="00DE5D68" w:rsidR="00846B86">
        <w:rPr>
          <w:rFonts w:cs="Arial"/>
        </w:rPr>
        <w:t xml:space="preserve"> of the Company pursuant to the Administration </w:t>
      </w:r>
      <w:r w:rsidR="006522BA">
        <w:rPr>
          <w:rFonts w:cs="Arial"/>
        </w:rPr>
        <w:t xml:space="preserve">and Secretarial </w:t>
      </w:r>
      <w:r w:rsidRPr="00DE5D68" w:rsidR="00846B86">
        <w:rPr>
          <w:rFonts w:cs="Arial"/>
        </w:rPr>
        <w:t xml:space="preserve">Agreement, further details of which are set out in </w:t>
      </w:r>
      <w:r w:rsidRPr="00DE5D68" w:rsidR="00846B86">
        <w:rPr>
          <w:rFonts w:cs="Arial"/>
        </w:rPr>
        <w:lastRenderedPageBreak/>
        <w:t xml:space="preserve">paragraph </w:t>
      </w:r>
      <w:r w:rsidR="00C91FE3">
        <w:rPr>
          <w:rFonts w:cs="Arial"/>
        </w:rPr>
        <w:fldChar w:fldCharType="begin" w:fldLock="1"/>
      </w:r>
      <w:r w:rsidR="00C91FE3">
        <w:rPr>
          <w:rFonts w:cs="Arial"/>
        </w:rPr>
        <w:instrText xml:space="preserve"> REF _Ref65763719 \r \h </w:instrText>
      </w:r>
      <w:r w:rsidR="00C91FE3">
        <w:rPr>
          <w:rFonts w:cs="Arial"/>
        </w:rPr>
      </w:r>
      <w:r w:rsidR="00C91FE3">
        <w:rPr>
          <w:rFonts w:cs="Arial"/>
        </w:rPr>
        <w:fldChar w:fldCharType="separate"/>
      </w:r>
      <w:r w:rsidR="00DA4048">
        <w:rPr>
          <w:rFonts w:cs="Arial"/>
        </w:rPr>
        <w:t>6.3</w:t>
      </w:r>
      <w:r w:rsidR="00C91FE3">
        <w:rPr>
          <w:rFonts w:cs="Arial"/>
        </w:rPr>
        <w:fldChar w:fldCharType="end"/>
      </w:r>
      <w:r w:rsidRPr="00DE5D68" w:rsidR="00B103AB">
        <w:rPr>
          <w:rFonts w:cs="Arial"/>
        </w:rPr>
        <w:t xml:space="preserve"> </w:t>
      </w:r>
      <w:r w:rsidRPr="00DE5D68" w:rsidR="00846B86">
        <w:rPr>
          <w:rFonts w:cs="Arial"/>
        </w:rPr>
        <w:t xml:space="preserve">in </w:t>
      </w:r>
      <w:r w:rsidR="00577D1F">
        <w:rPr>
          <w:rFonts w:cs="Arial"/>
        </w:rPr>
        <w:fldChar w:fldCharType="begin" w:fldLock="1"/>
      </w:r>
      <w:r w:rsidR="00577D1F">
        <w:rPr>
          <w:rFonts w:cs="Arial"/>
        </w:rPr>
        <w:instrText xml:space="preserve"> REF _Ref65762141 \r \h </w:instrText>
      </w:r>
      <w:r w:rsidR="00577D1F">
        <w:rPr>
          <w:rFonts w:cs="Arial"/>
        </w:rPr>
      </w:r>
      <w:r w:rsidR="00577D1F">
        <w:rPr>
          <w:rFonts w:cs="Arial"/>
        </w:rPr>
        <w:fldChar w:fldCharType="separate"/>
      </w:r>
      <w:r w:rsidR="00DA4048">
        <w:rPr>
          <w:rFonts w:cs="Arial"/>
        </w:rPr>
        <w:t>Part 6</w:t>
      </w:r>
      <w:r w:rsidR="00577D1F">
        <w:rPr>
          <w:rFonts w:cs="Arial"/>
        </w:rPr>
        <w:fldChar w:fldCharType="end"/>
      </w:r>
      <w:r w:rsidRPr="00DE5D68" w:rsidR="00846B86">
        <w:rPr>
          <w:rFonts w:cs="Arial"/>
        </w:rPr>
        <w:t xml:space="preserve"> of this document. The Administrator will be responsible for the </w:t>
      </w:r>
      <w:r w:rsidRPr="00DE5D68" w:rsidR="00402E9D">
        <w:rPr>
          <w:rFonts w:cs="Arial"/>
        </w:rPr>
        <w:t>day-to-day</w:t>
      </w:r>
      <w:r w:rsidRPr="00DE5D68" w:rsidR="00846B86">
        <w:rPr>
          <w:rFonts w:cs="Arial"/>
        </w:rPr>
        <w:t xml:space="preserve"> administration of the Company (including but not limited to the maintenance of the Company’s fund accounting records and the calculation and publ</w:t>
      </w:r>
      <w:r w:rsidR="00716E7D">
        <w:rPr>
          <w:rFonts w:cs="Arial"/>
        </w:rPr>
        <w:t xml:space="preserve">ication of the </w:t>
      </w:r>
      <w:r w:rsidR="00524A7C">
        <w:rPr>
          <w:rFonts w:cs="Arial"/>
        </w:rPr>
        <w:t>monthly</w:t>
      </w:r>
      <w:r w:rsidRPr="00DE5D68" w:rsidR="00846B86">
        <w:rPr>
          <w:rFonts w:cs="Arial"/>
        </w:rPr>
        <w:t xml:space="preserve"> Net Asset Value)</w:t>
      </w:r>
      <w:r w:rsidR="006B1EEB">
        <w:rPr>
          <w:rFonts w:cs="Arial"/>
        </w:rPr>
        <w:t xml:space="preserve"> and the provision of company secretarial services to the Company</w:t>
      </w:r>
      <w:r w:rsidRPr="00DE5D68" w:rsidR="00846B86">
        <w:rPr>
          <w:rFonts w:cs="Arial"/>
        </w:rPr>
        <w:t xml:space="preserve">. </w:t>
      </w:r>
    </w:p>
    <w:p w:rsidR="00613AAF" w:rsidP="00613AAF" w:rsidRDefault="00613AAF" w14:paraId="5C42E3EF" w14:textId="77777777">
      <w:pPr>
        <w:spacing w:after="0"/>
        <w:ind w:left="709"/>
        <w:jc w:val="left"/>
        <w:rPr>
          <w:rFonts w:cs="Arial"/>
        </w:rPr>
      </w:pPr>
    </w:p>
    <w:p w:rsidR="00716E7D" w:rsidP="00C27D12" w:rsidRDefault="00846B86" w14:paraId="144814AD" w14:textId="77777777">
      <w:pPr>
        <w:autoSpaceDE w:val="0"/>
        <w:autoSpaceDN w:val="0"/>
        <w:adjustRightInd w:val="0"/>
        <w:ind w:left="709"/>
        <w:rPr>
          <w:rFonts w:cs="Arial"/>
        </w:rPr>
      </w:pPr>
      <w:r w:rsidRPr="00DE5D68">
        <w:rPr>
          <w:rFonts w:cs="Arial"/>
        </w:rPr>
        <w:t>Prospective investors should note that it is not possible for the Administrator to provide any investment advice to investors.</w:t>
      </w:r>
      <w:r w:rsidR="00225161">
        <w:rPr>
          <w:rFonts w:cs="Arial"/>
        </w:rPr>
        <w:t xml:space="preserve">  </w:t>
      </w:r>
    </w:p>
    <w:p w:rsidR="00846B86" w:rsidP="00C27D12" w:rsidRDefault="00E83AB8" w14:paraId="15E08E7A" w14:textId="2233C7FB">
      <w:pPr>
        <w:autoSpaceDE w:val="0"/>
        <w:autoSpaceDN w:val="0"/>
        <w:adjustRightInd w:val="0"/>
        <w:ind w:left="709"/>
        <w:rPr>
          <w:rFonts w:cs="Arial"/>
          <w:szCs w:val="20"/>
        </w:rPr>
      </w:pPr>
      <w:r w:rsidRPr="00E83AB8">
        <w:rPr>
          <w:rFonts w:cs="Arial"/>
          <w:szCs w:val="20"/>
        </w:rPr>
        <w:t>The Administrator is entitled to</w:t>
      </w:r>
      <w:r w:rsidR="00716E7D">
        <w:rPr>
          <w:rFonts w:cs="Arial"/>
          <w:szCs w:val="20"/>
        </w:rPr>
        <w:t xml:space="preserve"> </w:t>
      </w:r>
      <w:r w:rsidR="00BA2EA9">
        <w:rPr>
          <w:rFonts w:cs="Arial"/>
          <w:szCs w:val="20"/>
        </w:rPr>
        <w:t xml:space="preserve">an annual </w:t>
      </w:r>
      <w:r w:rsidR="006B1EEB">
        <w:rPr>
          <w:rFonts w:cs="Arial"/>
          <w:szCs w:val="20"/>
        </w:rPr>
        <w:t xml:space="preserve">fixed </w:t>
      </w:r>
      <w:r w:rsidR="00BA2EA9">
        <w:rPr>
          <w:rFonts w:cs="Arial"/>
          <w:szCs w:val="20"/>
        </w:rPr>
        <w:t>fee of £</w:t>
      </w:r>
      <w:r w:rsidR="006B1EEB">
        <w:rPr>
          <w:rFonts w:cs="Arial"/>
          <w:szCs w:val="20"/>
        </w:rPr>
        <w:t>80,000 (discounted to £75,000 for the first year</w:t>
      </w:r>
      <w:r w:rsidR="00574333">
        <w:rPr>
          <w:rFonts w:cs="Arial"/>
          <w:szCs w:val="20"/>
        </w:rPr>
        <w:t>)</w:t>
      </w:r>
      <w:r w:rsidR="006522BA">
        <w:rPr>
          <w:rFonts w:cs="Arial"/>
          <w:szCs w:val="20"/>
        </w:rPr>
        <w:t xml:space="preserve"> plus an </w:t>
      </w:r>
      <w:r w:rsidR="00BA2EA9">
        <w:rPr>
          <w:rFonts w:cs="Arial"/>
          <w:szCs w:val="20"/>
        </w:rPr>
        <w:t xml:space="preserve">ad valorem fee of </w:t>
      </w:r>
      <w:r w:rsidR="006522BA">
        <w:rPr>
          <w:rFonts w:cs="Arial"/>
          <w:szCs w:val="20"/>
        </w:rPr>
        <w:t>0.04</w:t>
      </w:r>
      <w:r w:rsidR="00DD3075">
        <w:rPr>
          <w:rFonts w:cs="Arial"/>
          <w:szCs w:val="20"/>
        </w:rPr>
        <w:t xml:space="preserve"> per cent.</w:t>
      </w:r>
      <w:r w:rsidR="006522BA">
        <w:rPr>
          <w:rFonts w:cs="Arial"/>
          <w:szCs w:val="20"/>
        </w:rPr>
        <w:t xml:space="preserve"> of the Company's Net Asset Value </w:t>
      </w:r>
      <w:r w:rsidR="00EB3121">
        <w:rPr>
          <w:rFonts w:cs="Arial"/>
          <w:szCs w:val="20"/>
        </w:rPr>
        <w:t>above</w:t>
      </w:r>
      <w:r w:rsidR="006522BA">
        <w:rPr>
          <w:rFonts w:cs="Arial"/>
          <w:szCs w:val="20"/>
        </w:rPr>
        <w:t xml:space="preserve"> £150,000,000</w:t>
      </w:r>
      <w:r w:rsidR="00BA2EA9">
        <w:rPr>
          <w:rFonts w:cs="Arial"/>
          <w:szCs w:val="20"/>
        </w:rPr>
        <w:t xml:space="preserve"> in respect of </w:t>
      </w:r>
      <w:r w:rsidR="00DD3075">
        <w:rPr>
          <w:rFonts w:cs="Arial"/>
          <w:szCs w:val="20"/>
        </w:rPr>
        <w:t>the provision of administration, accounting and company secretarial services to the Company</w:t>
      </w:r>
      <w:r w:rsidR="00BA2EA9">
        <w:rPr>
          <w:rFonts w:cs="Arial"/>
          <w:szCs w:val="20"/>
        </w:rPr>
        <w:t xml:space="preserve">. </w:t>
      </w:r>
      <w:r w:rsidRPr="00E83AB8">
        <w:rPr>
          <w:rFonts w:cs="Arial"/>
          <w:szCs w:val="20"/>
        </w:rPr>
        <w:t xml:space="preserve">In addition, the Administrator is entitled to </w:t>
      </w:r>
      <w:r w:rsidR="00EB3121">
        <w:rPr>
          <w:rFonts w:cs="Arial"/>
          <w:szCs w:val="20"/>
        </w:rPr>
        <w:t xml:space="preserve">an initial onboarding fee of £10,000 and to </w:t>
      </w:r>
      <w:r w:rsidRPr="00E83AB8">
        <w:rPr>
          <w:rFonts w:cs="Arial"/>
          <w:szCs w:val="20"/>
        </w:rPr>
        <w:t>certain other fees for ad hoc services rendered from time to time</w:t>
      </w:r>
      <w:r w:rsidR="00DD3075">
        <w:rPr>
          <w:rFonts w:cs="Arial"/>
          <w:szCs w:val="20"/>
        </w:rPr>
        <w:t xml:space="preserve">, as well as reimbursement of all reasonable out of pocket expenses properly incurred in the performance its services.  </w:t>
      </w:r>
    </w:p>
    <w:p w:rsidR="000824A8" w:rsidP="00A92BC0" w:rsidRDefault="00BE78C6" w14:paraId="144A76DC" w14:textId="77777777">
      <w:pPr>
        <w:autoSpaceDE w:val="0"/>
        <w:autoSpaceDN w:val="0"/>
        <w:adjustRightInd w:val="0"/>
        <w:ind w:left="709"/>
        <w:rPr>
          <w:rFonts w:cs="Arial"/>
          <w:szCs w:val="20"/>
        </w:rPr>
      </w:pPr>
      <w:r>
        <w:rPr>
          <w:rFonts w:cs="Arial"/>
          <w:szCs w:val="20"/>
        </w:rPr>
        <w:t xml:space="preserve">The Administrator is a non-cellular company limited by shares incorporated in Guernsey on 29 December 2021, with registered number </w:t>
      </w:r>
      <w:bookmarkStart w:name="_Hlk189669715" w:id="152"/>
      <w:r>
        <w:rPr>
          <w:rFonts w:cs="Arial"/>
          <w:szCs w:val="20"/>
        </w:rPr>
        <w:t xml:space="preserve">70167 </w:t>
      </w:r>
      <w:bookmarkEnd w:id="152"/>
      <w:r>
        <w:rPr>
          <w:rFonts w:cs="Arial"/>
          <w:szCs w:val="20"/>
        </w:rPr>
        <w:t xml:space="preserve">and is licensed by the GFSC under the provisions of the POI Law to carry on Controlled Investment Business. The Administrator for the purpose of the POI Law and the RCIS Rules, is the "designated administrator" of the Company. </w:t>
      </w:r>
    </w:p>
    <w:p w:rsidR="00A92BC0" w:rsidP="00A92BC0" w:rsidRDefault="00BE78C6" w14:paraId="64D7C4FC" w14:textId="292F3D2C">
      <w:pPr>
        <w:autoSpaceDE w:val="0"/>
        <w:autoSpaceDN w:val="0"/>
        <w:adjustRightInd w:val="0"/>
        <w:ind w:left="709"/>
        <w:rPr>
          <w:rFonts w:cs="Arial"/>
        </w:rPr>
      </w:pPr>
      <w:bookmarkStart w:name="_Hlk190874228" w:id="153"/>
      <w:r w:rsidRPr="00BD4B52">
        <w:rPr>
          <w:rFonts w:cs="Arial"/>
        </w:rPr>
        <w:t>The Administrator is a wholly-owned subsidiary of NSM Fund Holdings Limited, which is part of the NSM Group of Companies. NSM is an independent financial services group, headquartered in Guernsey, providing fund, corporate and private client services. Apart from NSM Fund Holdings Limited, no person has significant beneficial ownership in the Administrator.</w:t>
      </w:r>
      <w:r w:rsidDel="00BE78C6">
        <w:rPr>
          <w:rFonts w:cs="Arial"/>
        </w:rPr>
        <w:t xml:space="preserve"> </w:t>
      </w:r>
    </w:p>
    <w:bookmarkEnd w:id="151"/>
    <w:bookmarkEnd w:id="153"/>
    <w:p w:rsidRPr="0060708F" w:rsidR="0060708F" w:rsidP="0060708F" w:rsidRDefault="0060708F" w14:paraId="297B5DB6" w14:textId="34BC36FB">
      <w:pPr>
        <w:autoSpaceDE w:val="0"/>
        <w:autoSpaceDN w:val="0"/>
        <w:adjustRightInd w:val="0"/>
        <w:ind w:left="709"/>
        <w:rPr>
          <w:rFonts w:cs="Arial"/>
          <w:szCs w:val="20"/>
        </w:rPr>
      </w:pPr>
      <w:r w:rsidRPr="00DE5D68">
        <w:rPr>
          <w:rFonts w:cs="Arial"/>
          <w:szCs w:val="20"/>
        </w:rPr>
        <w:t xml:space="preserve">Details of the </w:t>
      </w:r>
      <w:r w:rsidR="00824CF6">
        <w:rPr>
          <w:rFonts w:cs="Arial"/>
          <w:szCs w:val="20"/>
        </w:rPr>
        <w:t>Administration</w:t>
      </w:r>
      <w:r w:rsidRPr="00DE5D68">
        <w:rPr>
          <w:rFonts w:cs="Arial"/>
          <w:szCs w:val="20"/>
        </w:rPr>
        <w:t xml:space="preserve"> </w:t>
      </w:r>
      <w:r w:rsidR="006522BA">
        <w:rPr>
          <w:rFonts w:cs="Arial"/>
          <w:szCs w:val="20"/>
        </w:rPr>
        <w:t xml:space="preserve">and Secretarial </w:t>
      </w:r>
      <w:r w:rsidRPr="00DE5D68">
        <w:rPr>
          <w:rFonts w:cs="Arial"/>
          <w:szCs w:val="20"/>
        </w:rPr>
        <w:t xml:space="preserve">Agreement are set out in paragraph </w:t>
      </w:r>
      <w:r w:rsidR="004A0F09">
        <w:rPr>
          <w:rFonts w:cs="Arial"/>
        </w:rPr>
        <w:t>6.</w:t>
      </w:r>
      <w:r w:rsidR="0058738D">
        <w:rPr>
          <w:rFonts w:cs="Arial"/>
        </w:rPr>
        <w:t>3</w:t>
      </w:r>
      <w:r w:rsidRPr="00DE5D68">
        <w:rPr>
          <w:rFonts w:cs="Arial"/>
        </w:rPr>
        <w:t xml:space="preserve"> </w:t>
      </w:r>
      <w:r w:rsidRPr="00DE5D68">
        <w:rPr>
          <w:rFonts w:cs="Arial"/>
          <w:szCs w:val="20"/>
        </w:rPr>
        <w:t xml:space="preserve">of </w:t>
      </w:r>
      <w:r>
        <w:rPr>
          <w:rFonts w:cs="Arial"/>
        </w:rPr>
        <w:fldChar w:fldCharType="begin" w:fldLock="1"/>
      </w:r>
      <w:r>
        <w:rPr>
          <w:rFonts w:cs="Arial"/>
        </w:rPr>
        <w:instrText xml:space="preserve"> REF _Ref65762141 \r \h </w:instrText>
      </w:r>
      <w:r>
        <w:rPr>
          <w:rFonts w:cs="Arial"/>
        </w:rPr>
      </w:r>
      <w:r>
        <w:rPr>
          <w:rFonts w:cs="Arial"/>
        </w:rPr>
        <w:fldChar w:fldCharType="separate"/>
      </w:r>
      <w:r w:rsidR="00DA4048">
        <w:rPr>
          <w:rFonts w:cs="Arial"/>
        </w:rPr>
        <w:t>Part 6</w:t>
      </w:r>
      <w:r>
        <w:rPr>
          <w:rFonts w:cs="Arial"/>
        </w:rPr>
        <w:fldChar w:fldCharType="end"/>
      </w:r>
      <w:r w:rsidRPr="00DE5D68">
        <w:rPr>
          <w:rFonts w:cs="Arial"/>
          <w:szCs w:val="20"/>
        </w:rPr>
        <w:t xml:space="preserve"> of this document. </w:t>
      </w:r>
    </w:p>
    <w:p w:rsidRPr="00DE5D68" w:rsidR="00F92957" w:rsidP="00C27D12" w:rsidRDefault="003C7BC9" w14:paraId="0AD6CC35" w14:textId="099B9B45">
      <w:pPr>
        <w:pStyle w:val="Heading2"/>
        <w:keepNext/>
        <w:rPr>
          <w:rFonts w:cs="Arial"/>
          <w:b/>
        </w:rPr>
      </w:pPr>
      <w:r>
        <w:rPr>
          <w:rFonts w:cs="Arial"/>
          <w:b/>
        </w:rPr>
        <w:t>Custodian</w:t>
      </w:r>
    </w:p>
    <w:p w:rsidRPr="00A12F16" w:rsidR="00A12F16" w:rsidP="00A12F16" w:rsidRDefault="00A12F16" w14:paraId="0A38137D" w14:textId="599185DB">
      <w:pPr>
        <w:ind w:left="709"/>
        <w:rPr>
          <w:rFonts w:cs="Arial"/>
        </w:rPr>
      </w:pPr>
      <w:r w:rsidRPr="00A12F16">
        <w:rPr>
          <w:rFonts w:cs="Arial"/>
        </w:rPr>
        <w:t>Butterfield Bank (Guernsey) Limited has been appointed pursuant</w:t>
      </w:r>
      <w:r>
        <w:rPr>
          <w:rFonts w:cs="Arial"/>
        </w:rPr>
        <w:t xml:space="preserve"> </w:t>
      </w:r>
      <w:r w:rsidRPr="00A12F16">
        <w:rPr>
          <w:rFonts w:cs="Arial"/>
        </w:rPr>
        <w:t>to the Custody Agreement, to act as custodian of the Company</w:t>
      </w:r>
      <w:r w:rsidR="00903C3A">
        <w:rPr>
          <w:rFonts w:cs="Arial"/>
        </w:rPr>
        <w:t>'</w:t>
      </w:r>
      <w:r w:rsidRPr="00A12F16">
        <w:rPr>
          <w:rFonts w:cs="Arial"/>
        </w:rPr>
        <w:t>s investments, cash and</w:t>
      </w:r>
      <w:r>
        <w:rPr>
          <w:rFonts w:cs="Arial"/>
        </w:rPr>
        <w:t xml:space="preserve"> </w:t>
      </w:r>
      <w:r w:rsidRPr="00A12F16">
        <w:rPr>
          <w:rFonts w:cs="Arial"/>
        </w:rPr>
        <w:t>other assets and to accept responsibility for the safe custody of the property of the Company which</w:t>
      </w:r>
      <w:r>
        <w:rPr>
          <w:rFonts w:cs="Arial"/>
        </w:rPr>
        <w:t xml:space="preserve"> </w:t>
      </w:r>
      <w:r w:rsidRPr="00A12F16">
        <w:rPr>
          <w:rFonts w:cs="Arial"/>
        </w:rPr>
        <w:t>is delivered to and accepted by the Custodian or any of its sub-custodians as and when such custody</w:t>
      </w:r>
      <w:r>
        <w:rPr>
          <w:rFonts w:cs="Arial"/>
        </w:rPr>
        <w:t xml:space="preserve"> </w:t>
      </w:r>
      <w:r w:rsidRPr="00A12F16">
        <w:rPr>
          <w:rFonts w:cs="Arial"/>
        </w:rPr>
        <w:t>services may be required. The Custodian has agreed to hold the investments of the Company on a</w:t>
      </w:r>
      <w:r>
        <w:rPr>
          <w:rFonts w:cs="Arial"/>
        </w:rPr>
        <w:t xml:space="preserve"> </w:t>
      </w:r>
      <w:r w:rsidRPr="00A12F16">
        <w:rPr>
          <w:rFonts w:cs="Arial"/>
        </w:rPr>
        <w:t>segregated basis from its own assets and, accordingly, the Company’s assets should not be available</w:t>
      </w:r>
      <w:r>
        <w:rPr>
          <w:rFonts w:cs="Arial"/>
        </w:rPr>
        <w:t xml:space="preserve"> </w:t>
      </w:r>
      <w:r w:rsidRPr="00A12F16">
        <w:rPr>
          <w:rFonts w:cs="Arial"/>
        </w:rPr>
        <w:t>to the creditors of the Custodian in the event of its insolvency.</w:t>
      </w:r>
    </w:p>
    <w:p w:rsidRPr="00A12F16" w:rsidR="00A12F16" w:rsidP="00A12F16" w:rsidRDefault="00A12F16" w14:paraId="3CEAB4C9" w14:textId="2AA25366">
      <w:pPr>
        <w:ind w:left="709"/>
        <w:rPr>
          <w:rFonts w:cs="Arial"/>
        </w:rPr>
      </w:pPr>
      <w:r w:rsidRPr="00A12F16">
        <w:rPr>
          <w:rFonts w:cs="Arial"/>
        </w:rPr>
        <w:t>Under the terms of the Custody Agreement, the Custodian receives a</w:t>
      </w:r>
      <w:r w:rsidR="00987C0E">
        <w:rPr>
          <w:rFonts w:cs="Arial"/>
        </w:rPr>
        <w:t>n annual custody fee equal to 0.04 per cent. of Net Asset Value (capped at £10,000 for the first 12 months)</w:t>
      </w:r>
      <w:r w:rsidRPr="00A12F16">
        <w:rPr>
          <w:rFonts w:cs="Arial"/>
        </w:rPr>
        <w:t>.</w:t>
      </w:r>
      <w:r w:rsidR="00987C0E">
        <w:rPr>
          <w:rFonts w:cs="Arial"/>
        </w:rPr>
        <w:t xml:space="preserve"> The custody fee is subject to review on an annual basis.</w:t>
      </w:r>
    </w:p>
    <w:p w:rsidRPr="00DE5D68" w:rsidR="00952FEF" w:rsidP="00C27D12" w:rsidRDefault="00952FEF" w14:paraId="72F46C3D" w14:textId="5096B36A">
      <w:pPr>
        <w:autoSpaceDE w:val="0"/>
        <w:autoSpaceDN w:val="0"/>
        <w:adjustRightInd w:val="0"/>
        <w:ind w:left="709"/>
        <w:rPr>
          <w:rFonts w:cs="Arial"/>
        </w:rPr>
      </w:pPr>
      <w:r>
        <w:rPr>
          <w:rFonts w:cs="Arial"/>
          <w:szCs w:val="20"/>
        </w:rPr>
        <w:t>Details of the Custody</w:t>
      </w:r>
      <w:r w:rsidRPr="00DE5D68">
        <w:rPr>
          <w:rFonts w:cs="Arial"/>
          <w:szCs w:val="20"/>
        </w:rPr>
        <w:t xml:space="preserve"> Agreement are set out in paragraph </w:t>
      </w:r>
      <w:r w:rsidR="004A0F09">
        <w:rPr>
          <w:rFonts w:cs="Arial"/>
        </w:rPr>
        <w:t>6.</w:t>
      </w:r>
      <w:r w:rsidR="0058738D">
        <w:rPr>
          <w:rFonts w:cs="Arial"/>
        </w:rPr>
        <w:t>4</w:t>
      </w:r>
      <w:r w:rsidRPr="00DE5D68">
        <w:rPr>
          <w:rFonts w:cs="Arial"/>
        </w:rPr>
        <w:t xml:space="preserve"> </w:t>
      </w:r>
      <w:r w:rsidRPr="00DE5D68">
        <w:rPr>
          <w:rFonts w:cs="Arial"/>
          <w:szCs w:val="20"/>
        </w:rPr>
        <w:t xml:space="preserve">of </w:t>
      </w:r>
      <w:r>
        <w:rPr>
          <w:rFonts w:cs="Arial"/>
        </w:rPr>
        <w:fldChar w:fldCharType="begin" w:fldLock="1"/>
      </w:r>
      <w:r>
        <w:rPr>
          <w:rFonts w:cs="Arial"/>
        </w:rPr>
        <w:instrText xml:space="preserve"> REF _Ref65762141 \r \h </w:instrText>
      </w:r>
      <w:r>
        <w:rPr>
          <w:rFonts w:cs="Arial"/>
        </w:rPr>
      </w:r>
      <w:r>
        <w:rPr>
          <w:rFonts w:cs="Arial"/>
        </w:rPr>
        <w:fldChar w:fldCharType="separate"/>
      </w:r>
      <w:r w:rsidR="00DA4048">
        <w:rPr>
          <w:rFonts w:cs="Arial"/>
        </w:rPr>
        <w:t>Part 6</w:t>
      </w:r>
      <w:r>
        <w:rPr>
          <w:rFonts w:cs="Arial"/>
        </w:rPr>
        <w:fldChar w:fldCharType="end"/>
      </w:r>
      <w:r w:rsidRPr="00DE5D68">
        <w:rPr>
          <w:rFonts w:cs="Arial"/>
          <w:szCs w:val="20"/>
        </w:rPr>
        <w:t xml:space="preserve"> of this document.</w:t>
      </w:r>
    </w:p>
    <w:p w:rsidRPr="00DE5D68" w:rsidR="00310D91" w:rsidP="00C27D12" w:rsidRDefault="00310D91" w14:paraId="70F6CFCC" w14:textId="77777777">
      <w:pPr>
        <w:pStyle w:val="Heading2"/>
        <w:keepNext/>
        <w:tabs>
          <w:tab w:val="num" w:pos="1134"/>
        </w:tabs>
        <w:rPr>
          <w:rFonts w:cs="Arial"/>
          <w:b/>
        </w:rPr>
      </w:pPr>
      <w:r w:rsidRPr="00DE5D68">
        <w:rPr>
          <w:rFonts w:cs="Arial"/>
          <w:b/>
        </w:rPr>
        <w:t>Registrar</w:t>
      </w:r>
    </w:p>
    <w:p w:rsidRPr="003C7BC9" w:rsidR="003C7BC9" w:rsidP="003C7BC9" w:rsidRDefault="003C7BC9" w14:paraId="27FC0B90" w14:textId="6B1999F0">
      <w:pPr>
        <w:ind w:left="709"/>
        <w:rPr>
          <w:rFonts w:cs="Arial"/>
        </w:rPr>
      </w:pPr>
      <w:r w:rsidRPr="001B2FAF">
        <w:rPr>
          <w:rFonts w:cs="Arial"/>
        </w:rPr>
        <w:t xml:space="preserve">The Company </w:t>
      </w:r>
      <w:r w:rsidR="002B5690">
        <w:rPr>
          <w:rFonts w:cs="Arial"/>
        </w:rPr>
        <w:t>will utilise</w:t>
      </w:r>
      <w:r w:rsidRPr="001B2FAF" w:rsidR="002B5690">
        <w:rPr>
          <w:rFonts w:cs="Arial"/>
        </w:rPr>
        <w:t xml:space="preserve"> </w:t>
      </w:r>
      <w:r w:rsidRPr="001B2FAF">
        <w:rPr>
          <w:rFonts w:cs="Arial"/>
        </w:rPr>
        <w:t xml:space="preserve">the services </w:t>
      </w:r>
      <w:r w:rsidRPr="0080231E">
        <w:rPr>
          <w:rFonts w:cs="Arial"/>
        </w:rPr>
        <w:t xml:space="preserve">of </w:t>
      </w:r>
      <w:r w:rsidR="006B1EEB">
        <w:rPr>
          <w:rFonts w:cs="Arial"/>
          <w:szCs w:val="20"/>
        </w:rPr>
        <w:t>MUFG Corporate Markets (Guernsey) Limited</w:t>
      </w:r>
      <w:r w:rsidRPr="0080231E" w:rsidR="0080231E">
        <w:rPr>
          <w:rFonts w:cs="Arial"/>
        </w:rPr>
        <w:t xml:space="preserve"> </w:t>
      </w:r>
      <w:r w:rsidRPr="0080231E">
        <w:rPr>
          <w:rFonts w:cs="Arial"/>
        </w:rPr>
        <w:t>as registrar in relation to the transfer and settlement of its issued shares</w:t>
      </w:r>
      <w:r w:rsidR="002B5690">
        <w:rPr>
          <w:rFonts w:cs="Arial"/>
        </w:rPr>
        <w:t xml:space="preserve"> from Initial Admission</w:t>
      </w:r>
      <w:r w:rsidRPr="0080231E">
        <w:rPr>
          <w:rFonts w:cs="Arial"/>
        </w:rPr>
        <w:t xml:space="preserve">. Under the terms of the Registrar Agreement, the </w:t>
      </w:r>
      <w:r w:rsidRPr="0080231E">
        <w:rPr>
          <w:rFonts w:cs="Arial"/>
          <w:color w:val="000000"/>
          <w:szCs w:val="20"/>
        </w:rPr>
        <w:t>Registrar</w:t>
      </w:r>
      <w:r w:rsidRPr="0080231E">
        <w:rPr>
          <w:rFonts w:cs="Arial"/>
        </w:rPr>
        <w:t xml:space="preserve"> is entitled to a </w:t>
      </w:r>
      <w:r w:rsidR="002B5690">
        <w:rPr>
          <w:rFonts w:cs="Arial"/>
        </w:rPr>
        <w:t>customary registrar fee</w:t>
      </w:r>
      <w:r w:rsidRPr="001B2FAF">
        <w:rPr>
          <w:rFonts w:cs="Arial"/>
        </w:rPr>
        <w:t>.  In addition, the Registrar is entitled to certain other fees for ad hoc services rendered from time to time</w:t>
      </w:r>
      <w:r>
        <w:rPr>
          <w:rFonts w:cs="Arial"/>
        </w:rPr>
        <w:t>, including periodic share redemptions</w:t>
      </w:r>
      <w:r w:rsidRPr="001B2FAF">
        <w:rPr>
          <w:rFonts w:cs="Arial"/>
        </w:rPr>
        <w:t>.</w:t>
      </w:r>
    </w:p>
    <w:p w:rsidRPr="00DE5D68" w:rsidR="00574777" w:rsidP="00C27D12" w:rsidRDefault="00574777" w14:paraId="46FB9070" w14:textId="4D1188D5">
      <w:pPr>
        <w:autoSpaceDE w:val="0"/>
        <w:autoSpaceDN w:val="0"/>
        <w:adjustRightInd w:val="0"/>
        <w:ind w:left="709"/>
        <w:rPr>
          <w:rFonts w:cs="Arial"/>
        </w:rPr>
      </w:pPr>
      <w:r w:rsidRPr="00DE5D68">
        <w:rPr>
          <w:rFonts w:cs="Arial"/>
          <w:szCs w:val="20"/>
        </w:rPr>
        <w:t>Details</w:t>
      </w:r>
      <w:r w:rsidRPr="00DE5D68">
        <w:rPr>
          <w:rFonts w:eastAsia="Arial" w:cs="Arial"/>
          <w:szCs w:val="20"/>
        </w:rPr>
        <w:t xml:space="preserve"> of the Registrar Agreement</w:t>
      </w:r>
      <w:r w:rsidRPr="00DE5D68">
        <w:rPr>
          <w:rFonts w:cs="Arial"/>
        </w:rPr>
        <w:t xml:space="preserve"> are set out in paragraph </w:t>
      </w:r>
      <w:r w:rsidR="004A0F09">
        <w:rPr>
          <w:rFonts w:cs="Arial"/>
        </w:rPr>
        <w:t>6.</w:t>
      </w:r>
      <w:r w:rsidR="0058738D">
        <w:rPr>
          <w:rFonts w:cs="Arial"/>
        </w:rPr>
        <w:t>5</w:t>
      </w:r>
      <w:r w:rsidRPr="00DE5D68" w:rsidR="005A302D">
        <w:rPr>
          <w:rFonts w:cs="Arial"/>
        </w:rPr>
        <w:t xml:space="preserve"> </w:t>
      </w:r>
      <w:r w:rsidRPr="00DE5D68">
        <w:rPr>
          <w:rFonts w:cs="Arial"/>
        </w:rPr>
        <w:t xml:space="preserve">of </w:t>
      </w:r>
      <w:r w:rsidR="00577D1F">
        <w:rPr>
          <w:rFonts w:cs="Arial"/>
        </w:rPr>
        <w:fldChar w:fldCharType="begin" w:fldLock="1"/>
      </w:r>
      <w:r w:rsidR="00577D1F">
        <w:rPr>
          <w:rFonts w:cs="Arial"/>
        </w:rPr>
        <w:instrText xml:space="preserve"> REF _Ref65762141 \r \h </w:instrText>
      </w:r>
      <w:r w:rsidR="00577D1F">
        <w:rPr>
          <w:rFonts w:cs="Arial"/>
        </w:rPr>
      </w:r>
      <w:r w:rsidR="00577D1F">
        <w:rPr>
          <w:rFonts w:cs="Arial"/>
        </w:rPr>
        <w:fldChar w:fldCharType="separate"/>
      </w:r>
      <w:r w:rsidR="00DA4048">
        <w:rPr>
          <w:rFonts w:cs="Arial"/>
        </w:rPr>
        <w:t>Part 6</w:t>
      </w:r>
      <w:r w:rsidR="00577D1F">
        <w:rPr>
          <w:rFonts w:cs="Arial"/>
        </w:rPr>
        <w:fldChar w:fldCharType="end"/>
      </w:r>
      <w:r w:rsidRPr="00DE5D68" w:rsidR="00B103AB">
        <w:rPr>
          <w:rFonts w:cs="Arial"/>
        </w:rPr>
        <w:t xml:space="preserve"> </w:t>
      </w:r>
      <w:r w:rsidRPr="00DE5D68">
        <w:rPr>
          <w:rFonts w:cs="Arial"/>
        </w:rPr>
        <w:t>of this document.</w:t>
      </w:r>
      <w:r w:rsidRPr="00DE5D68" w:rsidR="00006E0C">
        <w:rPr>
          <w:rFonts w:cs="Arial"/>
        </w:rPr>
        <w:t xml:space="preserve"> </w:t>
      </w:r>
    </w:p>
    <w:p w:rsidRPr="00DE5D68" w:rsidR="00310D91" w:rsidP="00C27D12" w:rsidRDefault="00310D91" w14:paraId="123DF29E" w14:textId="1370E6C8">
      <w:pPr>
        <w:pStyle w:val="Heading2"/>
        <w:rPr>
          <w:rFonts w:cs="Arial"/>
          <w:b/>
        </w:rPr>
      </w:pPr>
      <w:r w:rsidRPr="00DE5D68">
        <w:rPr>
          <w:rFonts w:cs="Arial"/>
          <w:b/>
        </w:rPr>
        <w:t>Auditor</w:t>
      </w:r>
    </w:p>
    <w:p w:rsidR="00310D91" w:rsidP="00613AAF" w:rsidRDefault="00AD1E25" w14:paraId="6D9155E3" w14:textId="7969B8D9">
      <w:pPr>
        <w:spacing w:after="0"/>
        <w:ind w:left="709"/>
        <w:rPr>
          <w:rFonts w:cs="Arial"/>
        </w:rPr>
      </w:pPr>
      <w:r>
        <w:rPr>
          <w:rFonts w:cstheme="minorHAnsi"/>
        </w:rPr>
        <w:t>Baker Tilly Channel Islands Limited</w:t>
      </w:r>
      <w:r w:rsidR="00613AAF">
        <w:rPr>
          <w:rFonts w:cstheme="minorHAnsi"/>
        </w:rPr>
        <w:t xml:space="preserve"> </w:t>
      </w:r>
      <w:r w:rsidR="00296355">
        <w:rPr>
          <w:rFonts w:cstheme="minorHAnsi"/>
        </w:rPr>
        <w:t xml:space="preserve">will </w:t>
      </w:r>
      <w:r w:rsidRPr="00DE5D68" w:rsidR="00310D91">
        <w:rPr>
          <w:rFonts w:cs="Arial"/>
        </w:rPr>
        <w:t xml:space="preserve">provide audit services to the Company. The annual report and accounts will be prepared according to the </w:t>
      </w:r>
      <w:r w:rsidRPr="00DE5D68" w:rsidR="00310D91">
        <w:rPr>
          <w:rFonts w:cs="Arial"/>
          <w:szCs w:val="20"/>
        </w:rPr>
        <w:t>accounting</w:t>
      </w:r>
      <w:r w:rsidRPr="00DE5D68" w:rsidR="00310D91">
        <w:rPr>
          <w:rFonts w:cs="Arial"/>
        </w:rPr>
        <w:t xml:space="preserve"> standards laid out under </w:t>
      </w:r>
      <w:r w:rsidRPr="00DE5D68" w:rsidR="005D1A88">
        <w:rPr>
          <w:rFonts w:cs="Arial"/>
        </w:rPr>
        <w:t>IFRS</w:t>
      </w:r>
      <w:r w:rsidRPr="00DE5D68" w:rsidR="00310D91">
        <w:rPr>
          <w:rFonts w:cs="Arial"/>
        </w:rPr>
        <w:t>. The fees charged by the Auditor depend on the services provided and the time spent by the Auditor on the affairs of the Company; there is therefore no maximum amount payable under the Auditor’s engagement letter.</w:t>
      </w:r>
      <w:r w:rsidRPr="00DE5D68" w:rsidR="00EA735E">
        <w:rPr>
          <w:rFonts w:cs="Arial"/>
        </w:rPr>
        <w:t xml:space="preserve"> </w:t>
      </w:r>
      <w:r w:rsidRPr="00DE5D68" w:rsidR="00C22E93">
        <w:rPr>
          <w:rFonts w:cs="Arial"/>
        </w:rPr>
        <w:t xml:space="preserve"> </w:t>
      </w:r>
    </w:p>
    <w:p w:rsidRPr="00DE5D68" w:rsidR="00613AAF" w:rsidP="00613AAF" w:rsidRDefault="00613AAF" w14:paraId="6F2C566F" w14:textId="77777777">
      <w:pPr>
        <w:spacing w:after="0"/>
        <w:ind w:left="709"/>
        <w:rPr>
          <w:rFonts w:cs="Arial"/>
        </w:rPr>
      </w:pPr>
    </w:p>
    <w:p w:rsidRPr="000706D6" w:rsidR="00310D91" w:rsidP="00C27D12" w:rsidRDefault="00310D91" w14:paraId="7B98D208" w14:textId="3396134D">
      <w:pPr>
        <w:pStyle w:val="Heading1"/>
        <w:rPr>
          <w:rFonts w:cs="Arial"/>
          <w:caps w:val="0"/>
        </w:rPr>
      </w:pPr>
      <w:bookmarkStart w:name="_Toc480839431" w:id="154"/>
      <w:bookmarkStart w:name="_Toc480839495" w:id="155"/>
      <w:bookmarkStart w:name="_Toc481993847" w:id="156"/>
      <w:bookmarkStart w:name="_Toc481994202" w:id="157"/>
      <w:bookmarkStart w:name="_Toc482002682" w:id="158"/>
      <w:bookmarkStart w:name="_Toc482089485" w:id="159"/>
      <w:bookmarkStart w:name="_Toc482089977" w:id="160"/>
      <w:bookmarkStart w:name="_Toc482090470" w:id="161"/>
      <w:bookmarkStart w:name="_Toc482093193" w:id="162"/>
      <w:bookmarkStart w:name="_Toc482104925" w:id="163"/>
      <w:bookmarkStart w:name="_Toc482112388" w:id="164"/>
      <w:bookmarkStart w:name="_Toc482115393" w:id="165"/>
      <w:bookmarkStart w:name="_Toc482118283" w:id="166"/>
      <w:bookmarkStart w:name="_Toc492910859" w:id="167"/>
      <w:bookmarkStart w:name="_Ref65763501" w:id="168"/>
      <w:r w:rsidRPr="000706D6">
        <w:rPr>
          <w:rFonts w:cs="Arial"/>
          <w:caps w:val="0"/>
        </w:rPr>
        <w:t>FEES AND EXPENSES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0706D6">
        <w:rPr>
          <w:rFonts w:cs="Arial"/>
          <w:caps w:val="0"/>
        </w:rPr>
        <w:t xml:space="preserve"> </w:t>
      </w:r>
    </w:p>
    <w:p w:rsidRPr="00DE5D68" w:rsidR="00022C8D" w:rsidP="00C27D12" w:rsidRDefault="00F649B5" w14:paraId="30BE84C1" w14:textId="63ABD999">
      <w:pPr>
        <w:pStyle w:val="Heading2"/>
        <w:rPr>
          <w:rFonts w:cs="Arial"/>
          <w:b/>
        </w:rPr>
      </w:pPr>
      <w:bookmarkStart w:name="_Toc480839433" w:id="169"/>
      <w:bookmarkStart w:name="_Toc480839497" w:id="170"/>
      <w:bookmarkStart w:name="_Toc481993849" w:id="171"/>
      <w:bookmarkStart w:name="_Toc481994204" w:id="172"/>
      <w:bookmarkStart w:name="_Toc482002684" w:id="173"/>
      <w:bookmarkStart w:name="_Toc482089487" w:id="174"/>
      <w:bookmarkStart w:name="_Toc482089979" w:id="175"/>
      <w:bookmarkStart w:name="_Toc482090472" w:id="176"/>
      <w:bookmarkStart w:name="_Toc482093195" w:id="177"/>
      <w:bookmarkStart w:name="_Toc482104927" w:id="178"/>
      <w:bookmarkStart w:name="_Toc482112390" w:id="179"/>
      <w:bookmarkStart w:name="_Toc482115395" w:id="180"/>
      <w:bookmarkStart w:name="_Toc482118285" w:id="181"/>
      <w:bookmarkStart w:name="_Toc492910860" w:id="182"/>
      <w:r w:rsidRPr="00DE5D68">
        <w:rPr>
          <w:rFonts w:cs="Arial"/>
          <w:b/>
        </w:rPr>
        <w:t>Formation and initial expenses</w:t>
      </w:r>
    </w:p>
    <w:p w:rsidRPr="00DE5D68" w:rsidR="00022C8D" w:rsidP="00C27D12" w:rsidRDefault="00022C8D" w14:paraId="17F79FBB" w14:textId="1F6F3BD4">
      <w:pPr>
        <w:autoSpaceDE w:val="0"/>
        <w:autoSpaceDN w:val="0"/>
        <w:adjustRightInd w:val="0"/>
        <w:ind w:left="709"/>
        <w:rPr>
          <w:rFonts w:cs="Arial"/>
        </w:rPr>
      </w:pPr>
      <w:r w:rsidRPr="00DE5D68">
        <w:rPr>
          <w:rFonts w:cs="Arial"/>
        </w:rPr>
        <w:t xml:space="preserve">The </w:t>
      </w:r>
      <w:r w:rsidRPr="00DE5D68" w:rsidR="00F649B5">
        <w:rPr>
          <w:rFonts w:cs="Arial"/>
        </w:rPr>
        <w:t xml:space="preserve">formation and initial </w:t>
      </w:r>
      <w:r w:rsidRPr="00DE5D68">
        <w:rPr>
          <w:rFonts w:cs="Arial"/>
        </w:rPr>
        <w:t>expenses of the Company are those that arise from</w:t>
      </w:r>
      <w:r w:rsidRPr="00DE5D68" w:rsidR="0008434A">
        <w:rPr>
          <w:rFonts w:cs="Arial"/>
        </w:rPr>
        <w:t>,</w:t>
      </w:r>
      <w:r w:rsidRPr="00DE5D68">
        <w:rPr>
          <w:rFonts w:cs="Arial"/>
        </w:rPr>
        <w:t xml:space="preserve"> or are incidental to</w:t>
      </w:r>
      <w:r w:rsidRPr="00DE5D68" w:rsidR="0008434A">
        <w:rPr>
          <w:rFonts w:cs="Arial"/>
        </w:rPr>
        <w:t>,</w:t>
      </w:r>
      <w:r w:rsidRPr="00DE5D68">
        <w:rPr>
          <w:rFonts w:cs="Arial"/>
          <w:iCs/>
          <w:spacing w:val="6"/>
        </w:rPr>
        <w:t xml:space="preserve"> the </w:t>
      </w:r>
      <w:r w:rsidRPr="00DE5D68">
        <w:rPr>
          <w:rFonts w:cs="Arial"/>
        </w:rPr>
        <w:t>est</w:t>
      </w:r>
      <w:r w:rsidRPr="00DE5D68" w:rsidR="000E4F8B">
        <w:rPr>
          <w:rFonts w:cs="Arial"/>
        </w:rPr>
        <w:t xml:space="preserve">ablishment of the Company, the </w:t>
      </w:r>
      <w:r w:rsidR="00CC3344">
        <w:rPr>
          <w:rFonts w:cs="Arial"/>
        </w:rPr>
        <w:t xml:space="preserve">Initial </w:t>
      </w:r>
      <w:r w:rsidR="00264CDD">
        <w:rPr>
          <w:rFonts w:cs="Arial"/>
        </w:rPr>
        <w:t>Placing</w:t>
      </w:r>
      <w:r w:rsidRPr="00DE5D68">
        <w:rPr>
          <w:rFonts w:cs="Arial"/>
        </w:rPr>
        <w:t xml:space="preserve"> and </w:t>
      </w:r>
      <w:r w:rsidRPr="00DE5D68" w:rsidR="00D83A6C">
        <w:rPr>
          <w:rFonts w:cs="Arial"/>
        </w:rPr>
        <w:t xml:space="preserve">Initial </w:t>
      </w:r>
      <w:r w:rsidRPr="00DE5D68">
        <w:rPr>
          <w:rFonts w:cs="Arial"/>
        </w:rPr>
        <w:t xml:space="preserve">Admission. These expenses include the </w:t>
      </w:r>
      <w:r w:rsidRPr="00DE5D68" w:rsidR="00F649B5">
        <w:rPr>
          <w:rFonts w:cs="Arial"/>
        </w:rPr>
        <w:t xml:space="preserve">fees and </w:t>
      </w:r>
      <w:r w:rsidRPr="00DE5D68">
        <w:rPr>
          <w:rFonts w:cs="Arial"/>
          <w:szCs w:val="20"/>
        </w:rPr>
        <w:t>commissions</w:t>
      </w:r>
      <w:r w:rsidRPr="00DE5D68">
        <w:rPr>
          <w:rFonts w:cs="Arial"/>
        </w:rPr>
        <w:t xml:space="preserve"> payable under the </w:t>
      </w:r>
      <w:r w:rsidR="00020807">
        <w:rPr>
          <w:rFonts w:cs="Arial"/>
        </w:rPr>
        <w:t>Placing Agreement</w:t>
      </w:r>
      <w:r w:rsidRPr="00DE5D68">
        <w:rPr>
          <w:rFonts w:cs="Arial"/>
        </w:rPr>
        <w:t xml:space="preserve">, </w:t>
      </w:r>
      <w:r w:rsidR="006A52B6">
        <w:rPr>
          <w:rFonts w:cs="Arial"/>
        </w:rPr>
        <w:t xml:space="preserve">the </w:t>
      </w:r>
      <w:r w:rsidRPr="00DE5D68">
        <w:rPr>
          <w:rFonts w:cs="Arial"/>
        </w:rPr>
        <w:t xml:space="preserve">listing and </w:t>
      </w:r>
      <w:r w:rsidR="006A52B6">
        <w:rPr>
          <w:rFonts w:cs="Arial"/>
        </w:rPr>
        <w:t xml:space="preserve">Initial </w:t>
      </w:r>
      <w:r w:rsidRPr="00DE5D68" w:rsidR="000C0D70">
        <w:rPr>
          <w:rFonts w:cs="Arial"/>
        </w:rPr>
        <w:t>Admission</w:t>
      </w:r>
      <w:r w:rsidRPr="00DE5D68">
        <w:rPr>
          <w:rFonts w:cs="Arial"/>
        </w:rPr>
        <w:t xml:space="preserve"> fees, printing</w:t>
      </w:r>
      <w:r w:rsidR="00241B1F">
        <w:rPr>
          <w:rFonts w:cs="Arial"/>
        </w:rPr>
        <w:t xml:space="preserve"> and</w:t>
      </w:r>
      <w:r w:rsidRPr="00DE5D68">
        <w:rPr>
          <w:rFonts w:cs="Arial"/>
        </w:rPr>
        <w:t xml:space="preserve"> legal fees and any other applicable expenses</w:t>
      </w:r>
      <w:r w:rsidRPr="00DE5D68" w:rsidR="00F649B5">
        <w:rPr>
          <w:rFonts w:cs="Arial"/>
        </w:rPr>
        <w:t xml:space="preserve"> which will be met by the Company and paid on or around</w:t>
      </w:r>
      <w:r w:rsidRPr="00DE5D68" w:rsidR="00D83A6C">
        <w:rPr>
          <w:rFonts w:cs="Arial"/>
        </w:rPr>
        <w:t xml:space="preserve"> Initial</w:t>
      </w:r>
      <w:r w:rsidRPr="00DE5D68" w:rsidR="00F649B5">
        <w:rPr>
          <w:rFonts w:cs="Arial"/>
        </w:rPr>
        <w:t xml:space="preserve"> </w:t>
      </w:r>
      <w:r w:rsidRPr="00DE5D68" w:rsidR="000E4F8B">
        <w:rPr>
          <w:rFonts w:cs="Arial"/>
        </w:rPr>
        <w:t xml:space="preserve">Admission out of the </w:t>
      </w:r>
      <w:r w:rsidRPr="00DE5D68" w:rsidR="00D83A6C">
        <w:rPr>
          <w:rFonts w:cs="Arial"/>
        </w:rPr>
        <w:t xml:space="preserve">Initial </w:t>
      </w:r>
      <w:r w:rsidRPr="00DE5D68" w:rsidR="00F649B5">
        <w:rPr>
          <w:rFonts w:cs="Arial"/>
        </w:rPr>
        <w:t xml:space="preserve">Gross Proceeds. </w:t>
      </w:r>
    </w:p>
    <w:p w:rsidRPr="00DE5D68" w:rsidR="00984537" w:rsidP="00C27D12" w:rsidRDefault="004473B8" w14:paraId="11B78494" w14:textId="22BF2764">
      <w:pPr>
        <w:autoSpaceDE w:val="0"/>
        <w:autoSpaceDN w:val="0"/>
        <w:adjustRightInd w:val="0"/>
        <w:ind w:left="709"/>
        <w:rPr>
          <w:rFonts w:cs="Arial"/>
          <w:szCs w:val="20"/>
        </w:rPr>
      </w:pPr>
      <w:bookmarkStart w:name="_Hlk155270494" w:id="183"/>
      <w:r w:rsidRPr="00DE5D68">
        <w:rPr>
          <w:rFonts w:cs="Arial"/>
          <w:szCs w:val="20"/>
        </w:rPr>
        <w:t>The costs and expenses of, and incidental to, the fo</w:t>
      </w:r>
      <w:r w:rsidRPr="00DE5D68" w:rsidR="005F6604">
        <w:rPr>
          <w:rFonts w:cs="Arial"/>
          <w:szCs w:val="20"/>
        </w:rPr>
        <w:t>rmation of the Company and the</w:t>
      </w:r>
      <w:r w:rsidRPr="00DE5D68" w:rsidR="00D83A6C">
        <w:rPr>
          <w:rFonts w:cs="Arial"/>
          <w:szCs w:val="20"/>
        </w:rPr>
        <w:t xml:space="preserve"> </w:t>
      </w:r>
      <w:r w:rsidR="00CC3344">
        <w:rPr>
          <w:rFonts w:cs="Arial"/>
          <w:szCs w:val="20"/>
        </w:rPr>
        <w:t xml:space="preserve">Initial </w:t>
      </w:r>
      <w:r w:rsidR="00264CDD">
        <w:rPr>
          <w:rFonts w:cs="Arial"/>
          <w:szCs w:val="20"/>
        </w:rPr>
        <w:t>Placing</w:t>
      </w:r>
      <w:r w:rsidRPr="00DE5D68">
        <w:rPr>
          <w:rFonts w:cs="Arial"/>
          <w:szCs w:val="20"/>
        </w:rPr>
        <w:t xml:space="preserve"> </w:t>
      </w:r>
      <w:r w:rsidR="00DF5FE0">
        <w:rPr>
          <w:rFonts w:cs="Arial"/>
          <w:szCs w:val="20"/>
        </w:rPr>
        <w:t>will not</w:t>
      </w:r>
      <w:r w:rsidRPr="00DE5D68">
        <w:rPr>
          <w:rFonts w:cs="Arial"/>
          <w:szCs w:val="20"/>
        </w:rPr>
        <w:t xml:space="preserve"> exceed approximately </w:t>
      </w:r>
      <w:r w:rsidRPr="00DE5D68" w:rsidR="00D83A6C">
        <w:rPr>
          <w:rFonts w:cs="Arial"/>
          <w:szCs w:val="20"/>
        </w:rPr>
        <w:t>£</w:t>
      </w:r>
      <w:r w:rsidR="00A10F64">
        <w:rPr>
          <w:rFonts w:cs="Arial"/>
        </w:rPr>
        <w:t>0.</w:t>
      </w:r>
      <w:r w:rsidR="00DF5FE0">
        <w:rPr>
          <w:rFonts w:cs="Arial"/>
        </w:rPr>
        <w:t>8</w:t>
      </w:r>
      <w:r w:rsidR="00A10F64">
        <w:rPr>
          <w:rFonts w:cs="Arial"/>
        </w:rPr>
        <w:t xml:space="preserve"> million</w:t>
      </w:r>
      <w:r w:rsidRPr="00DE5D68">
        <w:rPr>
          <w:rFonts w:cs="Arial"/>
          <w:szCs w:val="20"/>
        </w:rPr>
        <w:t xml:space="preserve">. The costs will be deducted from the </w:t>
      </w:r>
      <w:r w:rsidRPr="00DE5D68" w:rsidR="00D83A6C">
        <w:rPr>
          <w:rFonts w:cs="Arial"/>
          <w:szCs w:val="20"/>
        </w:rPr>
        <w:t xml:space="preserve">Initial </w:t>
      </w:r>
      <w:r w:rsidRPr="00DE5D68">
        <w:rPr>
          <w:rFonts w:cs="Arial"/>
          <w:szCs w:val="20"/>
        </w:rPr>
        <w:t>Gross Proceeds.</w:t>
      </w:r>
      <w:r w:rsidRPr="00DE5D68" w:rsidR="00877708">
        <w:rPr>
          <w:rFonts w:cs="Arial"/>
          <w:szCs w:val="20"/>
        </w:rPr>
        <w:t xml:space="preserve"> The Company will not charge investors any separate costs or expenses in connection with the</w:t>
      </w:r>
      <w:r w:rsidRPr="00DE5D68" w:rsidR="00D83A6C">
        <w:rPr>
          <w:rFonts w:cs="Arial"/>
          <w:szCs w:val="20"/>
        </w:rPr>
        <w:t xml:space="preserve"> </w:t>
      </w:r>
      <w:r w:rsidR="00CC3344">
        <w:rPr>
          <w:rFonts w:cs="Arial"/>
          <w:szCs w:val="20"/>
        </w:rPr>
        <w:t xml:space="preserve">Initial </w:t>
      </w:r>
      <w:r w:rsidR="00264CDD">
        <w:rPr>
          <w:rFonts w:cs="Arial"/>
          <w:szCs w:val="20"/>
        </w:rPr>
        <w:t>Placing</w:t>
      </w:r>
      <w:r w:rsidRPr="00DE5D68" w:rsidR="00877708">
        <w:rPr>
          <w:rFonts w:cs="Arial"/>
          <w:szCs w:val="20"/>
        </w:rPr>
        <w:t>.</w:t>
      </w:r>
      <w:r w:rsidRPr="00DE5D68">
        <w:rPr>
          <w:rFonts w:cs="Arial"/>
          <w:szCs w:val="20"/>
        </w:rPr>
        <w:t xml:space="preserve"> It is expected that the starting </w:t>
      </w:r>
      <w:r w:rsidR="00E81510">
        <w:rPr>
          <w:rFonts w:cs="Arial"/>
          <w:szCs w:val="20"/>
        </w:rPr>
        <w:t xml:space="preserve">Net Asset Value per </w:t>
      </w:r>
      <w:r w:rsidR="00750488">
        <w:rPr>
          <w:rFonts w:cs="Arial"/>
          <w:szCs w:val="20"/>
        </w:rPr>
        <w:t xml:space="preserve">Ordinary </w:t>
      </w:r>
      <w:r w:rsidR="00E81510">
        <w:rPr>
          <w:rFonts w:cs="Arial"/>
          <w:szCs w:val="20"/>
        </w:rPr>
        <w:t>Share</w:t>
      </w:r>
      <w:r w:rsidRPr="00DE5D68">
        <w:rPr>
          <w:rFonts w:cs="Arial"/>
          <w:szCs w:val="20"/>
        </w:rPr>
        <w:t xml:space="preserve"> will be </w:t>
      </w:r>
      <w:r w:rsidR="00FF6A04">
        <w:rPr>
          <w:rFonts w:cs="Arial"/>
          <w:szCs w:val="20"/>
        </w:rPr>
        <w:t xml:space="preserve">approximately </w:t>
      </w:r>
      <w:r w:rsidRPr="007E14AC" w:rsidR="00264CDD">
        <w:rPr>
          <w:rFonts w:cs="Arial"/>
          <w:spacing w:val="6"/>
        </w:rPr>
        <w:t>98.5</w:t>
      </w:r>
      <w:r w:rsidR="000B07D2">
        <w:rPr>
          <w:rFonts w:cs="Arial"/>
          <w:spacing w:val="6"/>
        </w:rPr>
        <w:t xml:space="preserve"> pence</w:t>
      </w:r>
      <w:r w:rsidRPr="00DE5D68">
        <w:rPr>
          <w:rFonts w:cs="Arial"/>
          <w:szCs w:val="20"/>
        </w:rPr>
        <w:t>.</w:t>
      </w:r>
      <w:bookmarkEnd w:id="183"/>
      <w:r w:rsidRPr="00DE5D68" w:rsidR="00D83A6C">
        <w:rPr>
          <w:rFonts w:cs="Arial"/>
          <w:szCs w:val="20"/>
        </w:rPr>
        <w:t xml:space="preserve"> </w:t>
      </w:r>
    </w:p>
    <w:p w:rsidRPr="00DE5D68" w:rsidR="00D83A6C" w:rsidP="00F32BF2" w:rsidRDefault="00D83A6C" w14:paraId="257DC1D8" w14:textId="417EF78E">
      <w:pPr>
        <w:pStyle w:val="Heading2"/>
        <w:keepNext/>
        <w:rPr>
          <w:rFonts w:cs="Arial"/>
          <w:b/>
        </w:rPr>
      </w:pPr>
      <w:r w:rsidRPr="00DE5D68">
        <w:rPr>
          <w:rFonts w:cs="Arial"/>
          <w:b/>
        </w:rPr>
        <w:t>Placing Programme expenses</w:t>
      </w:r>
    </w:p>
    <w:p w:rsidRPr="00DE5D68" w:rsidR="00D83A6C" w:rsidP="00C27D12" w:rsidRDefault="00D83A6C" w14:paraId="585621EE" w14:textId="30D0AE4C">
      <w:pPr>
        <w:autoSpaceDE w:val="0"/>
        <w:autoSpaceDN w:val="0"/>
        <w:adjustRightInd w:val="0"/>
        <w:snapToGrid w:val="0"/>
        <w:ind w:left="709"/>
        <w:rPr>
          <w:rFonts w:cs="Arial"/>
          <w:szCs w:val="20"/>
        </w:rPr>
      </w:pPr>
      <w:r w:rsidRPr="00DE5D68">
        <w:rPr>
          <w:rFonts w:cs="Arial"/>
          <w:szCs w:val="20"/>
        </w:rPr>
        <w:t xml:space="preserve">The costs and expenses of the Company relating to the Placing Programme are those that arise from, or are incidental to, the </w:t>
      </w:r>
      <w:r w:rsidRPr="00DE5D68" w:rsidR="00F66C32">
        <w:rPr>
          <w:rFonts w:cs="Arial"/>
          <w:szCs w:val="20"/>
        </w:rPr>
        <w:t>i</w:t>
      </w:r>
      <w:r w:rsidRPr="00DE5D68" w:rsidR="000C0D70">
        <w:rPr>
          <w:rFonts w:cs="Arial"/>
          <w:szCs w:val="20"/>
        </w:rPr>
        <w:t>ssue</w:t>
      </w:r>
      <w:r w:rsidRPr="00DE5D68">
        <w:rPr>
          <w:rFonts w:cs="Arial"/>
          <w:szCs w:val="20"/>
        </w:rPr>
        <w:t xml:space="preserve"> of </w:t>
      </w:r>
      <w:r w:rsidR="00750488">
        <w:rPr>
          <w:rFonts w:cs="Arial"/>
          <w:szCs w:val="20"/>
        </w:rPr>
        <w:t xml:space="preserve">Ordinary </w:t>
      </w:r>
      <w:r w:rsidRPr="00DE5D68" w:rsidR="00140CB9">
        <w:rPr>
          <w:rFonts w:cs="Arial"/>
          <w:szCs w:val="20"/>
        </w:rPr>
        <w:t>Shares</w:t>
      </w:r>
      <w:r w:rsidRPr="00DE5D68">
        <w:rPr>
          <w:rFonts w:cs="Arial"/>
          <w:szCs w:val="20"/>
        </w:rPr>
        <w:t xml:space="preserve"> pursuant to Subsequent Placings. These include the fees payable in relation to each subsequent Admission, including listing and </w:t>
      </w:r>
      <w:r w:rsidRPr="00DE5D68" w:rsidR="000C0D70">
        <w:rPr>
          <w:rFonts w:cs="Arial"/>
          <w:szCs w:val="20"/>
        </w:rPr>
        <w:t>Admission</w:t>
      </w:r>
      <w:r w:rsidRPr="00DE5D68">
        <w:rPr>
          <w:rFonts w:cs="Arial"/>
          <w:szCs w:val="20"/>
        </w:rPr>
        <w:t xml:space="preserve"> fees, as well as fees and commissions </w:t>
      </w:r>
      <w:r w:rsidR="00750488">
        <w:rPr>
          <w:rFonts w:cs="Arial"/>
          <w:szCs w:val="20"/>
        </w:rPr>
        <w:t xml:space="preserve">due under the </w:t>
      </w:r>
      <w:r w:rsidR="00020807">
        <w:rPr>
          <w:rFonts w:cs="Arial"/>
          <w:szCs w:val="20"/>
        </w:rPr>
        <w:t>Placing Agreement</w:t>
      </w:r>
      <w:r w:rsidRPr="00DE5D68">
        <w:rPr>
          <w:rFonts w:cs="Arial"/>
          <w:szCs w:val="20"/>
        </w:rPr>
        <w:t xml:space="preserve"> and any other applicable expenses in relation to the Placing Programme.</w:t>
      </w:r>
    </w:p>
    <w:p w:rsidRPr="00DE5D68" w:rsidR="00D83A6C" w:rsidP="00C27D12" w:rsidRDefault="00D83A6C" w14:paraId="6F36B21D" w14:textId="4F9D3B52">
      <w:pPr>
        <w:autoSpaceDE w:val="0"/>
        <w:autoSpaceDN w:val="0"/>
        <w:adjustRightInd w:val="0"/>
        <w:snapToGrid w:val="0"/>
        <w:ind w:left="709"/>
        <w:rPr>
          <w:rFonts w:cs="Arial"/>
          <w:szCs w:val="20"/>
        </w:rPr>
      </w:pPr>
      <w:r w:rsidRPr="00DE5D68">
        <w:rPr>
          <w:rFonts w:cs="Arial"/>
          <w:szCs w:val="20"/>
        </w:rPr>
        <w:t xml:space="preserve">The costs and expenses of issuing </w:t>
      </w:r>
      <w:r w:rsidRPr="00DE5D68" w:rsidR="00435BD7">
        <w:rPr>
          <w:rFonts w:cs="Arial"/>
          <w:szCs w:val="20"/>
        </w:rPr>
        <w:t xml:space="preserve">Ordinary </w:t>
      </w:r>
      <w:r w:rsidRPr="00DE5D68">
        <w:rPr>
          <w:rFonts w:cs="Arial"/>
          <w:szCs w:val="20"/>
        </w:rPr>
        <w:t xml:space="preserve">Shares pursuant to any Subsequent Placing will be covered by issuing </w:t>
      </w:r>
      <w:r w:rsidRPr="00DE5D68" w:rsidR="00081AB9">
        <w:rPr>
          <w:rFonts w:cs="Arial"/>
          <w:szCs w:val="20"/>
        </w:rPr>
        <w:t>such Ordinary</w:t>
      </w:r>
      <w:r w:rsidRPr="00DE5D68" w:rsidR="00435BD7">
        <w:rPr>
          <w:rFonts w:cs="Arial"/>
          <w:szCs w:val="20"/>
        </w:rPr>
        <w:t xml:space="preserve"> </w:t>
      </w:r>
      <w:r w:rsidRPr="00DE5D68" w:rsidR="00140CB9">
        <w:rPr>
          <w:rFonts w:cs="Arial"/>
          <w:szCs w:val="20"/>
        </w:rPr>
        <w:t>Shares</w:t>
      </w:r>
      <w:r w:rsidRPr="00DE5D68">
        <w:rPr>
          <w:rFonts w:cs="Arial"/>
          <w:szCs w:val="20"/>
        </w:rPr>
        <w:t xml:space="preserve"> at the prevailing published </w:t>
      </w:r>
      <w:r w:rsidR="00E81510">
        <w:rPr>
          <w:rFonts w:cs="Arial"/>
          <w:szCs w:val="20"/>
        </w:rPr>
        <w:t xml:space="preserve">Net Asset Value per </w:t>
      </w:r>
      <w:r w:rsidR="00750488">
        <w:rPr>
          <w:rFonts w:cs="Arial"/>
          <w:szCs w:val="20"/>
        </w:rPr>
        <w:t xml:space="preserve">Ordinary </w:t>
      </w:r>
      <w:r w:rsidR="00E81510">
        <w:rPr>
          <w:rFonts w:cs="Arial"/>
          <w:szCs w:val="20"/>
        </w:rPr>
        <w:t>Share</w:t>
      </w:r>
      <w:r w:rsidRPr="00DE5D68">
        <w:rPr>
          <w:rFonts w:cs="Arial"/>
          <w:szCs w:val="20"/>
        </w:rPr>
        <w:t xml:space="preserve"> </w:t>
      </w:r>
      <w:r w:rsidR="003B01E0">
        <w:rPr>
          <w:rFonts w:cs="Arial"/>
          <w:szCs w:val="20"/>
        </w:rPr>
        <w:t xml:space="preserve">(audited or unaudited) </w:t>
      </w:r>
      <w:r w:rsidRPr="00DE5D68">
        <w:rPr>
          <w:rFonts w:cs="Arial"/>
          <w:szCs w:val="20"/>
        </w:rPr>
        <w:t xml:space="preserve">at the time of </w:t>
      </w:r>
      <w:r w:rsidRPr="00DE5D68" w:rsidR="00F66C32">
        <w:rPr>
          <w:rFonts w:cs="Arial"/>
          <w:szCs w:val="20"/>
        </w:rPr>
        <w:t>i</w:t>
      </w:r>
      <w:r w:rsidRPr="00DE5D68" w:rsidR="000C0D70">
        <w:rPr>
          <w:rFonts w:cs="Arial"/>
          <w:szCs w:val="20"/>
        </w:rPr>
        <w:t>ssue</w:t>
      </w:r>
      <w:r w:rsidRPr="00DE5D68">
        <w:rPr>
          <w:rFonts w:cs="Arial"/>
          <w:szCs w:val="20"/>
        </w:rPr>
        <w:t xml:space="preserve"> together with a premium to at least cover the costs and expenses of the relevant Subsequent Placing (including, without limitation, any placing commissions).</w:t>
      </w:r>
      <w:r w:rsidRPr="00DE5D68" w:rsidR="00435BD7">
        <w:rPr>
          <w:rFonts w:cs="Arial"/>
          <w:szCs w:val="20"/>
        </w:rPr>
        <w:t xml:space="preserve"> </w:t>
      </w:r>
      <w:r w:rsidRPr="00104A41" w:rsidR="00104A41">
        <w:rPr>
          <w:rFonts w:cs="Arial"/>
          <w:szCs w:val="20"/>
        </w:rPr>
        <w:t>The Company will raise sufficient cash proceeds pursuant to any Subsequent Placing in order to cover the costs and expenses of such Subsequent Placing.</w:t>
      </w:r>
    </w:p>
    <w:p w:rsidRPr="00DE5D68" w:rsidR="00022C8D" w:rsidP="00C27D12" w:rsidRDefault="00A85930" w14:paraId="0910D667" w14:textId="52F1E8D3">
      <w:pPr>
        <w:pStyle w:val="Heading2"/>
        <w:rPr>
          <w:rFonts w:cs="Arial"/>
          <w:b/>
        </w:rPr>
      </w:pPr>
      <w:r w:rsidRPr="00DE5D68">
        <w:rPr>
          <w:rFonts w:cs="Arial"/>
          <w:b/>
        </w:rPr>
        <w:t>Ongoing</w:t>
      </w:r>
      <w:r w:rsidRPr="00DE5D68" w:rsidR="00022C8D">
        <w:rPr>
          <w:rFonts w:cs="Arial"/>
          <w:b/>
        </w:rPr>
        <w:t xml:space="preserve"> annual expenses</w:t>
      </w:r>
    </w:p>
    <w:p w:rsidR="00EE0DC3" w:rsidP="00C27D12" w:rsidRDefault="00022C8D" w14:paraId="65FDD7C0" w14:textId="24F4A77C">
      <w:pPr>
        <w:autoSpaceDE w:val="0"/>
        <w:autoSpaceDN w:val="0"/>
        <w:adjustRightInd w:val="0"/>
        <w:ind w:left="709"/>
        <w:rPr>
          <w:rFonts w:cs="Arial"/>
          <w:b/>
        </w:rPr>
      </w:pPr>
      <w:bookmarkStart w:name="_Hlk190172431" w:id="184"/>
      <w:r w:rsidRPr="00DE5D68">
        <w:rPr>
          <w:rFonts w:cs="Arial"/>
        </w:rPr>
        <w:t>The Company</w:t>
      </w:r>
      <w:r w:rsidRPr="00DE5D68" w:rsidR="00F649B5">
        <w:rPr>
          <w:rFonts w:cs="Arial"/>
        </w:rPr>
        <w:t xml:space="preserve"> will also </w:t>
      </w:r>
      <w:r w:rsidRPr="00DE5D68" w:rsidR="00335A94">
        <w:rPr>
          <w:rFonts w:cs="Arial"/>
        </w:rPr>
        <w:t>incur</w:t>
      </w:r>
      <w:r w:rsidRPr="00DE5D68">
        <w:rPr>
          <w:rFonts w:cs="Arial"/>
        </w:rPr>
        <w:t xml:space="preserve"> ongoing annual expenses</w:t>
      </w:r>
      <w:r w:rsidRPr="00DE5D68" w:rsidR="00F649B5">
        <w:rPr>
          <w:rFonts w:cs="Arial"/>
        </w:rPr>
        <w:t xml:space="preserve"> which will include fees paid to service providers as described above in addition to other expenses which</w:t>
      </w:r>
      <w:r w:rsidRPr="00DE5D68">
        <w:rPr>
          <w:rFonts w:cs="Arial"/>
        </w:rPr>
        <w:t xml:space="preserve"> are currently expected</w:t>
      </w:r>
      <w:r w:rsidRPr="00DE5D68" w:rsidR="009C67BC">
        <w:rPr>
          <w:rFonts w:cs="Arial"/>
        </w:rPr>
        <w:t xml:space="preserve"> </w:t>
      </w:r>
      <w:r w:rsidRPr="00DE5D68" w:rsidR="008F7653">
        <w:rPr>
          <w:rFonts w:cs="Arial"/>
        </w:rPr>
        <w:t>to amount to</w:t>
      </w:r>
      <w:r w:rsidRPr="00DE5D68" w:rsidR="00555003">
        <w:rPr>
          <w:rFonts w:cs="Arial"/>
        </w:rPr>
        <w:t xml:space="preserve"> </w:t>
      </w:r>
      <w:r w:rsidR="00301A97">
        <w:rPr>
          <w:rFonts w:cs="Arial"/>
        </w:rPr>
        <w:t xml:space="preserve">0.5 </w:t>
      </w:r>
      <w:r w:rsidRPr="00DE5D68" w:rsidR="00891310">
        <w:rPr>
          <w:rFonts w:cs="Arial"/>
        </w:rPr>
        <w:t>per cent.</w:t>
      </w:r>
      <w:r w:rsidRPr="00DE5D68" w:rsidR="00EA0057">
        <w:rPr>
          <w:rFonts w:cs="Arial"/>
        </w:rPr>
        <w:t xml:space="preserve"> </w:t>
      </w:r>
      <w:r w:rsidRPr="00DE5D68" w:rsidR="00E00AE1">
        <w:rPr>
          <w:rFonts w:cs="Arial"/>
        </w:rPr>
        <w:t>of Net Asset Value</w:t>
      </w:r>
      <w:r w:rsidRPr="00DE5D68" w:rsidR="00B70757">
        <w:rPr>
          <w:rFonts w:cs="Arial"/>
        </w:rPr>
        <w:t xml:space="preserve"> per annum</w:t>
      </w:r>
      <w:r w:rsidRPr="00DE5D68" w:rsidR="00E00AE1">
        <w:rPr>
          <w:rFonts w:cs="Arial"/>
        </w:rPr>
        <w:t xml:space="preserve"> </w:t>
      </w:r>
      <w:r w:rsidRPr="00DE5D68" w:rsidR="009C67BC">
        <w:rPr>
          <w:rFonts w:cs="Arial"/>
        </w:rPr>
        <w:t>(excluding all costs associated with making and realising investments)</w:t>
      </w:r>
      <w:r w:rsidRPr="00DE5D68">
        <w:rPr>
          <w:rFonts w:cs="Arial"/>
        </w:rPr>
        <w:t xml:space="preserve"> assuming a Net Asset Value on </w:t>
      </w:r>
      <w:r w:rsidRPr="00DE5D68" w:rsidR="00A529E7">
        <w:rPr>
          <w:rFonts w:cs="Arial"/>
        </w:rPr>
        <w:t xml:space="preserve">Initial </w:t>
      </w:r>
      <w:r w:rsidRPr="00DE5D68" w:rsidR="00375C86">
        <w:rPr>
          <w:rFonts w:cs="Arial"/>
        </w:rPr>
        <w:t xml:space="preserve">Admission of </w:t>
      </w:r>
      <w:r w:rsidR="00507A16">
        <w:rPr>
          <w:rFonts w:cs="Arial"/>
        </w:rPr>
        <w:t>£</w:t>
      </w:r>
      <w:r w:rsidR="00893EA6">
        <w:rPr>
          <w:rFonts w:cs="Arial"/>
        </w:rPr>
        <w:t>53.2</w:t>
      </w:r>
      <w:r w:rsidRPr="00DE5D68" w:rsidR="005F6604">
        <w:rPr>
          <w:rFonts w:cs="Arial"/>
        </w:rPr>
        <w:t xml:space="preserve"> </w:t>
      </w:r>
      <w:r w:rsidRPr="00DE5D68">
        <w:rPr>
          <w:rFonts w:cs="Arial"/>
        </w:rPr>
        <w:t>million</w:t>
      </w:r>
      <w:r w:rsidRPr="00DE5D68" w:rsidR="00333008">
        <w:rPr>
          <w:rFonts w:cs="Arial"/>
        </w:rPr>
        <w:t>.</w:t>
      </w:r>
      <w:r w:rsidRPr="00DE5D68" w:rsidR="00A84B7B">
        <w:rPr>
          <w:rFonts w:cs="Arial"/>
          <w:b/>
        </w:rPr>
        <w:t xml:space="preserve"> </w:t>
      </w:r>
    </w:p>
    <w:p w:rsidRPr="00DE5D68" w:rsidR="00C35B13" w:rsidP="00C27D12" w:rsidRDefault="00F9129E" w14:paraId="564AD2A4" w14:textId="000BC26F">
      <w:pPr>
        <w:pStyle w:val="Heading1"/>
        <w:rPr>
          <w:rFonts w:cs="Arial"/>
          <w:caps w:val="0"/>
        </w:rPr>
      </w:pPr>
      <w:bookmarkStart w:name="_Toc481993850" w:id="185"/>
      <w:bookmarkStart w:name="_Toc481994205" w:id="186"/>
      <w:bookmarkStart w:name="_Toc482002685" w:id="187"/>
      <w:bookmarkStart w:name="_Toc482089488" w:id="188"/>
      <w:bookmarkStart w:name="_Toc482089980" w:id="189"/>
      <w:bookmarkStart w:name="_Toc482090473" w:id="190"/>
      <w:bookmarkStart w:name="_Toc482093196" w:id="191"/>
      <w:bookmarkStart w:name="_Toc482104928" w:id="192"/>
      <w:bookmarkStart w:name="_Toc482112391" w:id="193"/>
      <w:bookmarkStart w:name="_Toc482115396" w:id="194"/>
      <w:bookmarkStart w:name="_Toc482118286" w:id="195"/>
      <w:bookmarkStart w:name="_Toc492910861" w:id="196"/>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4"/>
      <w:r>
        <w:rPr>
          <w:rFonts w:cs="Arial"/>
          <w:caps w:val="0"/>
        </w:rPr>
        <w:t>CONFLICTS OF INTEREST</w:t>
      </w:r>
      <w:r w:rsidRPr="00DE5D68" w:rsidR="00B70757">
        <w:rPr>
          <w:rFonts w:cs="Arial"/>
          <w:caps w:val="0"/>
        </w:rPr>
        <w:t xml:space="preserve"> </w:t>
      </w:r>
    </w:p>
    <w:p w:rsidR="006E44FE" w:rsidP="0030744B" w:rsidRDefault="00E05061" w14:paraId="5559C323" w14:textId="689F200D">
      <w:pPr>
        <w:autoSpaceDE w:val="0"/>
        <w:autoSpaceDN w:val="0"/>
        <w:adjustRightInd w:val="0"/>
        <w:snapToGrid w:val="0"/>
        <w:ind w:left="709"/>
      </w:pPr>
      <w:r w:rsidRPr="00DE5D68">
        <w:rPr>
          <w:rFonts w:cs="Arial"/>
          <w:szCs w:val="20"/>
        </w:rPr>
        <w:t xml:space="preserve">The Investment Manager </w:t>
      </w:r>
      <w:r w:rsidR="000432FC">
        <w:rPr>
          <w:rFonts w:cs="Arial"/>
          <w:szCs w:val="20"/>
        </w:rPr>
        <w:t xml:space="preserve">and its affiliates </w:t>
      </w:r>
      <w:r w:rsidRPr="00DE5D68">
        <w:rPr>
          <w:rFonts w:cs="Arial"/>
          <w:szCs w:val="20"/>
        </w:rPr>
        <w:t xml:space="preserve">may provide management and/or advisory services to </w:t>
      </w:r>
      <w:r w:rsidRPr="00DE5D68" w:rsidR="00A64E7E">
        <w:rPr>
          <w:rFonts w:cs="Arial"/>
          <w:szCs w:val="20"/>
        </w:rPr>
        <w:t>"</w:t>
      </w:r>
      <w:r w:rsidRPr="00DE5D68">
        <w:rPr>
          <w:rFonts w:cs="Arial"/>
          <w:b/>
          <w:szCs w:val="20"/>
        </w:rPr>
        <w:t>Other Accounts</w:t>
      </w:r>
      <w:r w:rsidRPr="00DE5D68" w:rsidR="00A64E7E">
        <w:rPr>
          <w:rFonts w:cs="Arial"/>
          <w:szCs w:val="20"/>
        </w:rPr>
        <w:t>"</w:t>
      </w:r>
      <w:r w:rsidRPr="00DE5D68">
        <w:rPr>
          <w:rFonts w:cs="Arial"/>
          <w:szCs w:val="20"/>
        </w:rPr>
        <w:t>, being other funds/clients of the Investment</w:t>
      </w:r>
      <w:r w:rsidR="000B07D2">
        <w:rPr>
          <w:rFonts w:cs="Arial"/>
          <w:szCs w:val="20"/>
        </w:rPr>
        <w:t xml:space="preserve"> Manager</w:t>
      </w:r>
      <w:r w:rsidR="00D56F21">
        <w:rPr>
          <w:rFonts w:cs="Arial"/>
          <w:szCs w:val="20"/>
        </w:rPr>
        <w:t xml:space="preserve"> or other undertakings within the </w:t>
      </w:r>
      <w:r w:rsidR="000432FC">
        <w:rPr>
          <w:rFonts w:cs="Arial"/>
          <w:szCs w:val="20"/>
        </w:rPr>
        <w:t>Harwood Capital Management Group</w:t>
      </w:r>
      <w:r w:rsidRPr="00DE5D68">
        <w:rPr>
          <w:rFonts w:cs="Arial"/>
          <w:szCs w:val="20"/>
        </w:rPr>
        <w:t xml:space="preserve">. Such activities may give rise to conflicts of interests in the event that Other Accounts have similar investment objectives, policies and/or strategies to the Company. </w:t>
      </w:r>
    </w:p>
    <w:p w:rsidRPr="00DE5D68" w:rsidR="00E05061" w:rsidP="00C27D12" w:rsidRDefault="00E05061" w14:paraId="720375B2" w14:textId="2538B33B">
      <w:pPr>
        <w:autoSpaceDE w:val="0"/>
        <w:autoSpaceDN w:val="0"/>
        <w:adjustRightInd w:val="0"/>
        <w:snapToGrid w:val="0"/>
        <w:ind w:left="709"/>
        <w:rPr>
          <w:rFonts w:cs="Arial"/>
          <w:szCs w:val="20"/>
        </w:rPr>
      </w:pPr>
      <w:bookmarkStart w:name="_Hlk187758762" w:id="197"/>
      <w:r w:rsidRPr="00DE5D68">
        <w:rPr>
          <w:rFonts w:cs="Arial"/>
          <w:szCs w:val="20"/>
        </w:rPr>
        <w:t>The general approach to conflicts will be that the Investment Manager will seek to reasonably avoid any conflicts of interests. However, where such conflicts cannot be avoided, the Investment Manager will identify</w:t>
      </w:r>
      <w:r w:rsidRPr="00DE5D68" w:rsidR="006C7556">
        <w:rPr>
          <w:rFonts w:cs="Arial"/>
          <w:szCs w:val="20"/>
        </w:rPr>
        <w:t>, manage</w:t>
      </w:r>
      <w:r w:rsidRPr="00DE5D68">
        <w:rPr>
          <w:rFonts w:cs="Arial"/>
          <w:szCs w:val="20"/>
        </w:rPr>
        <w:t xml:space="preserve"> and monitor such conflicts of interests in a fair and equitable manner.</w:t>
      </w:r>
    </w:p>
    <w:p w:rsidRPr="00DE5D68" w:rsidR="00506A62" w:rsidP="00506A62" w:rsidRDefault="00506A62" w14:paraId="1390EDC0" w14:textId="2F49D558">
      <w:pPr>
        <w:ind w:left="709"/>
        <w:rPr>
          <w:rFonts w:cs="Arial"/>
        </w:rPr>
      </w:pPr>
      <w:r w:rsidRPr="00DE5D68">
        <w:rPr>
          <w:rFonts w:cs="Arial"/>
        </w:rPr>
        <w:t xml:space="preserve">The Investment Manager has regard to its delegated obligations under the Investment Management Agreement or otherwise to act in the best interests of the Company, so far as is practicable having regard to its obligations to other clients, when potential conflicts of interest arise. In the event of a conflict of interest arising, the Investment Manager will ensure that it is resolved fairly and in accordance with the </w:t>
      </w:r>
      <w:r w:rsidR="00D80B8A">
        <w:rPr>
          <w:rFonts w:cs="Arial"/>
        </w:rPr>
        <w:t>Investment Manager's written conflicts of interest policy</w:t>
      </w:r>
      <w:r w:rsidRPr="00DE5D68">
        <w:rPr>
          <w:rFonts w:cs="Arial"/>
        </w:rPr>
        <w:t xml:space="preserve"> and in particular, that any transactions are </w:t>
      </w:r>
      <w:proofErr w:type="gramStart"/>
      <w:r w:rsidRPr="00DE5D68">
        <w:rPr>
          <w:rFonts w:cs="Arial"/>
        </w:rPr>
        <w:t>effected</w:t>
      </w:r>
      <w:proofErr w:type="gramEnd"/>
      <w:r w:rsidRPr="00DE5D68">
        <w:rPr>
          <w:rFonts w:cs="Arial"/>
        </w:rPr>
        <w:t xml:space="preserve"> on terms which are not materially less favourable to the Company than if the potential conflict had not existed. The </w:t>
      </w:r>
      <w:r w:rsidR="00D80B8A">
        <w:rPr>
          <w:rFonts w:cs="Arial"/>
        </w:rPr>
        <w:t>Investment Manager's conflicts of interest policy</w:t>
      </w:r>
      <w:r w:rsidRPr="00DE5D68">
        <w:rPr>
          <w:rFonts w:cs="Arial"/>
        </w:rPr>
        <w:t xml:space="preserve"> require</w:t>
      </w:r>
      <w:r w:rsidR="00D80B8A">
        <w:rPr>
          <w:rFonts w:cs="Arial"/>
        </w:rPr>
        <w:t>s</w:t>
      </w:r>
      <w:r w:rsidRPr="00DE5D68">
        <w:rPr>
          <w:rFonts w:cs="Arial"/>
        </w:rPr>
        <w:t xml:space="preserve"> the Investment Manager to ensure fair treatment of all its clients. The </w:t>
      </w:r>
      <w:r w:rsidR="00D80B8A">
        <w:rPr>
          <w:rFonts w:cs="Arial"/>
        </w:rPr>
        <w:t>Investment Manager's conflicts of interest policy</w:t>
      </w:r>
      <w:r w:rsidRPr="00DE5D68">
        <w:rPr>
          <w:rFonts w:cs="Arial"/>
        </w:rPr>
        <w:t xml:space="preserve"> also </w:t>
      </w:r>
      <w:proofErr w:type="gramStart"/>
      <w:r w:rsidRPr="00DE5D68">
        <w:rPr>
          <w:rFonts w:cs="Arial"/>
        </w:rPr>
        <w:t>require</w:t>
      </w:r>
      <w:r w:rsidR="00D80B8A">
        <w:rPr>
          <w:rFonts w:cs="Arial"/>
        </w:rPr>
        <w:t>s</w:t>
      </w:r>
      <w:proofErr w:type="gramEnd"/>
      <w:r w:rsidRPr="00DE5D68">
        <w:rPr>
          <w:rFonts w:cs="Arial"/>
        </w:rPr>
        <w:t xml:space="preserve"> that when an investment is made it should be allocated fairly amongst all of its clients for whom the investment is appropriate. In particular, the Investment Manager uses its reasonable efforts to ensure that the Company has the </w:t>
      </w:r>
      <w:r w:rsidRPr="00DE5D68">
        <w:rPr>
          <w:rFonts w:cs="Arial"/>
        </w:rPr>
        <w:lastRenderedPageBreak/>
        <w:t>opportunity to participate in potential investments identified by the Investment Manager which fall within the Company’s investment objective and investment policy, on the best terms reasonably obtainable at the relevant time with the aim of ensuring that the principle of best execution is attained.</w:t>
      </w:r>
    </w:p>
    <w:p w:rsidRPr="00DE5D68" w:rsidR="00E05061" w:rsidP="00C27D12" w:rsidRDefault="00E05061" w14:paraId="7201EFB9" w14:textId="2AAE6AA3">
      <w:pPr>
        <w:autoSpaceDE w:val="0"/>
        <w:autoSpaceDN w:val="0"/>
        <w:adjustRightInd w:val="0"/>
        <w:snapToGrid w:val="0"/>
        <w:ind w:left="709"/>
        <w:rPr>
          <w:rFonts w:cs="Arial"/>
          <w:szCs w:val="20"/>
        </w:rPr>
      </w:pPr>
      <w:r w:rsidRPr="00DE5D68">
        <w:rPr>
          <w:rFonts w:cs="Arial"/>
          <w:szCs w:val="20"/>
        </w:rPr>
        <w:t xml:space="preserve">In any event, the allocation of any investment opportunities will be allocated amongst clients </w:t>
      </w:r>
      <w:proofErr w:type="gramStart"/>
      <w:r w:rsidRPr="00DE5D68">
        <w:rPr>
          <w:rFonts w:cs="Arial"/>
          <w:szCs w:val="20"/>
        </w:rPr>
        <w:t>taking into account</w:t>
      </w:r>
      <w:proofErr w:type="gramEnd"/>
      <w:r w:rsidRPr="00DE5D68">
        <w:rPr>
          <w:rFonts w:cs="Arial"/>
          <w:szCs w:val="20"/>
        </w:rPr>
        <w:t xml:space="preserve"> factors, including but not limited to, the relevant clients’ investment strategy, restrictions, </w:t>
      </w:r>
      <w:r w:rsidRPr="00DE5D68" w:rsidR="002D596F">
        <w:rPr>
          <w:rFonts w:cs="Arial"/>
          <w:szCs w:val="20"/>
        </w:rPr>
        <w:t xml:space="preserve">liquidity, </w:t>
      </w:r>
      <w:r w:rsidRPr="00DE5D68">
        <w:rPr>
          <w:rFonts w:cs="Arial"/>
          <w:szCs w:val="20"/>
        </w:rPr>
        <w:t>term and objectives.</w:t>
      </w:r>
    </w:p>
    <w:bookmarkEnd w:id="197"/>
    <w:p w:rsidRPr="00DE5D68" w:rsidR="00E05061" w:rsidP="00C27D12" w:rsidRDefault="00E05061" w14:paraId="4AF376A8" w14:textId="743EDA71">
      <w:pPr>
        <w:autoSpaceDE w:val="0"/>
        <w:autoSpaceDN w:val="0"/>
        <w:adjustRightInd w:val="0"/>
        <w:snapToGrid w:val="0"/>
        <w:ind w:left="709"/>
        <w:rPr>
          <w:rFonts w:cs="Arial"/>
          <w:szCs w:val="20"/>
        </w:rPr>
      </w:pPr>
      <w:r w:rsidRPr="00DE5D68">
        <w:rPr>
          <w:rFonts w:cs="Arial"/>
          <w:szCs w:val="20"/>
        </w:rPr>
        <w:t xml:space="preserve">The Directors are required by the </w:t>
      </w:r>
      <w:r w:rsidRPr="00DE5D68" w:rsidR="00482324">
        <w:rPr>
          <w:rFonts w:cs="Arial"/>
          <w:szCs w:val="20"/>
        </w:rPr>
        <w:t>RCIS</w:t>
      </w:r>
      <w:r w:rsidRPr="00DE5D68">
        <w:rPr>
          <w:rFonts w:cs="Arial"/>
          <w:szCs w:val="20"/>
        </w:rPr>
        <w:t xml:space="preserve"> Rules to take all reasonabl</w:t>
      </w:r>
      <w:r w:rsidRPr="00DE5D68" w:rsidR="00891310">
        <w:rPr>
          <w:rFonts w:cs="Arial"/>
          <w:szCs w:val="20"/>
        </w:rPr>
        <w:t xml:space="preserve">e steps to ensure that there is </w:t>
      </w:r>
      <w:r w:rsidRPr="00DE5D68">
        <w:rPr>
          <w:rFonts w:cs="Arial"/>
          <w:szCs w:val="20"/>
        </w:rPr>
        <w:t>no breach of the conflicts of interest requirements of those rules.</w:t>
      </w:r>
    </w:p>
    <w:p w:rsidRPr="00DE5D68" w:rsidR="00693C80" w:rsidP="00C27D12" w:rsidRDefault="002D596F" w14:paraId="724ED46E" w14:textId="33FD02DE">
      <w:pPr>
        <w:ind w:left="709"/>
        <w:rPr>
          <w:rFonts w:cs="Arial"/>
        </w:rPr>
      </w:pPr>
      <w:r w:rsidRPr="000706D6">
        <w:rPr>
          <w:rFonts w:cs="Arial"/>
        </w:rPr>
        <w:t>A</w:t>
      </w:r>
      <w:r w:rsidRPr="000706D6" w:rsidR="003A2E07">
        <w:rPr>
          <w:rFonts w:cs="Arial"/>
        </w:rPr>
        <w:t>s at the date of this document, t</w:t>
      </w:r>
      <w:r w:rsidRPr="000706D6" w:rsidR="00693C80">
        <w:rPr>
          <w:rFonts w:cs="Arial"/>
        </w:rPr>
        <w:t>here are: (</w:t>
      </w:r>
      <w:proofErr w:type="spellStart"/>
      <w:r w:rsidRPr="000706D6" w:rsidR="00693C80">
        <w:rPr>
          <w:rFonts w:cs="Arial"/>
        </w:rPr>
        <w:t>i</w:t>
      </w:r>
      <w:proofErr w:type="spellEnd"/>
      <w:r w:rsidRPr="000706D6" w:rsidR="00693C80">
        <w:rPr>
          <w:rFonts w:cs="Arial"/>
        </w:rPr>
        <w:t>) no actual or potential conflicts of interest between any duties owe</w:t>
      </w:r>
      <w:r w:rsidRPr="000706D6" w:rsidR="004E138C">
        <w:rPr>
          <w:rFonts w:cs="Arial"/>
        </w:rPr>
        <w:t>d to the Company</w:t>
      </w:r>
      <w:r w:rsidR="00E147E1">
        <w:rPr>
          <w:rFonts w:cs="Arial"/>
        </w:rPr>
        <w:t xml:space="preserve"> by any of</w:t>
      </w:r>
      <w:r w:rsidRPr="000706D6" w:rsidR="004E138C">
        <w:rPr>
          <w:rFonts w:cs="Arial"/>
        </w:rPr>
        <w:t xml:space="preserve"> the Directors</w:t>
      </w:r>
      <w:r w:rsidRPr="000706D6" w:rsidR="00693C80">
        <w:rPr>
          <w:rFonts w:cs="Arial"/>
        </w:rPr>
        <w:t xml:space="preserve"> and their private interest or duties; and (ii) no material potential conflicts of interest which any of the services providers to the Company</w:t>
      </w:r>
      <w:r w:rsidR="00E147E1">
        <w:rPr>
          <w:rFonts w:cs="Arial"/>
        </w:rPr>
        <w:t xml:space="preserve"> (including the Investment Manager)</w:t>
      </w:r>
      <w:r w:rsidRPr="000706D6" w:rsidR="00693C80">
        <w:rPr>
          <w:rFonts w:cs="Arial"/>
        </w:rPr>
        <w:t xml:space="preserve"> may have as between their duty to the Company and duties owed by them to third parties and their other interests.</w:t>
      </w:r>
      <w:r w:rsidRPr="00DE5D68" w:rsidR="00693C80">
        <w:rPr>
          <w:rFonts w:cs="Arial"/>
        </w:rPr>
        <w:t xml:space="preserve"> </w:t>
      </w:r>
    </w:p>
    <w:p w:rsidRPr="00DE5D68" w:rsidR="00310D91" w:rsidP="00C27D12" w:rsidRDefault="00310D91" w14:paraId="3A77726C" w14:textId="1279754F">
      <w:pPr>
        <w:pStyle w:val="Heading1"/>
        <w:rPr>
          <w:rFonts w:cs="Arial"/>
          <w:caps w:val="0"/>
        </w:rPr>
      </w:pPr>
      <w:r w:rsidRPr="00DE5D68">
        <w:rPr>
          <w:rFonts w:cs="Arial"/>
          <w:caps w:val="0"/>
        </w:rPr>
        <w:t>CORPORATE GOVERNANCE</w:t>
      </w:r>
      <w:bookmarkEnd w:id="185"/>
      <w:bookmarkEnd w:id="186"/>
      <w:bookmarkEnd w:id="187"/>
      <w:bookmarkEnd w:id="188"/>
      <w:bookmarkEnd w:id="189"/>
      <w:bookmarkEnd w:id="190"/>
      <w:bookmarkEnd w:id="191"/>
      <w:bookmarkEnd w:id="192"/>
      <w:bookmarkEnd w:id="193"/>
      <w:bookmarkEnd w:id="194"/>
      <w:bookmarkEnd w:id="195"/>
      <w:bookmarkEnd w:id="196"/>
    </w:p>
    <w:p w:rsidR="002874E2" w:rsidP="002874E2" w:rsidRDefault="00821FE4" w14:paraId="1A422506" w14:textId="3B9D891C">
      <w:pPr>
        <w:spacing w:after="0"/>
        <w:ind w:left="709"/>
        <w:rPr>
          <w:rFonts w:cstheme="minorHAnsi"/>
        </w:rPr>
      </w:pPr>
      <w:r w:rsidRPr="00DE5D68">
        <w:rPr>
          <w:rFonts w:cs="Arial"/>
        </w:rPr>
        <w:t>The Disclosure Guidance and Transparency Rules require the Company to: (</w:t>
      </w:r>
      <w:proofErr w:type="spellStart"/>
      <w:r w:rsidRPr="00DE5D68">
        <w:rPr>
          <w:rFonts w:cs="Arial"/>
        </w:rPr>
        <w:t>i</w:t>
      </w:r>
      <w:proofErr w:type="spellEnd"/>
      <w:r w:rsidRPr="00DE5D68">
        <w:rPr>
          <w:rFonts w:cs="Arial"/>
        </w:rPr>
        <w:t>) make a corporate governance statement in its annual report and accounts based on the code to which it is subject, or with which it voluntarily complies; and (ii) describe its internal control and risk management arrangements. The Board has considered the principles and recommendations of the AIC Code</w:t>
      </w:r>
      <w:r w:rsidRPr="00DE5D68" w:rsidR="000A7AEC">
        <w:rPr>
          <w:rFonts w:cs="Arial"/>
        </w:rPr>
        <w:t>. The AIC Code</w:t>
      </w:r>
      <w:r w:rsidRPr="00DE5D68">
        <w:rPr>
          <w:rFonts w:cs="Arial"/>
        </w:rPr>
        <w:t xml:space="preserve">, addresses all the principles set out in the UK Corporate Governance Code, as well as setting out additional principles and recommendations on issues that are of specific relevance to </w:t>
      </w:r>
      <w:r w:rsidRPr="00DE5D68" w:rsidR="000170DE">
        <w:rPr>
          <w:rFonts w:cs="Arial"/>
        </w:rPr>
        <w:t>listed investment companies</w:t>
      </w:r>
      <w:r w:rsidRPr="00DE5D68" w:rsidR="005A1D5A">
        <w:rPr>
          <w:rFonts w:cs="Arial"/>
        </w:rPr>
        <w:t xml:space="preserve">. </w:t>
      </w:r>
      <w:r w:rsidRPr="00DE5D68">
        <w:rPr>
          <w:rFonts w:cs="Arial"/>
        </w:rPr>
        <w:t>The Board considers that reporting against the principles and r</w:t>
      </w:r>
      <w:r w:rsidRPr="00DE5D68" w:rsidR="000A7AEC">
        <w:rPr>
          <w:rFonts w:cs="Arial"/>
        </w:rPr>
        <w:t>ecommendations of the AIC Code</w:t>
      </w:r>
      <w:r w:rsidRPr="00DE5D68">
        <w:rPr>
          <w:rFonts w:cs="Arial"/>
        </w:rPr>
        <w:t xml:space="preserve"> will provide better information to Shareholders. </w:t>
      </w:r>
      <w:r w:rsidRPr="00DE5D68" w:rsidR="000170DE">
        <w:rPr>
          <w:rFonts w:cs="Arial"/>
          <w:szCs w:val="20"/>
        </w:rPr>
        <w:t xml:space="preserve">As a recently incorporated company, the Company does not yet comply with the UK Corporate Governance Code or the principles of good governance contained in the AIC Code. </w:t>
      </w:r>
      <w:r w:rsidR="007F5E6E">
        <w:rPr>
          <w:rFonts w:cs="Arial"/>
          <w:szCs w:val="20"/>
        </w:rPr>
        <w:t>However, the Company intends to join the AIC as soon as practicable following Initial Admission and arrangements have been put in place so that, with effect from Initial Admission, the Company will c</w:t>
      </w:r>
      <w:r w:rsidRPr="00DE5D68" w:rsidR="000170DE">
        <w:rPr>
          <w:rFonts w:cs="Arial"/>
          <w:szCs w:val="20"/>
        </w:rPr>
        <w:t>omply with the AIC Code</w:t>
      </w:r>
      <w:r w:rsidR="002874E2">
        <w:rPr>
          <w:rFonts w:cs="Arial"/>
          <w:szCs w:val="20"/>
        </w:rPr>
        <w:t xml:space="preserve">, </w:t>
      </w:r>
      <w:r w:rsidRPr="0054139A" w:rsidR="002874E2">
        <w:rPr>
          <w:rFonts w:cstheme="minorHAnsi"/>
        </w:rPr>
        <w:t xml:space="preserve">except </w:t>
      </w:r>
      <w:r w:rsidR="007F5E6E">
        <w:rPr>
          <w:rFonts w:cstheme="minorHAnsi"/>
        </w:rPr>
        <w:t xml:space="preserve">that </w:t>
      </w:r>
      <w:r w:rsidR="002874E2">
        <w:rPr>
          <w:rFonts w:cstheme="minorHAnsi"/>
        </w:rPr>
        <w:t>t</w:t>
      </w:r>
      <w:r w:rsidRPr="00DB0E51" w:rsidR="002874E2">
        <w:rPr>
          <w:rFonts w:cstheme="minorHAnsi"/>
        </w:rPr>
        <w:t>he Directors</w:t>
      </w:r>
      <w:r w:rsidR="00AF6F83">
        <w:rPr>
          <w:rFonts w:cstheme="minorHAnsi"/>
        </w:rPr>
        <w:t>, taking into account the size of the Board,</w:t>
      </w:r>
      <w:r w:rsidRPr="00DB0E51" w:rsidR="002874E2">
        <w:rPr>
          <w:rFonts w:cstheme="minorHAnsi"/>
        </w:rPr>
        <w:t xml:space="preserve"> do not consider it appropriate to establish a nomination, remuneration or management </w:t>
      </w:r>
      <w:r w:rsidR="00C627A9">
        <w:rPr>
          <w:rFonts w:cstheme="minorHAnsi"/>
        </w:rPr>
        <w:t>e</w:t>
      </w:r>
      <w:r w:rsidRPr="00DB0E51" w:rsidR="002874E2">
        <w:rPr>
          <w:rFonts w:cstheme="minorHAnsi"/>
        </w:rPr>
        <w:t xml:space="preserve">ngagement committee. The functions that are carried out by these committees </w:t>
      </w:r>
      <w:r w:rsidR="00AF6F83">
        <w:rPr>
          <w:rFonts w:cstheme="minorHAnsi"/>
        </w:rPr>
        <w:t>will be</w:t>
      </w:r>
      <w:r w:rsidRPr="00DB0E51" w:rsidR="002874E2">
        <w:rPr>
          <w:rFonts w:cstheme="minorHAnsi"/>
        </w:rPr>
        <w:t xml:space="preserve"> dealt with by the full Board. </w:t>
      </w:r>
    </w:p>
    <w:p w:rsidRPr="002874E2" w:rsidR="002874E2" w:rsidP="002874E2" w:rsidRDefault="002874E2" w14:paraId="5EA32448" w14:textId="77777777">
      <w:pPr>
        <w:spacing w:after="0"/>
        <w:ind w:left="709"/>
        <w:rPr>
          <w:rFonts w:cstheme="minorHAnsi"/>
        </w:rPr>
      </w:pPr>
    </w:p>
    <w:p w:rsidRPr="00DE5D68" w:rsidR="000170DE" w:rsidP="00C27D12" w:rsidRDefault="001A6AF6" w14:paraId="6A31E292" w14:textId="40691472">
      <w:pPr>
        <w:ind w:left="709"/>
        <w:rPr>
          <w:rFonts w:cs="Arial"/>
        </w:rPr>
      </w:pPr>
      <w:r w:rsidRPr="00DE5D68">
        <w:rPr>
          <w:rFonts w:cs="Arial"/>
          <w:szCs w:val="20"/>
        </w:rPr>
        <w:t>The AIC Code</w:t>
      </w:r>
      <w:r w:rsidRPr="00DE5D68" w:rsidR="000A7AEC">
        <w:rPr>
          <w:rFonts w:cs="Arial"/>
          <w:szCs w:val="20"/>
        </w:rPr>
        <w:t xml:space="preserve"> complements the UK Corporate Governance Code and provides a framework of best </w:t>
      </w:r>
      <w:r w:rsidRPr="00DE5D68" w:rsidR="000A7AEC">
        <w:rPr>
          <w:rFonts w:cs="Arial"/>
        </w:rPr>
        <w:t>practice for listed investment companies</w:t>
      </w:r>
      <w:r w:rsidRPr="00DE5D68" w:rsidR="000170DE">
        <w:rPr>
          <w:rFonts w:cs="Arial"/>
        </w:rPr>
        <w:t>.</w:t>
      </w:r>
    </w:p>
    <w:p w:rsidRPr="00DE5D68" w:rsidR="00821FE4" w:rsidP="00C27D12" w:rsidRDefault="00821FE4" w14:paraId="16CDE91D" w14:textId="77777777">
      <w:pPr>
        <w:ind w:left="709"/>
        <w:rPr>
          <w:rFonts w:cs="Arial"/>
        </w:rPr>
      </w:pPr>
      <w:r w:rsidRPr="00DE5D68">
        <w:rPr>
          <w:rFonts w:cs="Arial"/>
        </w:rPr>
        <w:t xml:space="preserve">The UK </w:t>
      </w:r>
      <w:r w:rsidRPr="00DE5D68">
        <w:rPr>
          <w:rFonts w:cs="Arial"/>
          <w:szCs w:val="20"/>
        </w:rPr>
        <w:t>Corporate</w:t>
      </w:r>
      <w:r w:rsidRPr="00DE5D68">
        <w:rPr>
          <w:rFonts w:cs="Arial"/>
        </w:rPr>
        <w:t xml:space="preserve"> Governance Code includes provisions relating to:</w:t>
      </w:r>
    </w:p>
    <w:p w:rsidRPr="00DE5D68" w:rsidR="000170DE" w:rsidP="00C27D12" w:rsidRDefault="000170DE" w14:paraId="3ABD7D04" w14:textId="26F10FD0">
      <w:pPr>
        <w:pStyle w:val="Bullet3"/>
        <w:rPr>
          <w:rFonts w:cs="Arial"/>
        </w:rPr>
      </w:pPr>
      <w:r w:rsidRPr="00DE5D68">
        <w:rPr>
          <w:rFonts w:cs="Arial"/>
        </w:rPr>
        <w:t>the appointment of</w:t>
      </w:r>
      <w:r w:rsidRPr="00DE5D68" w:rsidR="005D1A88">
        <w:rPr>
          <w:rFonts w:cs="Arial"/>
        </w:rPr>
        <w:t xml:space="preserve"> a senior independent director;</w:t>
      </w:r>
    </w:p>
    <w:p w:rsidRPr="00DE5D68" w:rsidR="00821FE4" w:rsidP="00C27D12" w:rsidRDefault="00821FE4" w14:paraId="1271C2D2" w14:textId="4415D012">
      <w:pPr>
        <w:pStyle w:val="Bullet3"/>
        <w:ind w:left="1418" w:hanging="709"/>
        <w:rPr>
          <w:rFonts w:cs="Arial"/>
        </w:rPr>
      </w:pPr>
      <w:r w:rsidRPr="00DE5D68">
        <w:rPr>
          <w:rFonts w:cs="Arial"/>
        </w:rPr>
        <w:t>the role of the chief executive;</w:t>
      </w:r>
    </w:p>
    <w:p w:rsidRPr="00DE5D68" w:rsidR="00821FE4" w:rsidP="00C27D12" w:rsidRDefault="00821FE4" w14:paraId="314BA6E4" w14:textId="267CC97D">
      <w:pPr>
        <w:pStyle w:val="Bullet3"/>
        <w:ind w:left="1418" w:hanging="709"/>
        <w:rPr>
          <w:rFonts w:cs="Arial"/>
        </w:rPr>
      </w:pPr>
      <w:r w:rsidRPr="00DE5D68">
        <w:rPr>
          <w:rFonts w:cs="Arial"/>
        </w:rPr>
        <w:t xml:space="preserve">executive </w:t>
      </w:r>
      <w:r w:rsidRPr="00DE5D68" w:rsidR="000C0D70">
        <w:rPr>
          <w:rFonts w:cs="Arial"/>
        </w:rPr>
        <w:t>Directors</w:t>
      </w:r>
      <w:r w:rsidRPr="00DE5D68">
        <w:rPr>
          <w:rFonts w:cs="Arial"/>
        </w:rPr>
        <w:t xml:space="preserve">’ remuneration; </w:t>
      </w:r>
      <w:r w:rsidRPr="00DE5D68" w:rsidR="00AB1304">
        <w:rPr>
          <w:rFonts w:cs="Arial"/>
        </w:rPr>
        <w:t>and</w:t>
      </w:r>
    </w:p>
    <w:p w:rsidRPr="00DE5D68" w:rsidR="00821FE4" w:rsidP="00C27D12" w:rsidRDefault="00821FE4" w14:paraId="3E4E3FEF" w14:textId="1545A191">
      <w:pPr>
        <w:pStyle w:val="Bullet3"/>
        <w:ind w:left="1418" w:hanging="709"/>
        <w:rPr>
          <w:rFonts w:cs="Arial"/>
        </w:rPr>
      </w:pPr>
      <w:r w:rsidRPr="00DE5D68">
        <w:rPr>
          <w:rFonts w:cs="Arial"/>
        </w:rPr>
        <w:t>the need for an internal audit function.</w:t>
      </w:r>
    </w:p>
    <w:p w:rsidR="000170DE" w:rsidP="00C27D12" w:rsidRDefault="000170DE" w14:paraId="682D4B78" w14:textId="6AAC58F7">
      <w:pPr>
        <w:ind w:left="709"/>
        <w:rPr>
          <w:rFonts w:cs="Arial"/>
        </w:rPr>
      </w:pPr>
      <w:r w:rsidRPr="00DE5D68">
        <w:rPr>
          <w:rFonts w:cs="Arial"/>
        </w:rPr>
        <w:t xml:space="preserve">It is acknowledged in the UK Corporate Governance Code that some of its provisions may not be relevant to externally managed investment companies (such as the Company). </w:t>
      </w:r>
      <w:r w:rsidRPr="00DE5D68" w:rsidR="000A7AEC">
        <w:rPr>
          <w:rFonts w:cs="Arial"/>
        </w:rPr>
        <w:t>T</w:t>
      </w:r>
      <w:r w:rsidRPr="00DE5D68">
        <w:rPr>
          <w:rFonts w:cs="Arial"/>
        </w:rPr>
        <w:t xml:space="preserve">he Board does not consider that the above provisions are relevant to the Company. The Company will therefore not comply with these provisions. </w:t>
      </w:r>
    </w:p>
    <w:p w:rsidRPr="00DE5D68" w:rsidR="006A52B6" w:rsidP="006A52B6" w:rsidRDefault="006A52B6" w14:paraId="3BFA6994" w14:textId="19E467B1">
      <w:pPr>
        <w:ind w:left="709"/>
        <w:rPr>
          <w:rFonts w:cs="Arial"/>
        </w:rPr>
      </w:pPr>
      <w:r w:rsidRPr="00DE5D68">
        <w:rPr>
          <w:rFonts w:cs="Arial"/>
          <w:szCs w:val="20"/>
        </w:rPr>
        <w:t>The GFSC’s Finance Sector Code of Corporate Governance (the "</w:t>
      </w:r>
      <w:r w:rsidRPr="00DE5D68">
        <w:rPr>
          <w:rFonts w:cs="Arial"/>
          <w:b/>
          <w:szCs w:val="20"/>
        </w:rPr>
        <w:t>Code</w:t>
      </w:r>
      <w:r w:rsidR="00F37370">
        <w:rPr>
          <w:rFonts w:cs="Arial"/>
          <w:szCs w:val="20"/>
        </w:rPr>
        <w:t>"</w:t>
      </w:r>
      <w:r w:rsidRPr="00DE5D68">
        <w:rPr>
          <w:rFonts w:cs="Arial"/>
          <w:szCs w:val="20"/>
        </w:rPr>
        <w:t xml:space="preserve">) applies to the Company. The GFSC has stated in the Code that companies which report against the UK Corporate Governance Code or the AIC Code are deemed to meet the requirements of the Code, and need take no further action. </w:t>
      </w:r>
      <w:r w:rsidRPr="00DE5D68">
        <w:rPr>
          <w:rFonts w:cs="Arial"/>
        </w:rPr>
        <w:t>Accordingly, as the Company will report against the AIC Code, it will be deemed to mee</w:t>
      </w:r>
      <w:r>
        <w:rPr>
          <w:rFonts w:cs="Arial"/>
        </w:rPr>
        <w:t>t the requirements of the Code.</w:t>
      </w:r>
    </w:p>
    <w:p w:rsidR="00821FE4" w:rsidP="00C27D12" w:rsidRDefault="00821FE4" w14:paraId="3B56470E" w14:textId="25A1D0B7">
      <w:pPr>
        <w:ind w:left="709"/>
        <w:rPr>
          <w:rFonts w:cs="Arial"/>
        </w:rPr>
      </w:pPr>
      <w:r w:rsidRPr="00DE5D68">
        <w:rPr>
          <w:rFonts w:cs="Arial"/>
        </w:rPr>
        <w:t>The Compan</w:t>
      </w:r>
      <w:r w:rsidR="00ED289B">
        <w:rPr>
          <w:rFonts w:cs="Arial"/>
        </w:rPr>
        <w:t xml:space="preserve">y's Audit Committee </w:t>
      </w:r>
      <w:r w:rsidRPr="00DE5D68" w:rsidR="00891310">
        <w:rPr>
          <w:rFonts w:cs="Arial"/>
        </w:rPr>
        <w:t xml:space="preserve">is chaired by </w:t>
      </w:r>
      <w:r w:rsidR="00712377">
        <w:rPr>
          <w:rFonts w:cs="Arial"/>
        </w:rPr>
        <w:t>Helen Green</w:t>
      </w:r>
      <w:r w:rsidRPr="0098439E" w:rsidR="00ED289B">
        <w:rPr>
          <w:rFonts w:cs="Arial"/>
        </w:rPr>
        <w:t xml:space="preserve"> and </w:t>
      </w:r>
      <w:r w:rsidR="00E84CC3">
        <w:rPr>
          <w:rFonts w:cs="Arial"/>
        </w:rPr>
        <w:t>comprises all of the Directors</w:t>
      </w:r>
      <w:r w:rsidRPr="0098439E" w:rsidR="007D4336">
        <w:rPr>
          <w:rFonts w:cs="Arial"/>
        </w:rPr>
        <w:t>.</w:t>
      </w:r>
      <w:r w:rsidRPr="00DE5D68" w:rsidR="007D4336">
        <w:rPr>
          <w:rFonts w:cs="Arial"/>
        </w:rPr>
        <w:t xml:space="preserve"> The Audit Committee</w:t>
      </w:r>
      <w:r w:rsidRPr="00DE5D68">
        <w:rPr>
          <w:rFonts w:cs="Arial"/>
        </w:rPr>
        <w:t xml:space="preserve"> will meet at least </w:t>
      </w:r>
      <w:r w:rsidR="00784F95">
        <w:rPr>
          <w:rFonts w:cs="Arial"/>
        </w:rPr>
        <w:t>two</w:t>
      </w:r>
      <w:r w:rsidRPr="00DE5D68" w:rsidR="00E36BDB">
        <w:rPr>
          <w:rFonts w:cs="Arial"/>
        </w:rPr>
        <w:t xml:space="preserve"> times </w:t>
      </w:r>
      <w:r w:rsidRPr="00DE5D68">
        <w:rPr>
          <w:rFonts w:cs="Arial"/>
        </w:rPr>
        <w:t xml:space="preserve">a year. The Board considers that the members of the </w:t>
      </w:r>
      <w:r w:rsidRPr="00DE5D68">
        <w:rPr>
          <w:rFonts w:cs="Arial"/>
        </w:rPr>
        <w:lastRenderedPageBreak/>
        <w:t xml:space="preserve">Audit Committee have the requisite skills and experience to fulfil the responsibilities of the Audit Committee. The Audit Committee will examine the effectiveness of the Company's control systems. It will review the half-yearly and annual reports and also receive information from the Investment Manager. It will also review the scope, results, cost effectiveness, independence and objectivity of the external </w:t>
      </w:r>
      <w:r w:rsidRPr="00DE5D68" w:rsidR="000C0D70">
        <w:rPr>
          <w:rFonts w:cs="Arial"/>
        </w:rPr>
        <w:t>Auditor</w:t>
      </w:r>
      <w:r w:rsidRPr="00DE5D68">
        <w:rPr>
          <w:rFonts w:cs="Arial"/>
        </w:rPr>
        <w:t>.</w:t>
      </w:r>
    </w:p>
    <w:p w:rsidRPr="00DE5D68" w:rsidR="00E36AFC" w:rsidP="00C27D12" w:rsidRDefault="00F9129E" w14:paraId="13901C10" w14:textId="50F35E18">
      <w:pPr>
        <w:pStyle w:val="Heading1"/>
        <w:rPr>
          <w:rFonts w:cs="Arial"/>
          <w:caps w:val="0"/>
        </w:rPr>
      </w:pPr>
      <w:r w:rsidRPr="00DE5D68">
        <w:rPr>
          <w:rFonts w:cs="Arial"/>
          <w:caps w:val="0"/>
        </w:rPr>
        <w:t>DIRECTORS’ SHARE DEALINGS</w:t>
      </w:r>
    </w:p>
    <w:p w:rsidRPr="00DE5D68" w:rsidR="002902E7" w:rsidP="00C27D12" w:rsidRDefault="00E36AFC" w14:paraId="54831DE1" w14:textId="3590E37B">
      <w:pPr>
        <w:ind w:left="709"/>
        <w:rPr>
          <w:rFonts w:cs="Arial"/>
        </w:rPr>
      </w:pPr>
      <w:r w:rsidRPr="00DE5D68">
        <w:rPr>
          <w:rFonts w:cs="Arial"/>
        </w:rPr>
        <w:t>T</w:t>
      </w:r>
      <w:r w:rsidRPr="00DE5D68" w:rsidR="002902E7">
        <w:rPr>
          <w:rFonts w:cs="Arial"/>
        </w:rPr>
        <w:t xml:space="preserve">he </w:t>
      </w:r>
      <w:r w:rsidRPr="00DE5D68" w:rsidR="00310D91">
        <w:rPr>
          <w:rFonts w:cs="Arial"/>
        </w:rPr>
        <w:t xml:space="preserve">Directors will comply with the share dealing code adopted by the Company in relation to their dealings in </w:t>
      </w:r>
      <w:r w:rsidR="00AF6F83">
        <w:rPr>
          <w:rFonts w:cs="Arial"/>
        </w:rPr>
        <w:t xml:space="preserve">Ordinary </w:t>
      </w:r>
      <w:r w:rsidRPr="00DE5D68" w:rsidR="00310D91">
        <w:rPr>
          <w:rFonts w:cs="Arial"/>
        </w:rPr>
        <w:t>Shares. The Board will be responsible for taking all proper and reasonable steps to ensure compliance with the share dealing code by the Directors.</w:t>
      </w:r>
    </w:p>
    <w:p w:rsidR="00EB78A2" w:rsidP="00EB78A2" w:rsidRDefault="00EB78A2" w14:paraId="0ED3010A" w14:textId="77777777">
      <w:pPr>
        <w:pStyle w:val="Heading1"/>
        <w:rPr>
          <w:rFonts w:cs="Arial"/>
        </w:rPr>
      </w:pPr>
      <w:bookmarkStart w:name="_Hlk190875147" w:id="198"/>
      <w:bookmarkEnd w:id="130"/>
      <w:r>
        <w:rPr>
          <w:rFonts w:cs="Arial"/>
        </w:rPr>
        <w:t>UNCLAIMED MONEY POLICY</w:t>
      </w:r>
    </w:p>
    <w:p w:rsidRPr="00DE5D68" w:rsidR="00EB78A2" w:rsidP="00EB78A2" w:rsidRDefault="00EB78A2" w14:paraId="2EEE7170" w14:textId="20E10FC9">
      <w:pPr>
        <w:ind w:left="709"/>
        <w:rPr>
          <w:rFonts w:cs="Arial"/>
        </w:rPr>
        <w:sectPr w:rsidRPr="00DE5D68" w:rsidR="00EB78A2" w:rsidSect="00706BDB">
          <w:headerReference w:type="even" r:id="rId16"/>
          <w:headerReference w:type="default" r:id="rId17"/>
          <w:headerReference w:type="first" r:id="rId18"/>
          <w:pgSz w:w="11906" w:h="16838" w:code="9"/>
          <w:pgMar w:top="1134" w:right="1134" w:bottom="1134" w:left="1418" w:header="680" w:footer="680" w:gutter="0"/>
          <w:paperSrc w:first="263" w:other="263"/>
          <w:cols w:space="0"/>
          <w:docGrid w:linePitch="360"/>
        </w:sectPr>
      </w:pPr>
      <w:r w:rsidRPr="00EB78A2">
        <w:rPr>
          <w:rFonts w:cs="Arial"/>
        </w:rPr>
        <w:t xml:space="preserve">The Company </w:t>
      </w:r>
      <w:r>
        <w:rPr>
          <w:rFonts w:cs="Arial"/>
        </w:rPr>
        <w:t>will</w:t>
      </w:r>
      <w:r w:rsidRPr="00EB78A2">
        <w:rPr>
          <w:rFonts w:cs="Arial"/>
        </w:rPr>
        <w:t xml:space="preserve"> adopt a policy on unclaimed investor money </w:t>
      </w:r>
      <w:r>
        <w:rPr>
          <w:rFonts w:cs="Arial"/>
        </w:rPr>
        <w:t>on</w:t>
      </w:r>
      <w:r w:rsidRPr="00EB78A2">
        <w:rPr>
          <w:rFonts w:cs="Arial"/>
        </w:rPr>
        <w:t xml:space="preserve"> Initial Admission. A copy of this policy </w:t>
      </w:r>
      <w:r>
        <w:rPr>
          <w:rFonts w:cs="Arial"/>
        </w:rPr>
        <w:t>will</w:t>
      </w:r>
      <w:r w:rsidRPr="00EB78A2">
        <w:rPr>
          <w:rFonts w:cs="Arial"/>
        </w:rPr>
        <w:t xml:space="preserve"> be made available to investors on request</w:t>
      </w:r>
      <w:r>
        <w:rPr>
          <w:rFonts w:cs="Arial"/>
        </w:rPr>
        <w:t>.</w:t>
      </w:r>
    </w:p>
    <w:bookmarkStart w:name="_Ref65764869" w:id="199"/>
    <w:bookmarkEnd w:id="198"/>
    <w:p w:rsidRPr="00DE5D68" w:rsidR="00F67244" w:rsidP="00D73005" w:rsidRDefault="00F67244" w14:paraId="0C82AF15" w14:textId="77E0C19E">
      <w:pPr>
        <w:pStyle w:val="Part"/>
        <w:rPr>
          <w:b/>
        </w:rPr>
      </w:pPr>
      <w:r w:rsidRPr="00DE5D68">
        <w:rPr>
          <w:b/>
        </w:rPr>
        <w:lastRenderedPageBreak/>
        <w:fldChar w:fldCharType="begin"/>
      </w:r>
      <w:r w:rsidRPr="00DE5D68">
        <w:instrText xml:space="preserve"> TC </w:instrText>
      </w:r>
      <w:r w:rsidRPr="00DE5D68" w:rsidR="00170F35">
        <w:instrText>"</w:instrText>
      </w:r>
      <w:bookmarkStart w:name="_Toc462754112" w:id="200"/>
      <w:bookmarkStart w:name="_Toc493520583" w:id="201"/>
      <w:bookmarkStart w:name="_Toc78485974" w:id="202"/>
      <w:bookmarkStart w:name="_Toc190288033" w:id="203"/>
      <w:r w:rsidRPr="00DE5D68">
        <w:instrText xml:space="preserve">PART </w:instrText>
      </w:r>
      <w:r w:rsidR="0030744B">
        <w:instrText>3</w:instrText>
      </w:r>
      <w:r w:rsidRPr="00DE5D68" w:rsidR="00780E1C">
        <w:instrText xml:space="preserve"> </w:instrText>
      </w:r>
      <w:r w:rsidRPr="00DE5D68">
        <w:instrText xml:space="preserve">– THE </w:instrText>
      </w:r>
      <w:bookmarkEnd w:id="200"/>
      <w:bookmarkEnd w:id="201"/>
      <w:bookmarkEnd w:id="202"/>
      <w:r w:rsidR="00CC3344">
        <w:instrText xml:space="preserve">INITIAL </w:instrText>
      </w:r>
      <w:r w:rsidR="000706D6">
        <w:instrText>PLACING</w:instrText>
      </w:r>
      <w:bookmarkEnd w:id="203"/>
      <w:r w:rsidRPr="00DE5D68" w:rsidR="00170F35">
        <w:instrText>"</w:instrText>
      </w:r>
      <w:r w:rsidRPr="00DE5D68">
        <w:instrText xml:space="preserve"> \f C \l </w:instrText>
      </w:r>
      <w:r w:rsidRPr="00DE5D68" w:rsidR="00170F35">
        <w:instrText>"</w:instrText>
      </w:r>
      <w:r w:rsidRPr="00DE5D68">
        <w:instrText>1</w:instrText>
      </w:r>
      <w:r w:rsidRPr="00DE5D68" w:rsidR="00170F35">
        <w:instrText>"</w:instrText>
      </w:r>
      <w:r w:rsidRPr="00DE5D68">
        <w:instrText xml:space="preserve"> </w:instrText>
      </w:r>
      <w:r w:rsidRPr="00DE5D68">
        <w:rPr>
          <w:b/>
        </w:rPr>
        <w:fldChar w:fldCharType="end"/>
      </w:r>
      <w:bookmarkEnd w:id="199"/>
    </w:p>
    <w:p w:rsidRPr="00DE5D68" w:rsidR="00777006" w:rsidP="00C27D12" w:rsidRDefault="00BC6881" w14:paraId="0C83607F" w14:textId="31351DA4">
      <w:pPr>
        <w:jc w:val="center"/>
        <w:rPr>
          <w:rFonts w:cs="Arial"/>
          <w:b/>
          <w:szCs w:val="20"/>
        </w:rPr>
      </w:pPr>
      <w:r w:rsidRPr="00DE5D68">
        <w:rPr>
          <w:rFonts w:cs="Arial"/>
          <w:b/>
          <w:szCs w:val="20"/>
        </w:rPr>
        <w:t>THE</w:t>
      </w:r>
      <w:r w:rsidRPr="00DE5D68" w:rsidR="00371C7F">
        <w:rPr>
          <w:rFonts w:cs="Arial"/>
          <w:b/>
          <w:szCs w:val="20"/>
        </w:rPr>
        <w:t xml:space="preserve"> </w:t>
      </w:r>
      <w:r w:rsidR="00CC3344">
        <w:rPr>
          <w:rFonts w:cs="Arial"/>
          <w:b/>
          <w:szCs w:val="20"/>
        </w:rPr>
        <w:t xml:space="preserve">INITIAL </w:t>
      </w:r>
      <w:r w:rsidR="000706D6">
        <w:rPr>
          <w:rFonts w:cs="Arial"/>
          <w:b/>
          <w:szCs w:val="20"/>
        </w:rPr>
        <w:t>PLACING</w:t>
      </w:r>
    </w:p>
    <w:p w:rsidRPr="00DE5D68" w:rsidR="00F67244" w:rsidP="00C27D12" w:rsidRDefault="00F9129E" w14:paraId="27198D87" w14:textId="4BD0B247">
      <w:pPr>
        <w:pStyle w:val="Heading1"/>
        <w:numPr>
          <w:ilvl w:val="0"/>
          <w:numId w:val="27"/>
        </w:numPr>
        <w:ind w:hanging="720"/>
        <w:rPr>
          <w:rFonts w:cs="Arial"/>
          <w:caps w:val="0"/>
        </w:rPr>
      </w:pPr>
      <w:r w:rsidRPr="00DE5D68">
        <w:rPr>
          <w:rFonts w:cs="Arial"/>
          <w:caps w:val="0"/>
        </w:rPr>
        <w:t>INTRODUCTION</w:t>
      </w:r>
    </w:p>
    <w:p w:rsidR="00F67244" w:rsidP="00C27D12" w:rsidRDefault="00F67244" w14:paraId="4D9C078C" w14:textId="71578A5B">
      <w:pPr>
        <w:rPr>
          <w:rFonts w:cs="Arial"/>
        </w:rPr>
      </w:pPr>
      <w:r w:rsidRPr="00DE5D68">
        <w:rPr>
          <w:rFonts w:cs="Arial"/>
        </w:rPr>
        <w:t xml:space="preserve">The </w:t>
      </w:r>
      <w:r w:rsidRPr="00DE5D68" w:rsidR="00E8614B">
        <w:rPr>
          <w:rFonts w:cs="Arial"/>
        </w:rPr>
        <w:t xml:space="preserve">Company </w:t>
      </w:r>
      <w:r w:rsidR="004177A2">
        <w:rPr>
          <w:rFonts w:cs="Arial"/>
        </w:rPr>
        <w:t>will</w:t>
      </w:r>
      <w:r w:rsidRPr="00DE5D68" w:rsidR="00891310">
        <w:rPr>
          <w:rFonts w:cs="Arial"/>
        </w:rPr>
        <w:t xml:space="preserve"> </w:t>
      </w:r>
      <w:r w:rsidRPr="00DE5D68" w:rsidR="001C20CD">
        <w:rPr>
          <w:rFonts w:cs="Arial"/>
        </w:rPr>
        <w:t>i</w:t>
      </w:r>
      <w:r w:rsidRPr="00DE5D68" w:rsidR="000C0D70">
        <w:rPr>
          <w:rFonts w:cs="Arial"/>
        </w:rPr>
        <w:t>ssue</w:t>
      </w:r>
      <w:r w:rsidR="00191DEA">
        <w:rPr>
          <w:rFonts w:cs="Arial"/>
        </w:rPr>
        <w:t xml:space="preserve"> </w:t>
      </w:r>
      <w:r w:rsidR="00893EA6">
        <w:rPr>
          <w:rFonts w:cs="Arial"/>
          <w:spacing w:val="6"/>
        </w:rPr>
        <w:t>54</w:t>
      </w:r>
      <w:r w:rsidRPr="00DE5D68" w:rsidR="00BC6881">
        <w:rPr>
          <w:rFonts w:cs="Arial"/>
        </w:rPr>
        <w:t xml:space="preserve"> </w:t>
      </w:r>
      <w:r w:rsidRPr="00DE5D68" w:rsidR="00E8614B">
        <w:rPr>
          <w:rFonts w:cs="Arial"/>
        </w:rPr>
        <w:t>million</w:t>
      </w:r>
      <w:r w:rsidRPr="00DE5D68" w:rsidR="00A570E1">
        <w:rPr>
          <w:rFonts w:cs="Arial"/>
        </w:rPr>
        <w:t xml:space="preserve"> Ordinary Shares</w:t>
      </w:r>
      <w:r w:rsidRPr="00DE5D68" w:rsidR="00BC6881">
        <w:rPr>
          <w:rFonts w:cs="Arial"/>
        </w:rPr>
        <w:t xml:space="preserve"> pursuant to the</w:t>
      </w:r>
      <w:r w:rsidRPr="00DE5D68" w:rsidR="0098050E">
        <w:rPr>
          <w:rFonts w:cs="Arial"/>
        </w:rPr>
        <w:t xml:space="preserve"> </w:t>
      </w:r>
      <w:r w:rsidR="00CC3344">
        <w:rPr>
          <w:rFonts w:cs="Arial"/>
        </w:rPr>
        <w:t xml:space="preserve">Initial </w:t>
      </w:r>
      <w:r w:rsidR="000706D6">
        <w:rPr>
          <w:rFonts w:cs="Arial"/>
        </w:rPr>
        <w:t>Placing</w:t>
      </w:r>
      <w:r w:rsidR="00A46153">
        <w:rPr>
          <w:rFonts w:cs="Arial"/>
        </w:rPr>
        <w:t xml:space="preserve"> (which number includes the single Ordinary Share issued on the Company's incorporation)</w:t>
      </w:r>
      <w:r w:rsidRPr="00DE5D68" w:rsidR="00E8614B">
        <w:rPr>
          <w:rFonts w:cs="Arial"/>
        </w:rPr>
        <w:t xml:space="preserve">. </w:t>
      </w:r>
      <w:r w:rsidRPr="00DE5D68" w:rsidR="00BC6881">
        <w:rPr>
          <w:rFonts w:cs="Arial"/>
        </w:rPr>
        <w:t xml:space="preserve">The </w:t>
      </w:r>
      <w:r w:rsidR="00CC3344">
        <w:rPr>
          <w:rFonts w:cs="Arial"/>
        </w:rPr>
        <w:t xml:space="preserve">Initial </w:t>
      </w:r>
      <w:r w:rsidR="000706D6">
        <w:rPr>
          <w:rFonts w:cs="Arial"/>
        </w:rPr>
        <w:t>Placing</w:t>
      </w:r>
      <w:r w:rsidRPr="00DE5D68" w:rsidR="00D57329">
        <w:rPr>
          <w:rFonts w:cs="Arial"/>
        </w:rPr>
        <w:t xml:space="preserve"> has not been underwritten.</w:t>
      </w:r>
      <w:r w:rsidRPr="00DE5D68" w:rsidR="0098050E">
        <w:rPr>
          <w:rFonts w:cs="Arial"/>
        </w:rPr>
        <w:t xml:space="preserve"> </w:t>
      </w:r>
      <w:bookmarkStart w:name="_Hlk190172445" w:id="204"/>
      <w:r w:rsidRPr="00DE5D68">
        <w:rPr>
          <w:rFonts w:cs="Arial"/>
        </w:rPr>
        <w:t xml:space="preserve">The </w:t>
      </w:r>
      <w:r w:rsidRPr="00DE5D68" w:rsidR="002167F3">
        <w:rPr>
          <w:rFonts w:cs="Arial"/>
        </w:rPr>
        <w:t>Net</w:t>
      </w:r>
      <w:r w:rsidR="00941C94">
        <w:rPr>
          <w:rFonts w:cs="Arial"/>
        </w:rPr>
        <w:t xml:space="preserve"> </w:t>
      </w:r>
      <w:r w:rsidRPr="00DE5D68" w:rsidR="002167F3">
        <w:rPr>
          <w:rFonts w:cs="Arial"/>
        </w:rPr>
        <w:t>Proceeds</w:t>
      </w:r>
      <w:r w:rsidRPr="00DE5D68">
        <w:rPr>
          <w:rFonts w:cs="Arial"/>
        </w:rPr>
        <w:t>, after deduction of expenses</w:t>
      </w:r>
      <w:r w:rsidR="00301A97">
        <w:rPr>
          <w:rFonts w:cs="Arial"/>
        </w:rPr>
        <w:t xml:space="preserve"> will</w:t>
      </w:r>
      <w:r w:rsidRPr="00DE5D68">
        <w:rPr>
          <w:rFonts w:cs="Arial"/>
        </w:rPr>
        <w:t xml:space="preserve"> be </w:t>
      </w:r>
      <w:r w:rsidR="00301A97">
        <w:rPr>
          <w:rFonts w:cs="Arial"/>
        </w:rPr>
        <w:t xml:space="preserve">approximately </w:t>
      </w:r>
      <w:r w:rsidRPr="00DE5D68" w:rsidR="0098050E">
        <w:rPr>
          <w:rFonts w:cs="Arial"/>
        </w:rPr>
        <w:t>£</w:t>
      </w:r>
      <w:r w:rsidR="00893EA6">
        <w:rPr>
          <w:rFonts w:cs="Arial"/>
        </w:rPr>
        <w:t>53.2</w:t>
      </w:r>
      <w:r w:rsidRPr="00DE5D68" w:rsidR="00DB7D6F">
        <w:rPr>
          <w:rFonts w:cs="Arial"/>
        </w:rPr>
        <w:t xml:space="preserve"> </w:t>
      </w:r>
      <w:r w:rsidRPr="00DE5D68">
        <w:rPr>
          <w:rFonts w:cs="Arial"/>
        </w:rPr>
        <w:t>million</w:t>
      </w:r>
      <w:r w:rsidR="00301A97">
        <w:rPr>
          <w:rFonts w:cs="Arial"/>
        </w:rPr>
        <w:t>.</w:t>
      </w:r>
      <w:r w:rsidRPr="00DE5D68">
        <w:rPr>
          <w:rFonts w:cs="Arial"/>
        </w:rPr>
        <w:t xml:space="preserve"> </w:t>
      </w:r>
    </w:p>
    <w:bookmarkEnd w:id="204"/>
    <w:p w:rsidRPr="00DE5D68" w:rsidR="00F67244" w:rsidP="00C27D12" w:rsidRDefault="00F67244" w14:paraId="75DA5B80" w14:textId="7150DC4F">
      <w:pPr>
        <w:rPr>
          <w:rFonts w:cs="Arial"/>
        </w:rPr>
      </w:pPr>
      <w:r w:rsidRPr="00DE5D68">
        <w:rPr>
          <w:rFonts w:cs="Arial"/>
        </w:rPr>
        <w:t xml:space="preserve">Application </w:t>
      </w:r>
      <w:r w:rsidR="004177A2">
        <w:rPr>
          <w:rFonts w:cs="Arial"/>
        </w:rPr>
        <w:t>has been</w:t>
      </w:r>
      <w:r w:rsidRPr="00DE5D68">
        <w:rPr>
          <w:rFonts w:cs="Arial"/>
        </w:rPr>
        <w:t xml:space="preserve"> made for the</w:t>
      </w:r>
      <w:r w:rsidRPr="00DE5D68" w:rsidR="002167F3">
        <w:rPr>
          <w:rFonts w:cs="Arial"/>
        </w:rPr>
        <w:t xml:space="preserve"> Ordinary</w:t>
      </w:r>
      <w:r w:rsidRPr="00DE5D68">
        <w:rPr>
          <w:rFonts w:cs="Arial"/>
        </w:rPr>
        <w:t xml:space="preserve"> Shares </w:t>
      </w:r>
      <w:r w:rsidRPr="00DE5D68" w:rsidR="00572153">
        <w:rPr>
          <w:rFonts w:cs="Arial"/>
        </w:rPr>
        <w:t xml:space="preserve">to be issued pursuant to the </w:t>
      </w:r>
      <w:r w:rsidR="00CC3344">
        <w:rPr>
          <w:rFonts w:cs="Arial"/>
        </w:rPr>
        <w:t xml:space="preserve">Initial </w:t>
      </w:r>
      <w:r w:rsidR="000706D6">
        <w:rPr>
          <w:rFonts w:cs="Arial"/>
        </w:rPr>
        <w:t>Placing</w:t>
      </w:r>
      <w:r w:rsidRPr="00DE5D68" w:rsidR="00572153">
        <w:rPr>
          <w:rFonts w:cs="Arial"/>
        </w:rPr>
        <w:t xml:space="preserve"> </w:t>
      </w:r>
      <w:r w:rsidRPr="00DE5D68">
        <w:rPr>
          <w:rFonts w:cs="Arial"/>
        </w:rPr>
        <w:t xml:space="preserve">to be admitted to </w:t>
      </w:r>
      <w:r w:rsidRPr="00DE5D68" w:rsidR="00041024">
        <w:rPr>
          <w:rFonts w:cs="Arial"/>
        </w:rPr>
        <w:t>tra</w:t>
      </w:r>
      <w:r w:rsidRPr="00DE5D68" w:rsidR="00B26B00">
        <w:rPr>
          <w:rFonts w:cs="Arial"/>
        </w:rPr>
        <w:t>ding on the Specialist Fund Segment</w:t>
      </w:r>
      <w:r w:rsidRPr="00DE5D68" w:rsidR="00041024">
        <w:rPr>
          <w:rFonts w:cs="Arial"/>
        </w:rPr>
        <w:t xml:space="preserve"> of the </w:t>
      </w:r>
      <w:r w:rsidRPr="00DE5D68" w:rsidR="00E355F0">
        <w:rPr>
          <w:rFonts w:cs="Arial"/>
        </w:rPr>
        <w:t>M</w:t>
      </w:r>
      <w:r w:rsidRPr="00DE5D68" w:rsidR="00041024">
        <w:rPr>
          <w:rFonts w:cs="Arial"/>
        </w:rPr>
        <w:t xml:space="preserve">ain </w:t>
      </w:r>
      <w:r w:rsidRPr="00DE5D68" w:rsidR="00E355F0">
        <w:rPr>
          <w:rFonts w:cs="Arial"/>
        </w:rPr>
        <w:t>M</w:t>
      </w:r>
      <w:r w:rsidRPr="00DE5D68" w:rsidR="00041024">
        <w:rPr>
          <w:rFonts w:cs="Arial"/>
        </w:rPr>
        <w:t>arket</w:t>
      </w:r>
      <w:r w:rsidRPr="00DE5D68">
        <w:rPr>
          <w:rFonts w:cs="Arial"/>
        </w:rPr>
        <w:t>. It is expected that</w:t>
      </w:r>
      <w:r w:rsidRPr="00DE5D68" w:rsidR="0098050E">
        <w:rPr>
          <w:rFonts w:cs="Arial"/>
        </w:rPr>
        <w:t xml:space="preserve"> Initial</w:t>
      </w:r>
      <w:r w:rsidRPr="00DE5D68">
        <w:rPr>
          <w:rFonts w:cs="Arial"/>
        </w:rPr>
        <w:t xml:space="preserve"> Admission will become effective and dealings in the </w:t>
      </w:r>
      <w:r w:rsidRPr="00DE5D68" w:rsidR="002167F3">
        <w:rPr>
          <w:rFonts w:cs="Arial"/>
        </w:rPr>
        <w:t xml:space="preserve">Ordinary </w:t>
      </w:r>
      <w:r w:rsidRPr="00DE5D68">
        <w:rPr>
          <w:rFonts w:cs="Arial"/>
        </w:rPr>
        <w:t xml:space="preserve">Shares will </w:t>
      </w:r>
      <w:r w:rsidRPr="00DE5D68" w:rsidR="0098050E">
        <w:rPr>
          <w:rFonts w:cs="Arial"/>
        </w:rPr>
        <w:t xml:space="preserve">commence at 8.00 a.m. on </w:t>
      </w:r>
      <w:r w:rsidR="0055680D">
        <w:rPr>
          <w:rFonts w:cs="Arial"/>
        </w:rPr>
        <w:t>2</w:t>
      </w:r>
      <w:r w:rsidR="007D3786">
        <w:rPr>
          <w:rFonts w:cs="Arial"/>
        </w:rPr>
        <w:t>5</w:t>
      </w:r>
      <w:r w:rsidRPr="00DE5D68" w:rsidR="0098050E">
        <w:rPr>
          <w:rFonts w:cs="Arial"/>
        </w:rPr>
        <w:t xml:space="preserve"> </w:t>
      </w:r>
      <w:r w:rsidR="00A10F64">
        <w:rPr>
          <w:rFonts w:cs="Arial"/>
        </w:rPr>
        <w:t xml:space="preserve">February </w:t>
      </w:r>
      <w:r w:rsidRPr="00DE5D68" w:rsidR="0098050E">
        <w:rPr>
          <w:rFonts w:cs="Arial"/>
        </w:rPr>
        <w:t>202</w:t>
      </w:r>
      <w:r w:rsidR="00914DBD">
        <w:rPr>
          <w:rFonts w:cs="Arial"/>
        </w:rPr>
        <w:t>5</w:t>
      </w:r>
      <w:r w:rsidRPr="00DE5D68">
        <w:rPr>
          <w:rFonts w:cs="Arial"/>
        </w:rPr>
        <w:t xml:space="preserve">. </w:t>
      </w:r>
    </w:p>
    <w:p w:rsidRPr="000706D6" w:rsidR="00F54AB8" w:rsidP="00C27D12" w:rsidRDefault="00941C94" w14:paraId="5D16ADB0" w14:textId="60AEE0EB">
      <w:pPr>
        <w:pStyle w:val="Heading1"/>
        <w:numPr>
          <w:ilvl w:val="0"/>
          <w:numId w:val="27"/>
        </w:numPr>
        <w:ind w:hanging="720"/>
        <w:rPr>
          <w:rFonts w:cs="Arial"/>
          <w:caps w:val="0"/>
        </w:rPr>
      </w:pPr>
      <w:r>
        <w:rPr>
          <w:rFonts w:cs="Arial"/>
          <w:caps w:val="0"/>
        </w:rPr>
        <w:t xml:space="preserve">THE </w:t>
      </w:r>
      <w:r w:rsidR="00CC3344">
        <w:rPr>
          <w:rFonts w:cs="Arial"/>
          <w:caps w:val="0"/>
        </w:rPr>
        <w:t xml:space="preserve">INITIAL </w:t>
      </w:r>
      <w:r w:rsidR="000706D6">
        <w:rPr>
          <w:rFonts w:cs="Arial"/>
          <w:caps w:val="0"/>
        </w:rPr>
        <w:t>PLACING</w:t>
      </w:r>
    </w:p>
    <w:p w:rsidRPr="00DE5D68" w:rsidR="00EC4510" w:rsidP="00C27D12" w:rsidRDefault="00C42326" w14:paraId="4A12267B" w14:textId="23BDF72B">
      <w:pPr>
        <w:rPr>
          <w:rFonts w:cs="Arial"/>
        </w:rPr>
      </w:pPr>
      <w:r w:rsidRPr="00DE5D68">
        <w:rPr>
          <w:rFonts w:cs="Arial"/>
        </w:rPr>
        <w:t xml:space="preserve">Ordinary Shares will be issued pursuant to the </w:t>
      </w:r>
      <w:r w:rsidR="00CC3344">
        <w:rPr>
          <w:rFonts w:cs="Arial"/>
        </w:rPr>
        <w:t xml:space="preserve">Initial </w:t>
      </w:r>
      <w:r w:rsidR="000706D6">
        <w:rPr>
          <w:rFonts w:cs="Arial"/>
        </w:rPr>
        <w:t>Placing</w:t>
      </w:r>
      <w:r w:rsidRPr="00DE5D68" w:rsidR="00EC4510">
        <w:rPr>
          <w:rFonts w:cs="Arial"/>
        </w:rPr>
        <w:t xml:space="preserve"> at an Issue Price of </w:t>
      </w:r>
      <w:r w:rsidR="003D0555">
        <w:rPr>
          <w:rFonts w:cs="Arial"/>
        </w:rPr>
        <w:t>100p</w:t>
      </w:r>
      <w:r w:rsidRPr="00DE5D68" w:rsidR="00886A10">
        <w:rPr>
          <w:rFonts w:cs="Arial"/>
        </w:rPr>
        <w:t xml:space="preserve"> </w:t>
      </w:r>
      <w:r w:rsidRPr="00DE5D68" w:rsidR="00F54AB8">
        <w:rPr>
          <w:rFonts w:cs="Arial"/>
        </w:rPr>
        <w:t xml:space="preserve">per </w:t>
      </w:r>
      <w:r w:rsidRPr="00DE5D68" w:rsidR="008835A9">
        <w:rPr>
          <w:rFonts w:cs="Arial"/>
        </w:rPr>
        <w:t xml:space="preserve">Ordinary </w:t>
      </w:r>
      <w:r w:rsidRPr="00DE5D68" w:rsidR="00F54AB8">
        <w:rPr>
          <w:rFonts w:cs="Arial"/>
        </w:rPr>
        <w:t xml:space="preserve">Share. </w:t>
      </w:r>
    </w:p>
    <w:p w:rsidRPr="00DE5D68" w:rsidR="00F54AB8" w:rsidP="00C27D12" w:rsidRDefault="00F54AB8" w14:paraId="355B2BF4" w14:textId="6DDFB7E8">
      <w:pPr>
        <w:rPr>
          <w:rFonts w:cs="Arial"/>
        </w:rPr>
      </w:pPr>
      <w:r w:rsidRPr="00DE5D68">
        <w:rPr>
          <w:rFonts w:cs="Arial"/>
        </w:rPr>
        <w:t>The</w:t>
      </w:r>
      <w:r w:rsidRPr="00DE5D68" w:rsidR="003052E4">
        <w:rPr>
          <w:rFonts w:cs="Arial"/>
        </w:rPr>
        <w:t xml:space="preserve"> </w:t>
      </w:r>
      <w:r w:rsidR="00CC3344">
        <w:rPr>
          <w:rFonts w:cs="Arial"/>
        </w:rPr>
        <w:t xml:space="preserve">Initial </w:t>
      </w:r>
      <w:r w:rsidR="000706D6">
        <w:rPr>
          <w:rFonts w:cs="Arial"/>
        </w:rPr>
        <w:t>Placing</w:t>
      </w:r>
      <w:r w:rsidRPr="00DE5D68" w:rsidR="00C42326">
        <w:rPr>
          <w:rFonts w:cs="Arial"/>
        </w:rPr>
        <w:t xml:space="preserve"> is</w:t>
      </w:r>
      <w:r w:rsidRPr="00DE5D68">
        <w:rPr>
          <w:rFonts w:cs="Arial"/>
        </w:rPr>
        <w:t xml:space="preserve"> conditional, inter alia, on: (</w:t>
      </w:r>
      <w:proofErr w:type="spellStart"/>
      <w:r w:rsidRPr="00DE5D68">
        <w:rPr>
          <w:rFonts w:cs="Arial"/>
        </w:rPr>
        <w:t>i</w:t>
      </w:r>
      <w:proofErr w:type="spellEnd"/>
      <w:r w:rsidRPr="00DE5D68">
        <w:rPr>
          <w:rFonts w:cs="Arial"/>
        </w:rPr>
        <w:t xml:space="preserve">) </w:t>
      </w:r>
      <w:r w:rsidRPr="00DE5D68" w:rsidR="003052E4">
        <w:rPr>
          <w:rFonts w:cs="Arial"/>
        </w:rPr>
        <w:t xml:space="preserve">Initial </w:t>
      </w:r>
      <w:r w:rsidRPr="00DE5D68">
        <w:rPr>
          <w:rFonts w:cs="Arial"/>
        </w:rPr>
        <w:t xml:space="preserve">Admission having become effective on or before 8.00 a.m. on </w:t>
      </w:r>
      <w:r w:rsidR="0055680D">
        <w:rPr>
          <w:rFonts w:cs="Arial"/>
        </w:rPr>
        <w:t>2</w:t>
      </w:r>
      <w:r w:rsidR="007D3786">
        <w:rPr>
          <w:rFonts w:cs="Arial"/>
        </w:rPr>
        <w:t>5</w:t>
      </w:r>
      <w:r w:rsidRPr="00DE5D68">
        <w:rPr>
          <w:rFonts w:cs="Arial"/>
        </w:rPr>
        <w:t xml:space="preserve"> </w:t>
      </w:r>
      <w:r w:rsidR="00A10F64">
        <w:rPr>
          <w:rFonts w:cs="Arial"/>
        </w:rPr>
        <w:t xml:space="preserve">February </w:t>
      </w:r>
      <w:r w:rsidRPr="00DE5D68" w:rsidR="003052E4">
        <w:rPr>
          <w:rFonts w:cs="Arial"/>
        </w:rPr>
        <w:t>202</w:t>
      </w:r>
      <w:r w:rsidR="000706D6">
        <w:rPr>
          <w:rFonts w:cs="Arial"/>
        </w:rPr>
        <w:t>5</w:t>
      </w:r>
      <w:r w:rsidRPr="00DE5D68" w:rsidR="00BC6881">
        <w:rPr>
          <w:rFonts w:cs="Arial"/>
        </w:rPr>
        <w:t xml:space="preserve"> </w:t>
      </w:r>
      <w:r w:rsidRPr="00DE5D68">
        <w:rPr>
          <w:rFonts w:cs="Arial"/>
        </w:rPr>
        <w:t xml:space="preserve">or such later time and/or date as the Company and </w:t>
      </w:r>
      <w:r w:rsidR="00941C94">
        <w:rPr>
          <w:rFonts w:cs="Arial"/>
        </w:rPr>
        <w:t>Singer Capital Markets</w:t>
      </w:r>
      <w:r w:rsidRPr="00DE5D68" w:rsidR="00631C3F">
        <w:rPr>
          <w:rFonts w:cs="Arial"/>
        </w:rPr>
        <w:t xml:space="preserve"> </w:t>
      </w:r>
      <w:r w:rsidRPr="00DE5D68">
        <w:rPr>
          <w:rFonts w:cs="Arial"/>
        </w:rPr>
        <w:t xml:space="preserve">may agree (being not later than 8.00 a.m. on </w:t>
      </w:r>
      <w:r w:rsidR="00572F6E">
        <w:rPr>
          <w:rFonts w:cs="Arial"/>
        </w:rPr>
        <w:t>31 March</w:t>
      </w:r>
      <w:r w:rsidR="00A10F64">
        <w:rPr>
          <w:rFonts w:cs="Arial"/>
        </w:rPr>
        <w:t xml:space="preserve"> </w:t>
      </w:r>
      <w:r w:rsidRPr="00DE5D68" w:rsidR="003052E4">
        <w:rPr>
          <w:rFonts w:cs="Arial"/>
        </w:rPr>
        <w:t>202</w:t>
      </w:r>
      <w:r w:rsidR="000706D6">
        <w:rPr>
          <w:rFonts w:cs="Arial"/>
        </w:rPr>
        <w:t>5</w:t>
      </w:r>
      <w:r w:rsidRPr="00DE5D68">
        <w:rPr>
          <w:rFonts w:cs="Arial"/>
        </w:rPr>
        <w:t xml:space="preserve">); (ii) the </w:t>
      </w:r>
      <w:r w:rsidR="00020807">
        <w:rPr>
          <w:rFonts w:cs="Arial"/>
        </w:rPr>
        <w:t>Placing Agreement</w:t>
      </w:r>
      <w:r w:rsidRPr="00DE5D68">
        <w:rPr>
          <w:rFonts w:cs="Arial"/>
        </w:rPr>
        <w:t xml:space="preserve"> becoming wholly unconditional</w:t>
      </w:r>
      <w:r w:rsidRPr="00DE5D68" w:rsidR="00572153">
        <w:rPr>
          <w:rFonts w:cs="Arial"/>
        </w:rPr>
        <w:t xml:space="preserve"> in respect of the</w:t>
      </w:r>
      <w:r w:rsidRPr="00DE5D68" w:rsidR="003052E4">
        <w:rPr>
          <w:rFonts w:cs="Arial"/>
        </w:rPr>
        <w:t xml:space="preserve"> </w:t>
      </w:r>
      <w:r w:rsidR="00CC3344">
        <w:rPr>
          <w:rFonts w:cs="Arial"/>
        </w:rPr>
        <w:t xml:space="preserve">Initial </w:t>
      </w:r>
      <w:r w:rsidR="000706D6">
        <w:rPr>
          <w:rFonts w:cs="Arial"/>
        </w:rPr>
        <w:t>Placing</w:t>
      </w:r>
      <w:r w:rsidRPr="00DE5D68">
        <w:rPr>
          <w:rFonts w:cs="Arial"/>
        </w:rPr>
        <w:t xml:space="preserve"> (save as to </w:t>
      </w:r>
      <w:r w:rsidRPr="00DE5D68" w:rsidR="003052E4">
        <w:rPr>
          <w:rFonts w:cs="Arial"/>
        </w:rPr>
        <w:t xml:space="preserve">Initial </w:t>
      </w:r>
      <w:r w:rsidRPr="00DE5D68">
        <w:rPr>
          <w:rFonts w:cs="Arial"/>
        </w:rPr>
        <w:t xml:space="preserve">Admission) and not having been terminated in accordance with its terms at any time prior to </w:t>
      </w:r>
      <w:r w:rsidRPr="00DE5D68" w:rsidR="00460504">
        <w:rPr>
          <w:rFonts w:cs="Arial"/>
        </w:rPr>
        <w:t xml:space="preserve">Initial </w:t>
      </w:r>
      <w:r w:rsidRPr="00DE5D68">
        <w:rPr>
          <w:rFonts w:cs="Arial"/>
        </w:rPr>
        <w:t xml:space="preserve">Admission; and (iii) the Minimum </w:t>
      </w:r>
      <w:r w:rsidRPr="00DE5D68" w:rsidR="00587A29">
        <w:rPr>
          <w:rFonts w:cs="Arial"/>
        </w:rPr>
        <w:t>Gross</w:t>
      </w:r>
      <w:r w:rsidRPr="00DE5D68">
        <w:rPr>
          <w:rFonts w:cs="Arial"/>
        </w:rPr>
        <w:t xml:space="preserve"> Proceeds</w:t>
      </w:r>
      <w:r w:rsidRPr="00DE5D68" w:rsidR="008A2E11">
        <w:rPr>
          <w:rFonts w:cs="Arial"/>
        </w:rPr>
        <w:t xml:space="preserve"> (or such lesser amount as the Company and </w:t>
      </w:r>
      <w:r w:rsidR="00941C94">
        <w:rPr>
          <w:rFonts w:cs="Arial"/>
        </w:rPr>
        <w:t>Singer Capital Markets</w:t>
      </w:r>
      <w:r w:rsidRPr="00DE5D68" w:rsidR="00631C3F">
        <w:rPr>
          <w:rFonts w:cs="Arial"/>
        </w:rPr>
        <w:t xml:space="preserve"> </w:t>
      </w:r>
      <w:r w:rsidRPr="00DE5D68" w:rsidR="008A2E11">
        <w:rPr>
          <w:rFonts w:cs="Arial"/>
        </w:rPr>
        <w:t xml:space="preserve">may agree) </w:t>
      </w:r>
      <w:r w:rsidRPr="00DE5D68">
        <w:rPr>
          <w:rFonts w:cs="Arial"/>
        </w:rPr>
        <w:t xml:space="preserve">being raised. </w:t>
      </w:r>
    </w:p>
    <w:p w:rsidRPr="00DE5D68" w:rsidR="00F54AB8" w:rsidP="00C27D12" w:rsidRDefault="00F54AB8" w14:paraId="05B1FF5E" w14:textId="757DD041">
      <w:pPr>
        <w:rPr>
          <w:rFonts w:cs="Arial"/>
        </w:rPr>
      </w:pPr>
      <w:r w:rsidRPr="00DE5D68">
        <w:rPr>
          <w:rFonts w:cs="Arial"/>
        </w:rPr>
        <w:t>If the</w:t>
      </w:r>
      <w:r w:rsidRPr="00DE5D68" w:rsidR="00460504">
        <w:rPr>
          <w:rFonts w:cs="Arial"/>
        </w:rPr>
        <w:t xml:space="preserve"> </w:t>
      </w:r>
      <w:r w:rsidR="00CC3344">
        <w:rPr>
          <w:rFonts w:cs="Arial"/>
        </w:rPr>
        <w:t xml:space="preserve">Initial </w:t>
      </w:r>
      <w:r w:rsidR="000706D6">
        <w:rPr>
          <w:rFonts w:cs="Arial"/>
        </w:rPr>
        <w:t>Placing</w:t>
      </w:r>
      <w:r w:rsidRPr="00DE5D68">
        <w:rPr>
          <w:rFonts w:cs="Arial"/>
        </w:rPr>
        <w:t xml:space="preserve"> does not proceed (due to the Minimum </w:t>
      </w:r>
      <w:r w:rsidRPr="00DE5D68" w:rsidR="00587A29">
        <w:rPr>
          <w:rFonts w:cs="Arial"/>
        </w:rPr>
        <w:t>Gross</w:t>
      </w:r>
      <w:r w:rsidRPr="00DE5D68">
        <w:rPr>
          <w:rFonts w:cs="Arial"/>
        </w:rPr>
        <w:t xml:space="preserve"> Proceeds </w:t>
      </w:r>
      <w:r w:rsidRPr="00DE5D68" w:rsidR="008A2E11">
        <w:rPr>
          <w:rFonts w:cs="Arial"/>
        </w:rPr>
        <w:t xml:space="preserve">(or such lesser amount as the Company and </w:t>
      </w:r>
      <w:r w:rsidR="00941C94">
        <w:rPr>
          <w:rFonts w:cs="Arial"/>
        </w:rPr>
        <w:t>Singer Capital Markets</w:t>
      </w:r>
      <w:r w:rsidRPr="00DE5D68" w:rsidR="00631C3F">
        <w:rPr>
          <w:rFonts w:cs="Arial"/>
        </w:rPr>
        <w:t xml:space="preserve"> </w:t>
      </w:r>
      <w:r w:rsidRPr="00DE5D68" w:rsidR="008A2E11">
        <w:rPr>
          <w:rFonts w:cs="Arial"/>
        </w:rPr>
        <w:t xml:space="preserve">may agree) </w:t>
      </w:r>
      <w:r w:rsidRPr="00DE5D68">
        <w:rPr>
          <w:rFonts w:cs="Arial"/>
        </w:rPr>
        <w:t>not being raised or otherwise)</w:t>
      </w:r>
      <w:r w:rsidRPr="00DE5D68" w:rsidR="0036481A">
        <w:rPr>
          <w:rFonts w:cs="Arial"/>
        </w:rPr>
        <w:t xml:space="preserve">, any monies received under the </w:t>
      </w:r>
      <w:r w:rsidR="00CC3344">
        <w:rPr>
          <w:rFonts w:cs="Arial"/>
        </w:rPr>
        <w:t xml:space="preserve">Initial </w:t>
      </w:r>
      <w:r w:rsidR="000706D6">
        <w:rPr>
          <w:rFonts w:cs="Arial"/>
        </w:rPr>
        <w:t>Placing</w:t>
      </w:r>
      <w:r w:rsidRPr="00DE5D68">
        <w:rPr>
          <w:rFonts w:cs="Arial"/>
        </w:rPr>
        <w:t xml:space="preserve"> will be </w:t>
      </w:r>
      <w:r w:rsidRPr="00DE5D68" w:rsidR="001115A5">
        <w:rPr>
          <w:rFonts w:cs="Arial"/>
        </w:rPr>
        <w:t>returned</w:t>
      </w:r>
      <w:r w:rsidRPr="00DE5D68" w:rsidR="0089170A">
        <w:rPr>
          <w:rFonts w:cs="Arial"/>
        </w:rPr>
        <w:t xml:space="preserve"> </w:t>
      </w:r>
      <w:r w:rsidRPr="00DE5D68" w:rsidR="00026DC5">
        <w:rPr>
          <w:rFonts w:cs="Arial"/>
        </w:rPr>
        <w:t>without interest at the risk of the applicant</w:t>
      </w:r>
      <w:r w:rsidRPr="00DE5D68" w:rsidR="0089170A">
        <w:rPr>
          <w:rFonts w:cs="Arial"/>
        </w:rPr>
        <w:t xml:space="preserve"> to the applicant from whom the money was received, within 14 </w:t>
      </w:r>
      <w:r w:rsidRPr="00DE5D68" w:rsidR="00861612">
        <w:rPr>
          <w:rFonts w:cs="Arial"/>
        </w:rPr>
        <w:t xml:space="preserve">calendar </w:t>
      </w:r>
      <w:r w:rsidRPr="00DE5D68" w:rsidR="0089170A">
        <w:rPr>
          <w:rFonts w:cs="Arial"/>
        </w:rPr>
        <w:t>days</w:t>
      </w:r>
      <w:r w:rsidRPr="00DE5D68">
        <w:rPr>
          <w:rFonts w:cs="Arial"/>
        </w:rPr>
        <w:t xml:space="preserve">. </w:t>
      </w:r>
    </w:p>
    <w:p w:rsidRPr="00DE5D68" w:rsidR="00DC6037" w:rsidP="00C27D12" w:rsidRDefault="00DC6037" w14:paraId="189E76D1" w14:textId="6B68F7B0">
      <w:pPr>
        <w:rPr>
          <w:rFonts w:cs="Arial"/>
        </w:rPr>
      </w:pPr>
      <w:r w:rsidRPr="00DE5D68">
        <w:rPr>
          <w:rFonts w:cs="Arial"/>
        </w:rPr>
        <w:t>If the Minimum Gross Proceeds are not raised, the</w:t>
      </w:r>
      <w:r w:rsidRPr="00DE5D68" w:rsidR="00460504">
        <w:rPr>
          <w:rFonts w:cs="Arial"/>
        </w:rPr>
        <w:t xml:space="preserve"> </w:t>
      </w:r>
      <w:r w:rsidR="00CC3344">
        <w:rPr>
          <w:rFonts w:cs="Arial"/>
        </w:rPr>
        <w:t xml:space="preserve">Initial </w:t>
      </w:r>
      <w:r w:rsidR="000706D6">
        <w:rPr>
          <w:rFonts w:cs="Arial"/>
        </w:rPr>
        <w:t>Placing</w:t>
      </w:r>
      <w:r w:rsidRPr="00DE5D68">
        <w:rPr>
          <w:rFonts w:cs="Arial"/>
        </w:rPr>
        <w:t xml:space="preserve"> may only proceed where a supplementary prospectus (including a working capital statement based on a revised </w:t>
      </w:r>
      <w:r w:rsidRPr="00DE5D68" w:rsidR="00096CAB">
        <w:rPr>
          <w:rFonts w:cs="Arial"/>
        </w:rPr>
        <w:t>M</w:t>
      </w:r>
      <w:r w:rsidRPr="00DE5D68">
        <w:rPr>
          <w:rFonts w:cs="Arial"/>
        </w:rPr>
        <w:t>inimum</w:t>
      </w:r>
      <w:r w:rsidRPr="00DE5D68" w:rsidR="006B1974">
        <w:rPr>
          <w:rFonts w:cs="Arial"/>
        </w:rPr>
        <w:t xml:space="preserve"> </w:t>
      </w:r>
      <w:r w:rsidR="00A92BC0">
        <w:rPr>
          <w:rFonts w:cs="Arial"/>
        </w:rPr>
        <w:t>Net</w:t>
      </w:r>
      <w:r w:rsidRPr="00DE5D68" w:rsidR="00096CAB">
        <w:rPr>
          <w:rFonts w:cs="Arial"/>
        </w:rPr>
        <w:t xml:space="preserve"> P</w:t>
      </w:r>
      <w:r w:rsidRPr="00DE5D68">
        <w:rPr>
          <w:rFonts w:cs="Arial"/>
        </w:rPr>
        <w:t xml:space="preserve">roceeds figure) has been prepared in relation to the </w:t>
      </w:r>
      <w:r w:rsidRPr="00DE5D68" w:rsidR="00B942EA">
        <w:rPr>
          <w:rFonts w:cs="Arial"/>
        </w:rPr>
        <w:t>Company and approved by the FCA</w:t>
      </w:r>
      <w:r w:rsidRPr="00DE5D68">
        <w:rPr>
          <w:rFonts w:cs="Arial"/>
        </w:rPr>
        <w:t>.</w:t>
      </w:r>
    </w:p>
    <w:p w:rsidRPr="00DE5D68" w:rsidR="00CA4F52" w:rsidP="00C27D12" w:rsidRDefault="00DD0C05" w14:paraId="613237A1" w14:textId="46C1281F">
      <w:pPr>
        <w:rPr>
          <w:rFonts w:cs="Arial"/>
        </w:rPr>
      </w:pPr>
      <w:r>
        <w:rPr>
          <w:rFonts w:cs="Arial"/>
        </w:rPr>
        <w:t>Singer Capital Markets</w:t>
      </w:r>
      <w:r w:rsidRPr="00DE5D68" w:rsidR="00631C3F">
        <w:rPr>
          <w:rFonts w:cs="Arial"/>
        </w:rPr>
        <w:t xml:space="preserve"> </w:t>
      </w:r>
      <w:r w:rsidRPr="00DE5D68" w:rsidR="00F67244">
        <w:rPr>
          <w:rFonts w:cs="Arial"/>
        </w:rPr>
        <w:t>has agreed to use its reasonable endeavours to procure subscribers pursuant to the</w:t>
      </w:r>
      <w:r w:rsidRPr="00DE5D68" w:rsidR="0036481A">
        <w:rPr>
          <w:rFonts w:cs="Arial"/>
        </w:rPr>
        <w:t xml:space="preserve"> </w:t>
      </w:r>
      <w:r w:rsidRPr="00DE5D68" w:rsidR="00567E67">
        <w:rPr>
          <w:rFonts w:cs="Arial"/>
        </w:rPr>
        <w:t xml:space="preserve">Initial </w:t>
      </w:r>
      <w:r w:rsidRPr="00DE5D68" w:rsidR="00F67244">
        <w:rPr>
          <w:rFonts w:cs="Arial"/>
        </w:rPr>
        <w:t>Placing</w:t>
      </w:r>
      <w:r w:rsidRPr="00DE5D68" w:rsidR="00E33DD5">
        <w:rPr>
          <w:rFonts w:cs="Arial"/>
        </w:rPr>
        <w:t xml:space="preserve"> </w:t>
      </w:r>
      <w:r w:rsidRPr="00DE5D68" w:rsidR="00F67244">
        <w:rPr>
          <w:rFonts w:cs="Arial"/>
        </w:rPr>
        <w:t xml:space="preserve">on the terms and subject to the conditions set out in the </w:t>
      </w:r>
      <w:r w:rsidR="00020807">
        <w:rPr>
          <w:rFonts w:cs="Arial"/>
        </w:rPr>
        <w:t>Placing Agreement</w:t>
      </w:r>
      <w:r w:rsidRPr="00DE5D68" w:rsidR="00F67244">
        <w:rPr>
          <w:rFonts w:cs="Arial"/>
        </w:rPr>
        <w:t xml:space="preserve">. </w:t>
      </w:r>
    </w:p>
    <w:p w:rsidRPr="00DE5D68" w:rsidR="00AB5712" w:rsidP="00C27D12" w:rsidRDefault="00CA4F52" w14:paraId="5E8CF64D" w14:textId="7B2CF93C">
      <w:pPr>
        <w:rPr>
          <w:rFonts w:cs="Arial"/>
        </w:rPr>
      </w:pPr>
      <w:r w:rsidRPr="00DE5D68">
        <w:rPr>
          <w:rFonts w:cs="Arial"/>
        </w:rPr>
        <w:t xml:space="preserve">The Ordinary Shares are </w:t>
      </w:r>
      <w:r w:rsidRPr="00DE5D68" w:rsidR="0036481A">
        <w:rPr>
          <w:rFonts w:cs="Arial"/>
        </w:rPr>
        <w:t>being made available under the</w:t>
      </w:r>
      <w:r w:rsidRPr="00DE5D68" w:rsidR="00567E67">
        <w:rPr>
          <w:rFonts w:cs="Arial"/>
        </w:rPr>
        <w:t xml:space="preserve"> Initial</w:t>
      </w:r>
      <w:r w:rsidRPr="00DE5D68" w:rsidR="0036481A">
        <w:rPr>
          <w:rFonts w:cs="Arial"/>
        </w:rPr>
        <w:t xml:space="preserve"> </w:t>
      </w:r>
      <w:r w:rsidRPr="00DE5D68">
        <w:rPr>
          <w:rFonts w:cs="Arial"/>
        </w:rPr>
        <w:t xml:space="preserve">Placing at </w:t>
      </w:r>
      <w:r w:rsidRPr="00DE5D68" w:rsidR="00894ABA">
        <w:rPr>
          <w:rFonts w:cs="Arial"/>
        </w:rPr>
        <w:t xml:space="preserve">the Issue Price. </w:t>
      </w:r>
      <w:r w:rsidRPr="00DE5D68">
        <w:rPr>
          <w:rFonts w:cs="Arial"/>
        </w:rPr>
        <w:t xml:space="preserve">The terms and conditions that shall apply to any subscription for Ordinary Shares under the </w:t>
      </w:r>
      <w:r w:rsidRPr="00DE5D68" w:rsidR="00567E67">
        <w:rPr>
          <w:rFonts w:cs="Arial"/>
        </w:rPr>
        <w:t xml:space="preserve">Initial </w:t>
      </w:r>
      <w:r w:rsidRPr="00DE5D68">
        <w:rPr>
          <w:rFonts w:cs="Arial"/>
        </w:rPr>
        <w:t xml:space="preserve">Placing are set out in </w:t>
      </w:r>
      <w:r w:rsidR="00637905">
        <w:rPr>
          <w:rFonts w:cs="Arial"/>
        </w:rPr>
        <w:fldChar w:fldCharType="begin" w:fldLock="1"/>
      </w:r>
      <w:r w:rsidR="00637905">
        <w:rPr>
          <w:rFonts w:cs="Arial"/>
        </w:rPr>
        <w:instrText xml:space="preserve"> REF _Ref65764989 \n \h </w:instrText>
      </w:r>
      <w:r w:rsidR="00637905">
        <w:rPr>
          <w:rFonts w:cs="Arial"/>
        </w:rPr>
      </w:r>
      <w:r w:rsidR="00637905">
        <w:rPr>
          <w:rFonts w:cs="Arial"/>
        </w:rPr>
        <w:fldChar w:fldCharType="separate"/>
      </w:r>
      <w:r w:rsidR="00DA4048">
        <w:rPr>
          <w:rFonts w:cs="Arial"/>
        </w:rPr>
        <w:t>Part 8</w:t>
      </w:r>
      <w:r w:rsidR="00637905">
        <w:rPr>
          <w:rFonts w:cs="Arial"/>
        </w:rPr>
        <w:fldChar w:fldCharType="end"/>
      </w:r>
      <w:r w:rsidRPr="00DE5D68" w:rsidR="005504D9">
        <w:rPr>
          <w:rFonts w:cs="Arial"/>
        </w:rPr>
        <w:t xml:space="preserve"> </w:t>
      </w:r>
      <w:r w:rsidRPr="00DE5D68" w:rsidR="0036481A">
        <w:rPr>
          <w:rFonts w:cs="Arial"/>
        </w:rPr>
        <w:t xml:space="preserve">of this document. </w:t>
      </w:r>
      <w:r w:rsidRPr="00DE5D68">
        <w:rPr>
          <w:rFonts w:cs="Arial"/>
        </w:rPr>
        <w:t xml:space="preserve"> </w:t>
      </w:r>
    </w:p>
    <w:p w:rsidRPr="00DE5D68" w:rsidR="008420D8" w:rsidP="00C27D12" w:rsidRDefault="008420D8" w14:paraId="6ADF9067" w14:textId="0938ECE5">
      <w:pPr>
        <w:autoSpaceDE w:val="0"/>
        <w:autoSpaceDN w:val="0"/>
        <w:adjustRightInd w:val="0"/>
        <w:snapToGrid w:val="0"/>
        <w:rPr>
          <w:rFonts w:cs="Arial"/>
          <w:szCs w:val="20"/>
        </w:rPr>
      </w:pPr>
      <w:r w:rsidRPr="00DE5D68">
        <w:rPr>
          <w:rFonts w:cs="Arial"/>
          <w:szCs w:val="20"/>
        </w:rPr>
        <w:t xml:space="preserve">Each </w:t>
      </w:r>
      <w:proofErr w:type="spellStart"/>
      <w:r w:rsidRPr="00DE5D68">
        <w:rPr>
          <w:rFonts w:cs="Arial"/>
          <w:szCs w:val="20"/>
        </w:rPr>
        <w:t>Placee</w:t>
      </w:r>
      <w:proofErr w:type="spellEnd"/>
      <w:r w:rsidRPr="00DE5D68">
        <w:rPr>
          <w:rFonts w:cs="Arial"/>
          <w:szCs w:val="20"/>
        </w:rPr>
        <w:t xml:space="preserve"> agrees to be bound by the Articles once the Ordinary Shares</w:t>
      </w:r>
      <w:r w:rsidRPr="00DE5D68" w:rsidR="008E6FDC">
        <w:rPr>
          <w:rFonts w:cs="Arial"/>
          <w:szCs w:val="20"/>
        </w:rPr>
        <w:t xml:space="preserve"> that</w:t>
      </w:r>
      <w:r w:rsidRPr="00DE5D68">
        <w:rPr>
          <w:rFonts w:cs="Arial"/>
          <w:szCs w:val="20"/>
        </w:rPr>
        <w:t xml:space="preserve"> the </w:t>
      </w:r>
      <w:proofErr w:type="spellStart"/>
      <w:r w:rsidRPr="00DE5D68">
        <w:rPr>
          <w:rFonts w:cs="Arial"/>
          <w:szCs w:val="20"/>
        </w:rPr>
        <w:t>Placee</w:t>
      </w:r>
      <w:proofErr w:type="spellEnd"/>
      <w:r w:rsidRPr="00DE5D68">
        <w:rPr>
          <w:rFonts w:cs="Arial"/>
          <w:szCs w:val="20"/>
        </w:rPr>
        <w:t xml:space="preserve"> has agreed to subscribe for pursuant to the</w:t>
      </w:r>
      <w:r w:rsidRPr="00DE5D68" w:rsidR="00567E67">
        <w:rPr>
          <w:rFonts w:cs="Arial"/>
          <w:szCs w:val="20"/>
        </w:rPr>
        <w:t xml:space="preserve"> Initial</w:t>
      </w:r>
      <w:r w:rsidRPr="00DE5D68">
        <w:rPr>
          <w:rFonts w:cs="Arial"/>
          <w:szCs w:val="20"/>
        </w:rPr>
        <w:t xml:space="preserve"> Placing have been acquired by the </w:t>
      </w:r>
      <w:proofErr w:type="spellStart"/>
      <w:r w:rsidRPr="00DE5D68">
        <w:rPr>
          <w:rFonts w:cs="Arial"/>
          <w:szCs w:val="20"/>
        </w:rPr>
        <w:t>Placee</w:t>
      </w:r>
      <w:proofErr w:type="spellEnd"/>
      <w:r w:rsidRPr="00DE5D68">
        <w:rPr>
          <w:rFonts w:cs="Arial"/>
          <w:szCs w:val="20"/>
        </w:rPr>
        <w:t xml:space="preserve">. The contract to subscribe for the Ordinary Shares under the </w:t>
      </w:r>
      <w:r w:rsidRPr="00DE5D68" w:rsidR="00567E67">
        <w:rPr>
          <w:rFonts w:cs="Arial"/>
          <w:szCs w:val="20"/>
        </w:rPr>
        <w:t xml:space="preserve">Initial </w:t>
      </w:r>
      <w:r w:rsidRPr="00DE5D68">
        <w:rPr>
          <w:rFonts w:cs="Arial"/>
          <w:szCs w:val="20"/>
        </w:rPr>
        <w:t>Placing and all disputes and claims arising out of or in connection with its subject matter or formation (including non-contractual disputes or claims) will be governed by, and construed in accordance with, the laws of England and Wales.</w:t>
      </w:r>
    </w:p>
    <w:p w:rsidR="008420D8" w:rsidP="00C27D12" w:rsidRDefault="008420D8" w14:paraId="12C85427" w14:textId="07627A0C">
      <w:pPr>
        <w:rPr>
          <w:rFonts w:cs="Arial"/>
          <w:szCs w:val="20"/>
        </w:rPr>
      </w:pPr>
      <w:r w:rsidRPr="00DE5D68">
        <w:rPr>
          <w:rFonts w:cs="Arial"/>
          <w:szCs w:val="20"/>
        </w:rPr>
        <w:t xml:space="preserve">Commitments under the </w:t>
      </w:r>
      <w:r w:rsidRPr="00DE5D68" w:rsidR="00567E67">
        <w:rPr>
          <w:rFonts w:cs="Arial"/>
          <w:szCs w:val="20"/>
        </w:rPr>
        <w:t xml:space="preserve">Initial </w:t>
      </w:r>
      <w:r w:rsidRPr="00DE5D68">
        <w:rPr>
          <w:rFonts w:cs="Arial"/>
          <w:szCs w:val="20"/>
        </w:rPr>
        <w:t xml:space="preserve">Placing, once made, </w:t>
      </w:r>
      <w:r w:rsidR="00572F6E">
        <w:rPr>
          <w:rFonts w:cs="Arial"/>
          <w:szCs w:val="20"/>
        </w:rPr>
        <w:t>could</w:t>
      </w:r>
      <w:r w:rsidRPr="00DE5D68" w:rsidR="00572F6E">
        <w:rPr>
          <w:rFonts w:cs="Arial"/>
          <w:szCs w:val="20"/>
        </w:rPr>
        <w:t xml:space="preserve"> </w:t>
      </w:r>
      <w:r w:rsidRPr="00DE5D68">
        <w:rPr>
          <w:rFonts w:cs="Arial"/>
          <w:szCs w:val="20"/>
        </w:rPr>
        <w:t>not be withdrawn without the consent of the Directors.</w:t>
      </w:r>
    </w:p>
    <w:p w:rsidRPr="00DE5D68" w:rsidR="008420D8" w:rsidP="00C27D12" w:rsidRDefault="008420D8" w14:paraId="2E53882C" w14:textId="3172ECA3">
      <w:pPr>
        <w:pStyle w:val="Heading1"/>
        <w:numPr>
          <w:ilvl w:val="0"/>
          <w:numId w:val="27"/>
        </w:numPr>
        <w:ind w:hanging="720"/>
        <w:rPr>
          <w:rFonts w:cs="Arial"/>
          <w:caps w:val="0"/>
        </w:rPr>
      </w:pPr>
      <w:r w:rsidRPr="00DE5D68">
        <w:rPr>
          <w:rFonts w:cs="Arial"/>
          <w:caps w:val="0"/>
        </w:rPr>
        <w:t>SCALING BACK</w:t>
      </w:r>
      <w:r w:rsidRPr="00DE5D68" w:rsidR="001B4AD3">
        <w:rPr>
          <w:rFonts w:cs="Arial"/>
          <w:caps w:val="0"/>
        </w:rPr>
        <w:t xml:space="preserve"> AND ALLOCATION</w:t>
      </w:r>
    </w:p>
    <w:p w:rsidRPr="00DE5D68" w:rsidR="0089170A" w:rsidP="00C27D12" w:rsidRDefault="001B4AD3" w14:paraId="559BD002" w14:textId="3A61775A">
      <w:pPr>
        <w:autoSpaceDE w:val="0"/>
        <w:autoSpaceDN w:val="0"/>
        <w:adjustRightInd w:val="0"/>
        <w:snapToGrid w:val="0"/>
        <w:rPr>
          <w:rFonts w:cs="Arial"/>
          <w:b/>
        </w:rPr>
      </w:pPr>
      <w:r w:rsidRPr="00DE5D68">
        <w:rPr>
          <w:rFonts w:cs="Arial"/>
        </w:rPr>
        <w:t>The results of the</w:t>
      </w:r>
      <w:r w:rsidRPr="00DE5D68" w:rsidR="00CB3B34">
        <w:rPr>
          <w:rFonts w:cs="Arial"/>
        </w:rPr>
        <w:t xml:space="preserve"> </w:t>
      </w:r>
      <w:r w:rsidR="00CC3344">
        <w:rPr>
          <w:rFonts w:cs="Arial"/>
        </w:rPr>
        <w:t xml:space="preserve">Initial </w:t>
      </w:r>
      <w:r w:rsidR="00E64580">
        <w:rPr>
          <w:rFonts w:cs="Arial"/>
        </w:rPr>
        <w:t>Placing</w:t>
      </w:r>
      <w:r w:rsidRPr="00DE5D68">
        <w:rPr>
          <w:rFonts w:cs="Arial"/>
        </w:rPr>
        <w:t xml:space="preserve"> will be announced by the Company </w:t>
      </w:r>
      <w:r w:rsidRPr="00DE5D68" w:rsidR="006C282D">
        <w:rPr>
          <w:rFonts w:cs="Arial"/>
        </w:rPr>
        <w:t xml:space="preserve">via </w:t>
      </w:r>
      <w:r w:rsidRPr="00DE5D68">
        <w:rPr>
          <w:rFonts w:cs="Arial"/>
        </w:rPr>
        <w:t xml:space="preserve">a Regulatory Information Service.  </w:t>
      </w:r>
    </w:p>
    <w:p w:rsidRPr="00DE5D68" w:rsidR="001B4AD3" w:rsidP="00C27D12" w:rsidRDefault="00A73A24" w14:paraId="52682ADD" w14:textId="67F0CC97">
      <w:pPr>
        <w:autoSpaceDE w:val="0"/>
        <w:autoSpaceDN w:val="0"/>
        <w:adjustRightInd w:val="0"/>
        <w:snapToGrid w:val="0"/>
        <w:rPr>
          <w:rFonts w:cs="Arial"/>
          <w:b/>
        </w:rPr>
      </w:pPr>
      <w:r>
        <w:rPr>
          <w:rFonts w:cs="Arial"/>
        </w:rPr>
        <w:t>A</w:t>
      </w:r>
      <w:r w:rsidRPr="00DE5D68" w:rsidR="0036481A">
        <w:rPr>
          <w:rFonts w:cs="Arial"/>
        </w:rPr>
        <w:t>pplications under the</w:t>
      </w:r>
      <w:r w:rsidRPr="00DE5D68" w:rsidR="00CB3B34">
        <w:rPr>
          <w:rFonts w:cs="Arial"/>
        </w:rPr>
        <w:t xml:space="preserve"> </w:t>
      </w:r>
      <w:r w:rsidR="00CC3344">
        <w:rPr>
          <w:rFonts w:cs="Arial"/>
        </w:rPr>
        <w:t xml:space="preserve">Initial </w:t>
      </w:r>
      <w:r w:rsidR="00E64580">
        <w:rPr>
          <w:rFonts w:cs="Arial"/>
        </w:rPr>
        <w:t>Placing</w:t>
      </w:r>
      <w:r w:rsidRPr="00DE5D68" w:rsidR="0036481A">
        <w:rPr>
          <w:rFonts w:cs="Arial"/>
        </w:rPr>
        <w:t xml:space="preserve"> </w:t>
      </w:r>
      <w:r w:rsidRPr="00DE5D68" w:rsidR="0089170A">
        <w:rPr>
          <w:rFonts w:cs="Arial"/>
        </w:rPr>
        <w:t xml:space="preserve">will be scaled back at </w:t>
      </w:r>
      <w:r w:rsidR="009244EF">
        <w:rPr>
          <w:rFonts w:cs="Arial"/>
        </w:rPr>
        <w:t>the Company's</w:t>
      </w:r>
      <w:r w:rsidRPr="00DE5D68" w:rsidR="00D65F5A">
        <w:rPr>
          <w:rFonts w:cs="Arial"/>
        </w:rPr>
        <w:t xml:space="preserve"> </w:t>
      </w:r>
      <w:r w:rsidRPr="00DE5D68" w:rsidR="0089170A">
        <w:rPr>
          <w:rFonts w:cs="Arial"/>
        </w:rPr>
        <w:t xml:space="preserve">discretion (in consultation </w:t>
      </w:r>
      <w:r w:rsidR="009244EF">
        <w:rPr>
          <w:rFonts w:cs="Arial"/>
        </w:rPr>
        <w:t xml:space="preserve">with </w:t>
      </w:r>
      <w:r w:rsidR="00DD0C05">
        <w:rPr>
          <w:rFonts w:cs="Arial"/>
        </w:rPr>
        <w:t>Singer Capital Markets</w:t>
      </w:r>
      <w:r w:rsidRPr="00DE5D68" w:rsidR="00CB3B34">
        <w:rPr>
          <w:rFonts w:cs="Arial"/>
        </w:rPr>
        <w:t xml:space="preserve"> and the Investment Manager</w:t>
      </w:r>
      <w:r w:rsidRPr="00DE5D68" w:rsidR="0089170A">
        <w:rPr>
          <w:rFonts w:cs="Arial"/>
        </w:rPr>
        <w:t>).</w:t>
      </w:r>
      <w:r w:rsidRPr="00DE5D68" w:rsidR="00B14D10">
        <w:rPr>
          <w:rFonts w:cs="Arial"/>
        </w:rPr>
        <w:t xml:space="preserve"> </w:t>
      </w:r>
    </w:p>
    <w:p w:rsidRPr="00DE5D68" w:rsidR="001B4AD3" w:rsidP="00C27D12" w:rsidRDefault="001B4AD3" w14:paraId="40C6D39F" w14:textId="7B5C1E46">
      <w:pPr>
        <w:autoSpaceDE w:val="0"/>
        <w:autoSpaceDN w:val="0"/>
        <w:adjustRightInd w:val="0"/>
        <w:snapToGrid w:val="0"/>
        <w:rPr>
          <w:rFonts w:cs="Arial"/>
        </w:rPr>
      </w:pPr>
      <w:r w:rsidRPr="00DE5D68">
        <w:rPr>
          <w:rFonts w:cs="Arial"/>
        </w:rPr>
        <w:t>The Company reserves the right to decline in whole or in part any application for Ordinary Shares pursuant to the</w:t>
      </w:r>
      <w:r w:rsidRPr="00DE5D68" w:rsidR="0089170A">
        <w:rPr>
          <w:rFonts w:cs="Arial"/>
        </w:rPr>
        <w:t xml:space="preserve"> </w:t>
      </w:r>
      <w:r w:rsidR="00CC3344">
        <w:rPr>
          <w:rFonts w:cs="Arial"/>
        </w:rPr>
        <w:t xml:space="preserve">Initial </w:t>
      </w:r>
      <w:r w:rsidR="00E64580">
        <w:rPr>
          <w:rFonts w:cs="Arial"/>
        </w:rPr>
        <w:t>Placing</w:t>
      </w:r>
      <w:r w:rsidRPr="00DE5D68">
        <w:rPr>
          <w:rFonts w:cs="Arial"/>
        </w:rPr>
        <w:t>.</w:t>
      </w:r>
    </w:p>
    <w:p w:rsidRPr="00DE5D68" w:rsidR="001B4AD3" w:rsidP="00C27D12" w:rsidRDefault="001B4AD3" w14:paraId="7C077514" w14:textId="60C6295A">
      <w:pPr>
        <w:autoSpaceDE w:val="0"/>
        <w:autoSpaceDN w:val="0"/>
        <w:adjustRightInd w:val="0"/>
        <w:snapToGrid w:val="0"/>
        <w:rPr>
          <w:rFonts w:cs="Arial"/>
        </w:rPr>
      </w:pPr>
      <w:r w:rsidRPr="00DE5D68">
        <w:rPr>
          <w:rFonts w:cs="Arial"/>
        </w:rPr>
        <w:lastRenderedPageBreak/>
        <w:t xml:space="preserve">Monies received in respect of unsuccessful applications (or to the extent scaled back) will be </w:t>
      </w:r>
      <w:r w:rsidRPr="00DE5D68" w:rsidR="00476025">
        <w:rPr>
          <w:rFonts w:cs="Arial"/>
        </w:rPr>
        <w:t>returned</w:t>
      </w:r>
      <w:r w:rsidRPr="00DE5D68">
        <w:rPr>
          <w:rFonts w:cs="Arial"/>
        </w:rPr>
        <w:t xml:space="preserve"> without interest at the risk of the applicant to the applicant from whom the money was received, within 14 </w:t>
      </w:r>
      <w:r w:rsidRPr="00DE5D68" w:rsidR="00861612">
        <w:rPr>
          <w:rFonts w:cs="Arial"/>
        </w:rPr>
        <w:t xml:space="preserve">calendar </w:t>
      </w:r>
      <w:r w:rsidRPr="00DE5D68">
        <w:rPr>
          <w:rFonts w:cs="Arial"/>
        </w:rPr>
        <w:t>days</w:t>
      </w:r>
      <w:r w:rsidRPr="00DE5D68" w:rsidR="00476025">
        <w:rPr>
          <w:rFonts w:cs="Arial"/>
        </w:rPr>
        <w:t xml:space="preserve"> following the close of the </w:t>
      </w:r>
      <w:r w:rsidR="00CC3344">
        <w:rPr>
          <w:rFonts w:cs="Arial"/>
        </w:rPr>
        <w:t xml:space="preserve">Initial </w:t>
      </w:r>
      <w:r w:rsidR="00E64580">
        <w:rPr>
          <w:rFonts w:cs="Arial"/>
        </w:rPr>
        <w:t>Placing</w:t>
      </w:r>
      <w:r w:rsidRPr="00DE5D68">
        <w:rPr>
          <w:rFonts w:cs="Arial"/>
        </w:rPr>
        <w:t>.</w:t>
      </w:r>
    </w:p>
    <w:p w:rsidRPr="00DE5D68" w:rsidR="009F4122" w:rsidP="00C27D12" w:rsidRDefault="0036481A" w14:paraId="7CBF7C07" w14:textId="1BE59978">
      <w:pPr>
        <w:pStyle w:val="Heading1"/>
        <w:numPr>
          <w:ilvl w:val="0"/>
          <w:numId w:val="27"/>
        </w:numPr>
        <w:ind w:hanging="720"/>
        <w:rPr>
          <w:rFonts w:cs="Arial"/>
          <w:caps w:val="0"/>
        </w:rPr>
      </w:pPr>
      <w:r w:rsidRPr="00DE5D68">
        <w:rPr>
          <w:rFonts w:cs="Arial"/>
          <w:caps w:val="0"/>
        </w:rPr>
        <w:t xml:space="preserve">REASONS FOR THE </w:t>
      </w:r>
      <w:r w:rsidR="00CC3344">
        <w:rPr>
          <w:rFonts w:cs="Arial"/>
          <w:caps w:val="0"/>
        </w:rPr>
        <w:t xml:space="preserve">INITIAL </w:t>
      </w:r>
      <w:r w:rsidR="00E64580">
        <w:rPr>
          <w:rFonts w:cs="Arial"/>
          <w:caps w:val="0"/>
        </w:rPr>
        <w:t>PLACING</w:t>
      </w:r>
      <w:r w:rsidRPr="00DE5D68" w:rsidR="008B516C">
        <w:rPr>
          <w:rFonts w:cs="Arial"/>
          <w:caps w:val="0"/>
        </w:rPr>
        <w:t xml:space="preserve"> AND </w:t>
      </w:r>
      <w:r w:rsidRPr="00DE5D68" w:rsidR="009F4122">
        <w:rPr>
          <w:rFonts w:cs="Arial"/>
          <w:caps w:val="0"/>
        </w:rPr>
        <w:t>USE OF PROCEEDS</w:t>
      </w:r>
    </w:p>
    <w:p w:rsidRPr="00391D23" w:rsidR="00E64580" w:rsidP="00E64580" w:rsidRDefault="00E64580" w14:paraId="05929A56" w14:textId="36BA10B8">
      <w:pPr>
        <w:pStyle w:val="2style"/>
        <w:jc w:val="both"/>
      </w:pPr>
      <w:r w:rsidRPr="00391D23">
        <w:t xml:space="preserve">The </w:t>
      </w:r>
      <w:r>
        <w:t>Initial Placing</w:t>
      </w:r>
      <w:r w:rsidRPr="00391D23">
        <w:t xml:space="preserve"> is intended to raise money for investment in accordance with the Company's investment objective</w:t>
      </w:r>
      <w:r w:rsidR="00D56F21">
        <w:t xml:space="preserve"> and investment policy</w:t>
      </w:r>
      <w:r w:rsidRPr="00391D23">
        <w:t>.</w:t>
      </w:r>
    </w:p>
    <w:p w:rsidRPr="00E64580" w:rsidR="008C71B1" w:rsidP="00E64580" w:rsidRDefault="00E64580" w14:paraId="29C7F727" w14:textId="03064EB7">
      <w:pPr>
        <w:pStyle w:val="2style"/>
        <w:jc w:val="both"/>
      </w:pPr>
      <w:r w:rsidRPr="00391D23">
        <w:t>The Directors intend to use the Net Proceeds, after providing for the Company's operational expenses, to purchase investments in line with the Company's investment objective and investment policy.</w:t>
      </w:r>
    </w:p>
    <w:p w:rsidRPr="00DE5D68" w:rsidR="001B4AD3" w:rsidP="00C27D12" w:rsidRDefault="00A73A24" w14:paraId="664068CD" w14:textId="7F6DC1CE">
      <w:pPr>
        <w:pStyle w:val="Heading1"/>
        <w:numPr>
          <w:ilvl w:val="0"/>
          <w:numId w:val="27"/>
        </w:numPr>
        <w:ind w:hanging="720"/>
        <w:rPr>
          <w:rFonts w:cs="Arial"/>
          <w:caps w:val="0"/>
        </w:rPr>
      </w:pPr>
      <w:r>
        <w:rPr>
          <w:rFonts w:cs="Arial"/>
          <w:caps w:val="0"/>
        </w:rPr>
        <w:t xml:space="preserve">COSTS OF THE </w:t>
      </w:r>
      <w:r w:rsidR="00CC3344">
        <w:rPr>
          <w:rFonts w:cs="Arial"/>
          <w:caps w:val="0"/>
        </w:rPr>
        <w:t xml:space="preserve">INITIAL </w:t>
      </w:r>
      <w:r w:rsidR="00E64580">
        <w:rPr>
          <w:rFonts w:cs="Arial"/>
          <w:caps w:val="0"/>
        </w:rPr>
        <w:t>PLACING</w:t>
      </w:r>
    </w:p>
    <w:p w:rsidRPr="00DE5D68" w:rsidR="00BB7617" w:rsidP="00C27D12" w:rsidRDefault="00BB7617" w14:paraId="63ACAA49" w14:textId="523D578D">
      <w:pPr>
        <w:rPr>
          <w:rFonts w:cs="Arial"/>
          <w:b/>
        </w:rPr>
      </w:pPr>
      <w:r w:rsidRPr="00DE5D68">
        <w:rPr>
          <w:rFonts w:cs="Arial"/>
        </w:rPr>
        <w:t>The formation and initial expenses of the Company are those that arise from, or are incidental to,</w:t>
      </w:r>
      <w:r w:rsidRPr="00DE5D68">
        <w:rPr>
          <w:rFonts w:cs="Arial"/>
          <w:iCs/>
        </w:rPr>
        <w:t xml:space="preserve"> the </w:t>
      </w:r>
      <w:r w:rsidRPr="00DE5D68">
        <w:rPr>
          <w:rFonts w:cs="Arial"/>
          <w:szCs w:val="20"/>
        </w:rPr>
        <w:t>establishment</w:t>
      </w:r>
      <w:r w:rsidRPr="00DE5D68">
        <w:rPr>
          <w:rFonts w:cs="Arial"/>
        </w:rPr>
        <w:t xml:space="preserve"> of the Company, the </w:t>
      </w:r>
      <w:r w:rsidR="00CC3344">
        <w:rPr>
          <w:rFonts w:cs="Arial"/>
        </w:rPr>
        <w:t xml:space="preserve">Initial </w:t>
      </w:r>
      <w:r w:rsidR="00E64580">
        <w:rPr>
          <w:rFonts w:cs="Arial"/>
        </w:rPr>
        <w:t>Placing</w:t>
      </w:r>
      <w:r w:rsidRPr="00DE5D68">
        <w:rPr>
          <w:rFonts w:cs="Arial"/>
        </w:rPr>
        <w:t xml:space="preserve"> and </w:t>
      </w:r>
      <w:r w:rsidRPr="00DE5D68" w:rsidR="0066635C">
        <w:rPr>
          <w:rFonts w:cs="Arial"/>
        </w:rPr>
        <w:t xml:space="preserve">Initial </w:t>
      </w:r>
      <w:r w:rsidRPr="00DE5D68">
        <w:rPr>
          <w:rFonts w:cs="Arial"/>
        </w:rPr>
        <w:t>Admission.</w:t>
      </w:r>
    </w:p>
    <w:p w:rsidRPr="00DE5D68" w:rsidR="004473B8" w:rsidP="00C27D12" w:rsidRDefault="00C46ECD" w14:paraId="5547686E" w14:textId="26291AE2">
      <w:pPr>
        <w:rPr>
          <w:rFonts w:cs="Arial"/>
        </w:rPr>
      </w:pPr>
      <w:r w:rsidRPr="00DE5D68">
        <w:rPr>
          <w:rStyle w:val="Level3asHeadingtext"/>
          <w:rFonts w:cs="Arial"/>
          <w:b w:val="0"/>
        </w:rPr>
        <w:t>The costs and expenses of, and incidental to, the formation of the Company and the</w:t>
      </w:r>
      <w:r w:rsidRPr="00DE5D68" w:rsidR="0066635C">
        <w:rPr>
          <w:rStyle w:val="Level3asHeadingtext"/>
          <w:rFonts w:cs="Arial"/>
          <w:b w:val="0"/>
        </w:rPr>
        <w:t xml:space="preserve"> </w:t>
      </w:r>
      <w:r w:rsidR="00CC3344">
        <w:rPr>
          <w:rStyle w:val="Level3asHeadingtext"/>
          <w:rFonts w:cs="Arial"/>
          <w:b w:val="0"/>
        </w:rPr>
        <w:t xml:space="preserve">Initial </w:t>
      </w:r>
      <w:r w:rsidR="00E64580">
        <w:rPr>
          <w:rStyle w:val="Level3asHeadingtext"/>
          <w:rFonts w:cs="Arial"/>
          <w:b w:val="0"/>
        </w:rPr>
        <w:t>Placing</w:t>
      </w:r>
      <w:r w:rsidRPr="00DE5D68">
        <w:rPr>
          <w:rStyle w:val="Level3asHeadingtext"/>
          <w:rFonts w:cs="Arial"/>
          <w:b w:val="0"/>
        </w:rPr>
        <w:t xml:space="preserve"> </w:t>
      </w:r>
      <w:r w:rsidR="00DF5FE0">
        <w:rPr>
          <w:rStyle w:val="Level3asHeadingtext"/>
          <w:rFonts w:cs="Arial"/>
          <w:b w:val="0"/>
        </w:rPr>
        <w:t>will not</w:t>
      </w:r>
      <w:r w:rsidRPr="00DE5D68">
        <w:rPr>
          <w:rStyle w:val="Level3asHeadingtext"/>
          <w:rFonts w:cs="Arial"/>
          <w:b w:val="0"/>
        </w:rPr>
        <w:t xml:space="preserve"> exceed approximately </w:t>
      </w:r>
      <w:r w:rsidRPr="00DE5D68" w:rsidR="0066635C">
        <w:rPr>
          <w:rStyle w:val="Level3asHeadingtext"/>
          <w:rFonts w:cs="Arial"/>
          <w:b w:val="0"/>
        </w:rPr>
        <w:t>£</w:t>
      </w:r>
      <w:r w:rsidR="00A10F64">
        <w:rPr>
          <w:rStyle w:val="Level3asHeadingtext"/>
          <w:rFonts w:cs="Arial"/>
          <w:b w:val="0"/>
        </w:rPr>
        <w:t>0.</w:t>
      </w:r>
      <w:r w:rsidR="00DF5FE0">
        <w:rPr>
          <w:rStyle w:val="Level3asHeadingtext"/>
          <w:rFonts w:cs="Arial"/>
          <w:b w:val="0"/>
        </w:rPr>
        <w:t>8</w:t>
      </w:r>
      <w:r w:rsidRPr="00DE5D68" w:rsidR="00DB7D6F">
        <w:rPr>
          <w:rStyle w:val="Level3asHeadingtext"/>
          <w:rFonts w:cs="Arial"/>
          <w:b w:val="0"/>
        </w:rPr>
        <w:t xml:space="preserve"> </w:t>
      </w:r>
      <w:r w:rsidR="002B5D94">
        <w:rPr>
          <w:rStyle w:val="Level3asHeadingtext"/>
          <w:rFonts w:cs="Arial"/>
          <w:b w:val="0"/>
        </w:rPr>
        <w:t>million</w:t>
      </w:r>
      <w:r w:rsidRPr="00DE5D68">
        <w:rPr>
          <w:rStyle w:val="Level3asHeadingtext"/>
          <w:rFonts w:cs="Arial"/>
          <w:b w:val="0"/>
        </w:rPr>
        <w:t>. The costs will be deducted from the</w:t>
      </w:r>
      <w:r w:rsidRPr="00DE5D68" w:rsidR="0066635C">
        <w:rPr>
          <w:rStyle w:val="Level3asHeadingtext"/>
          <w:rFonts w:cs="Arial"/>
          <w:b w:val="0"/>
        </w:rPr>
        <w:t xml:space="preserve"> Initial</w:t>
      </w:r>
      <w:r w:rsidRPr="00DE5D68">
        <w:rPr>
          <w:rStyle w:val="Level3asHeadingtext"/>
          <w:rFonts w:cs="Arial"/>
          <w:b w:val="0"/>
        </w:rPr>
        <w:t xml:space="preserve"> Gross Proceeds.</w:t>
      </w:r>
      <w:r w:rsidRPr="00DE5D68" w:rsidR="00AB3F25">
        <w:rPr>
          <w:rStyle w:val="Level3asHeadingtext"/>
          <w:rFonts w:cs="Arial"/>
          <w:b w:val="0"/>
        </w:rPr>
        <w:t xml:space="preserve"> The Company will not charge investors any separate costs or expenses in connection with the </w:t>
      </w:r>
      <w:r w:rsidR="00CC3344">
        <w:rPr>
          <w:rStyle w:val="Level3asHeadingtext"/>
          <w:rFonts w:cs="Arial"/>
          <w:b w:val="0"/>
        </w:rPr>
        <w:t xml:space="preserve">Initial </w:t>
      </w:r>
      <w:r w:rsidR="00E64580">
        <w:rPr>
          <w:rStyle w:val="Level3asHeadingtext"/>
          <w:rFonts w:cs="Arial"/>
          <w:b w:val="0"/>
        </w:rPr>
        <w:t>Placing</w:t>
      </w:r>
      <w:r w:rsidRPr="00DE5D68" w:rsidR="00AB3F25">
        <w:rPr>
          <w:rStyle w:val="Level3asHeadingtext"/>
          <w:rFonts w:cs="Arial"/>
          <w:b w:val="0"/>
        </w:rPr>
        <w:t>.</w:t>
      </w:r>
      <w:r w:rsidRPr="00DE5D68">
        <w:rPr>
          <w:rStyle w:val="Level3asHeadingtext"/>
          <w:rFonts w:cs="Arial"/>
          <w:b w:val="0"/>
        </w:rPr>
        <w:t xml:space="preserve"> It is expected that the starting </w:t>
      </w:r>
      <w:r w:rsidR="00E81510">
        <w:rPr>
          <w:rStyle w:val="Level3asHeadingtext"/>
          <w:rFonts w:cs="Arial"/>
          <w:b w:val="0"/>
        </w:rPr>
        <w:t xml:space="preserve">Net Asset Value per </w:t>
      </w:r>
      <w:r w:rsidR="00A73A24">
        <w:rPr>
          <w:rStyle w:val="Level3asHeadingtext"/>
          <w:rFonts w:cs="Arial"/>
          <w:b w:val="0"/>
        </w:rPr>
        <w:t xml:space="preserve">Ordinary </w:t>
      </w:r>
      <w:r w:rsidR="00E81510">
        <w:rPr>
          <w:rStyle w:val="Level3asHeadingtext"/>
          <w:rFonts w:cs="Arial"/>
          <w:b w:val="0"/>
        </w:rPr>
        <w:t>Share</w:t>
      </w:r>
      <w:r w:rsidRPr="00DE5D68">
        <w:rPr>
          <w:rStyle w:val="Level3asHeadingtext"/>
          <w:rFonts w:cs="Arial"/>
          <w:b w:val="0"/>
        </w:rPr>
        <w:t xml:space="preserve"> will be </w:t>
      </w:r>
      <w:r w:rsidR="00A1533A">
        <w:rPr>
          <w:rStyle w:val="Level3asHeadingtext"/>
          <w:rFonts w:cs="Arial"/>
          <w:b w:val="0"/>
        </w:rPr>
        <w:t xml:space="preserve">approximately </w:t>
      </w:r>
      <w:r w:rsidRPr="007E14AC" w:rsidR="00E64580">
        <w:rPr>
          <w:rStyle w:val="Level3asHeadingtext"/>
          <w:rFonts w:cs="Arial"/>
          <w:b w:val="0"/>
        </w:rPr>
        <w:t>98.5</w:t>
      </w:r>
      <w:r w:rsidR="00A1533A">
        <w:rPr>
          <w:rStyle w:val="Level3asHeadingtext"/>
          <w:rFonts w:cs="Arial"/>
          <w:b w:val="0"/>
        </w:rPr>
        <w:t xml:space="preserve"> pence</w:t>
      </w:r>
      <w:r w:rsidRPr="00DE5D68">
        <w:rPr>
          <w:rStyle w:val="Level3asHeadingtext"/>
          <w:rFonts w:cs="Arial"/>
          <w:b w:val="0"/>
        </w:rPr>
        <w:t xml:space="preserve">.  </w:t>
      </w:r>
    </w:p>
    <w:p w:rsidRPr="00DE5D68" w:rsidR="00F67244" w:rsidP="00C27D12" w:rsidRDefault="00F67244" w14:paraId="37F16564" w14:textId="67EE426A">
      <w:pPr>
        <w:pStyle w:val="Heading1"/>
        <w:numPr>
          <w:ilvl w:val="0"/>
          <w:numId w:val="27"/>
        </w:numPr>
        <w:ind w:hanging="720"/>
        <w:rPr>
          <w:rFonts w:cs="Arial"/>
          <w:caps w:val="0"/>
        </w:rPr>
      </w:pPr>
      <w:r w:rsidRPr="00DE5D68">
        <w:rPr>
          <w:rFonts w:cs="Arial"/>
          <w:caps w:val="0"/>
        </w:rPr>
        <w:t xml:space="preserve">THE </w:t>
      </w:r>
      <w:r w:rsidR="00020807">
        <w:rPr>
          <w:rFonts w:cs="Arial"/>
          <w:caps w:val="0"/>
        </w:rPr>
        <w:t>PLACING AGREEMENT</w:t>
      </w:r>
      <w:r w:rsidRPr="00DE5D68">
        <w:rPr>
          <w:rFonts w:cs="Arial"/>
          <w:caps w:val="0"/>
        </w:rPr>
        <w:t xml:space="preserve"> </w:t>
      </w:r>
    </w:p>
    <w:p w:rsidRPr="00DE5D68" w:rsidR="00F67244" w:rsidP="00C27D12" w:rsidRDefault="00F67244" w14:paraId="42CB7868" w14:textId="7129F026">
      <w:pPr>
        <w:autoSpaceDE w:val="0"/>
        <w:autoSpaceDN w:val="0"/>
        <w:adjustRightInd w:val="0"/>
        <w:snapToGrid w:val="0"/>
        <w:rPr>
          <w:rFonts w:cs="Arial"/>
          <w:szCs w:val="20"/>
        </w:rPr>
      </w:pPr>
      <w:r w:rsidRPr="00DE5D68">
        <w:rPr>
          <w:rFonts w:cs="Arial"/>
        </w:rPr>
        <w:t xml:space="preserve">The </w:t>
      </w:r>
      <w:r w:rsidR="00020807">
        <w:rPr>
          <w:rFonts w:cs="Arial"/>
        </w:rPr>
        <w:t>Placing Agreement</w:t>
      </w:r>
      <w:r w:rsidRPr="00DE5D68">
        <w:rPr>
          <w:rFonts w:cs="Arial"/>
        </w:rPr>
        <w:t xml:space="preserve"> contains provisions entitling </w:t>
      </w:r>
      <w:r w:rsidR="00A73A24">
        <w:rPr>
          <w:rFonts w:cs="Arial"/>
        </w:rPr>
        <w:t>Singer Capital Markets</w:t>
      </w:r>
      <w:r w:rsidRPr="00DE5D68" w:rsidR="00631C3F">
        <w:rPr>
          <w:rFonts w:cs="Arial"/>
        </w:rPr>
        <w:t xml:space="preserve"> </w:t>
      </w:r>
      <w:r w:rsidRPr="00DE5D68">
        <w:rPr>
          <w:rFonts w:cs="Arial"/>
        </w:rPr>
        <w:t>to terminate the</w:t>
      </w:r>
      <w:r w:rsidRPr="00DE5D68" w:rsidR="005D5E5F">
        <w:rPr>
          <w:rFonts w:cs="Arial"/>
        </w:rPr>
        <w:t xml:space="preserve"> </w:t>
      </w:r>
      <w:r w:rsidR="00CC3344">
        <w:rPr>
          <w:rFonts w:cs="Arial"/>
        </w:rPr>
        <w:t xml:space="preserve">Initial </w:t>
      </w:r>
      <w:r w:rsidR="00E64580">
        <w:rPr>
          <w:rFonts w:cs="Arial"/>
        </w:rPr>
        <w:t>Placing</w:t>
      </w:r>
      <w:r w:rsidRPr="00DE5D68" w:rsidR="00575D71">
        <w:rPr>
          <w:rFonts w:cs="Arial"/>
        </w:rPr>
        <w:t xml:space="preserve"> </w:t>
      </w:r>
      <w:r w:rsidRPr="00DE5D68">
        <w:rPr>
          <w:rFonts w:cs="Arial"/>
        </w:rPr>
        <w:t xml:space="preserve">(and the </w:t>
      </w:r>
      <w:r w:rsidRPr="00DE5D68">
        <w:rPr>
          <w:rFonts w:cs="Arial"/>
          <w:szCs w:val="20"/>
        </w:rPr>
        <w:t>arrangements associate</w:t>
      </w:r>
      <w:r w:rsidRPr="00DE5D68" w:rsidR="00260AAC">
        <w:rPr>
          <w:rFonts w:cs="Arial"/>
          <w:szCs w:val="20"/>
        </w:rPr>
        <w:t xml:space="preserve">d with it) at any time prior to </w:t>
      </w:r>
      <w:r w:rsidRPr="00DE5D68" w:rsidR="005D5E5F">
        <w:rPr>
          <w:rFonts w:cs="Arial"/>
          <w:szCs w:val="20"/>
        </w:rPr>
        <w:t xml:space="preserve">Initial </w:t>
      </w:r>
      <w:r w:rsidRPr="00DE5D68">
        <w:rPr>
          <w:rFonts w:cs="Arial"/>
          <w:szCs w:val="20"/>
        </w:rPr>
        <w:t>Admission in certain circumstances. If this right is exercised, the</w:t>
      </w:r>
      <w:r w:rsidRPr="00DE5D68" w:rsidR="005D5E5F">
        <w:rPr>
          <w:rFonts w:cs="Arial"/>
          <w:szCs w:val="20"/>
        </w:rPr>
        <w:t xml:space="preserve"> </w:t>
      </w:r>
      <w:r w:rsidR="00CC3344">
        <w:rPr>
          <w:rFonts w:cs="Arial"/>
          <w:szCs w:val="20"/>
        </w:rPr>
        <w:t xml:space="preserve">Initial </w:t>
      </w:r>
      <w:r w:rsidR="00E64580">
        <w:rPr>
          <w:rFonts w:cs="Arial"/>
          <w:szCs w:val="20"/>
        </w:rPr>
        <w:t>Placing</w:t>
      </w:r>
      <w:r w:rsidRPr="00DE5D68">
        <w:rPr>
          <w:rFonts w:cs="Arial"/>
          <w:szCs w:val="20"/>
        </w:rPr>
        <w:t xml:space="preserve"> and these arrangements will lapse and any monies received in respect of the </w:t>
      </w:r>
      <w:r w:rsidR="00CC3344">
        <w:rPr>
          <w:rFonts w:cs="Arial"/>
          <w:szCs w:val="20"/>
        </w:rPr>
        <w:t xml:space="preserve">Initial </w:t>
      </w:r>
      <w:r w:rsidR="00E64580">
        <w:rPr>
          <w:rFonts w:cs="Arial"/>
          <w:szCs w:val="20"/>
        </w:rPr>
        <w:t>Placing</w:t>
      </w:r>
      <w:r w:rsidRPr="00DE5D68">
        <w:rPr>
          <w:rFonts w:cs="Arial"/>
          <w:szCs w:val="20"/>
        </w:rPr>
        <w:t xml:space="preserve"> will be returned to each applicant without interest at the </w:t>
      </w:r>
      <w:r w:rsidRPr="00DE5D68" w:rsidR="006A4E4F">
        <w:rPr>
          <w:rFonts w:cs="Arial"/>
          <w:szCs w:val="20"/>
        </w:rPr>
        <w:t>risk of the applicant to the applicant from whom the money was received.</w:t>
      </w:r>
    </w:p>
    <w:p w:rsidRPr="00DE5D68" w:rsidR="005D5E5F" w:rsidP="00C27D12" w:rsidRDefault="00B500FC" w14:paraId="43DB869D" w14:textId="56C0A3E8">
      <w:pPr>
        <w:autoSpaceDE w:val="0"/>
        <w:autoSpaceDN w:val="0"/>
        <w:adjustRightInd w:val="0"/>
        <w:snapToGrid w:val="0"/>
        <w:rPr>
          <w:rFonts w:cs="Arial"/>
          <w:szCs w:val="20"/>
        </w:rPr>
      </w:pPr>
      <w:r w:rsidRPr="00DE5D68">
        <w:rPr>
          <w:rFonts w:cs="Arial"/>
          <w:szCs w:val="20"/>
        </w:rPr>
        <w:t xml:space="preserve">The </w:t>
      </w:r>
      <w:r w:rsidR="00020807">
        <w:rPr>
          <w:rFonts w:cs="Arial"/>
          <w:szCs w:val="20"/>
        </w:rPr>
        <w:t>Placing Agreement</w:t>
      </w:r>
      <w:r w:rsidRPr="00DE5D68">
        <w:rPr>
          <w:rFonts w:cs="Arial"/>
          <w:szCs w:val="20"/>
        </w:rPr>
        <w:t xml:space="preserve"> provides for </w:t>
      </w:r>
      <w:r w:rsidR="00DD0C05">
        <w:rPr>
          <w:rFonts w:cs="Arial"/>
          <w:szCs w:val="20"/>
        </w:rPr>
        <w:t>Singer Capital Markets</w:t>
      </w:r>
      <w:r w:rsidRPr="00DE5D68" w:rsidR="00631C3F">
        <w:rPr>
          <w:rFonts w:cs="Arial"/>
          <w:szCs w:val="20"/>
        </w:rPr>
        <w:t xml:space="preserve"> </w:t>
      </w:r>
      <w:r w:rsidRPr="00DE5D68">
        <w:rPr>
          <w:rFonts w:cs="Arial"/>
          <w:szCs w:val="20"/>
        </w:rPr>
        <w:t xml:space="preserve">to be paid </w:t>
      </w:r>
      <w:r w:rsidRPr="00DE5D68" w:rsidR="005D5E5F">
        <w:rPr>
          <w:rFonts w:cs="Arial"/>
          <w:szCs w:val="20"/>
        </w:rPr>
        <w:t xml:space="preserve">commissions by the Company in respect of the Ordinary Shares to be </w:t>
      </w:r>
      <w:r w:rsidRPr="00DE5D68" w:rsidR="009B2499">
        <w:rPr>
          <w:rFonts w:cs="Arial"/>
          <w:szCs w:val="20"/>
        </w:rPr>
        <w:t xml:space="preserve">issued </w:t>
      </w:r>
      <w:r w:rsidR="00A73A24">
        <w:rPr>
          <w:rFonts w:cs="Arial"/>
          <w:szCs w:val="20"/>
        </w:rPr>
        <w:t xml:space="preserve">pursuant to the </w:t>
      </w:r>
      <w:r w:rsidR="00E64580">
        <w:rPr>
          <w:rFonts w:cs="Arial"/>
          <w:szCs w:val="20"/>
        </w:rPr>
        <w:t>Initial Placing</w:t>
      </w:r>
      <w:r w:rsidRPr="00DE5D68">
        <w:rPr>
          <w:rFonts w:cs="Arial"/>
          <w:szCs w:val="20"/>
        </w:rPr>
        <w:t xml:space="preserve">. Any Ordinary Shares subscribed for by </w:t>
      </w:r>
      <w:r w:rsidR="00DD0C05">
        <w:rPr>
          <w:rFonts w:cs="Arial"/>
          <w:szCs w:val="20"/>
        </w:rPr>
        <w:t>Singer Capital Markets</w:t>
      </w:r>
      <w:r w:rsidRPr="00DE5D68" w:rsidR="00631C3F">
        <w:rPr>
          <w:rFonts w:cs="Arial"/>
          <w:szCs w:val="20"/>
        </w:rPr>
        <w:t xml:space="preserve"> </w:t>
      </w:r>
      <w:r w:rsidRPr="00DE5D68">
        <w:rPr>
          <w:rFonts w:cs="Arial"/>
          <w:szCs w:val="20"/>
        </w:rPr>
        <w:t>may be retained or deal</w:t>
      </w:r>
      <w:r w:rsidRPr="00DE5D68" w:rsidR="005D5E5F">
        <w:rPr>
          <w:rFonts w:cs="Arial"/>
          <w:szCs w:val="20"/>
        </w:rPr>
        <w:t>t in by it for its own benefit.</w:t>
      </w:r>
    </w:p>
    <w:p w:rsidRPr="00DE5D68" w:rsidR="00F67244" w:rsidP="00C27D12" w:rsidRDefault="00F67244" w14:paraId="5E51F02C" w14:textId="44A06044">
      <w:pPr>
        <w:autoSpaceDE w:val="0"/>
        <w:autoSpaceDN w:val="0"/>
        <w:adjustRightInd w:val="0"/>
        <w:snapToGrid w:val="0"/>
        <w:rPr>
          <w:rFonts w:cs="Arial"/>
        </w:rPr>
      </w:pPr>
      <w:r w:rsidRPr="00DE5D68">
        <w:rPr>
          <w:rFonts w:cs="Arial"/>
          <w:szCs w:val="20"/>
        </w:rPr>
        <w:t>Further</w:t>
      </w:r>
      <w:r w:rsidRPr="00DE5D68">
        <w:rPr>
          <w:rFonts w:cs="Arial"/>
        </w:rPr>
        <w:t xml:space="preserve"> details of the terms of the </w:t>
      </w:r>
      <w:r w:rsidR="00020807">
        <w:rPr>
          <w:rFonts w:cs="Arial"/>
        </w:rPr>
        <w:t>Placing Agreement</w:t>
      </w:r>
      <w:r w:rsidRPr="00DE5D68">
        <w:rPr>
          <w:rFonts w:cs="Arial"/>
        </w:rPr>
        <w:t xml:space="preserve"> are set out in paragraph </w:t>
      </w:r>
      <w:r w:rsidR="0065622E">
        <w:rPr>
          <w:rFonts w:cs="Arial"/>
        </w:rPr>
        <w:t>6.1</w:t>
      </w:r>
      <w:r w:rsidR="00A346E5">
        <w:rPr>
          <w:rFonts w:cs="Arial"/>
        </w:rPr>
        <w:t xml:space="preserve"> </w:t>
      </w:r>
      <w:r w:rsidRPr="00DE5D68">
        <w:rPr>
          <w:rFonts w:cs="Arial"/>
        </w:rPr>
        <w:t xml:space="preserve">of </w:t>
      </w:r>
      <w:r w:rsidR="00577D1F">
        <w:rPr>
          <w:rFonts w:cs="Arial"/>
        </w:rPr>
        <w:fldChar w:fldCharType="begin" w:fldLock="1"/>
      </w:r>
      <w:r w:rsidR="00577D1F">
        <w:rPr>
          <w:rFonts w:cs="Arial"/>
        </w:rPr>
        <w:instrText xml:space="preserve"> REF _Ref65762141 \r \h </w:instrText>
      </w:r>
      <w:r w:rsidR="00577D1F">
        <w:rPr>
          <w:rFonts w:cs="Arial"/>
        </w:rPr>
      </w:r>
      <w:r w:rsidR="00577D1F">
        <w:rPr>
          <w:rFonts w:cs="Arial"/>
        </w:rPr>
        <w:fldChar w:fldCharType="separate"/>
      </w:r>
      <w:r w:rsidR="00DA4048">
        <w:rPr>
          <w:rFonts w:cs="Arial"/>
        </w:rPr>
        <w:t>Part 6</w:t>
      </w:r>
      <w:r w:rsidR="00577D1F">
        <w:rPr>
          <w:rFonts w:cs="Arial"/>
        </w:rPr>
        <w:fldChar w:fldCharType="end"/>
      </w:r>
      <w:r w:rsidRPr="00DE5D68" w:rsidR="00B122A1">
        <w:rPr>
          <w:rFonts w:cs="Arial"/>
        </w:rPr>
        <w:t xml:space="preserve"> </w:t>
      </w:r>
      <w:r w:rsidRPr="00DE5D68">
        <w:rPr>
          <w:rFonts w:cs="Arial"/>
        </w:rPr>
        <w:t>of this document.</w:t>
      </w:r>
    </w:p>
    <w:p w:rsidRPr="00DE5D68" w:rsidR="00945275" w:rsidP="00C27D12" w:rsidRDefault="00945275" w14:paraId="0877BF80" w14:textId="77777777">
      <w:pPr>
        <w:pStyle w:val="Heading1"/>
        <w:numPr>
          <w:ilvl w:val="0"/>
          <w:numId w:val="27"/>
        </w:numPr>
        <w:ind w:hanging="720"/>
        <w:rPr>
          <w:rFonts w:cs="Arial"/>
          <w:caps w:val="0"/>
        </w:rPr>
      </w:pPr>
      <w:r w:rsidRPr="00DE5D68">
        <w:rPr>
          <w:rFonts w:cs="Arial"/>
          <w:caps w:val="0"/>
        </w:rPr>
        <w:t>GENERAL</w:t>
      </w:r>
    </w:p>
    <w:p w:rsidRPr="00DE5D68" w:rsidR="00945275" w:rsidP="00C27D12" w:rsidRDefault="00945275" w14:paraId="74FA3A1C" w14:textId="0689C037">
      <w:pPr>
        <w:autoSpaceDE w:val="0"/>
        <w:autoSpaceDN w:val="0"/>
        <w:adjustRightInd w:val="0"/>
        <w:snapToGrid w:val="0"/>
        <w:rPr>
          <w:rFonts w:cs="Arial"/>
        </w:rPr>
      </w:pPr>
      <w:r w:rsidRPr="00DE5D68">
        <w:rPr>
          <w:rFonts w:cs="Arial"/>
        </w:rPr>
        <w:t xml:space="preserve">Pursuant to anti-money laundering laws and regulations with which the Company must comply, the Company (and its agents) may require evidence in connection with any application for Ordinary Shares, including further identification of the applicant(s), before any Ordinary Shares are issued pursuant to </w:t>
      </w:r>
      <w:r w:rsidRPr="00DE5D68" w:rsidR="00BF2D20">
        <w:rPr>
          <w:rFonts w:cs="Arial"/>
        </w:rPr>
        <w:t xml:space="preserve">the </w:t>
      </w:r>
      <w:r w:rsidR="00E64580">
        <w:rPr>
          <w:rFonts w:cs="Arial"/>
        </w:rPr>
        <w:t>Initial Placing</w:t>
      </w:r>
      <w:r w:rsidRPr="00DE5D68">
        <w:rPr>
          <w:rFonts w:cs="Arial"/>
        </w:rPr>
        <w:t>.</w:t>
      </w:r>
    </w:p>
    <w:p w:rsidRPr="00DE5D68" w:rsidR="00945275" w:rsidP="00C27D12" w:rsidRDefault="00945275" w14:paraId="55E54D17" w14:textId="77777777">
      <w:pPr>
        <w:autoSpaceDE w:val="0"/>
        <w:autoSpaceDN w:val="0"/>
        <w:adjustRightInd w:val="0"/>
        <w:snapToGrid w:val="0"/>
        <w:rPr>
          <w:rFonts w:cs="Arial"/>
        </w:rPr>
      </w:pPr>
      <w:r w:rsidRPr="00DE5D68">
        <w:rPr>
          <w:rFonts w:cs="Arial"/>
        </w:rPr>
        <w:t xml:space="preserve">In the event that there are any </w:t>
      </w:r>
      <w:r w:rsidRPr="00DE5D68" w:rsidR="00263EFE">
        <w:rPr>
          <w:rFonts w:cs="Arial"/>
        </w:rPr>
        <w:t>material</w:t>
      </w:r>
      <w:r w:rsidRPr="00DE5D68">
        <w:rPr>
          <w:rFonts w:cs="Arial"/>
        </w:rPr>
        <w:t xml:space="preserve"> changes affecting any of the matters described in this document or where any significant new </w:t>
      </w:r>
      <w:r w:rsidRPr="00DE5D68" w:rsidR="00263EFE">
        <w:rPr>
          <w:rFonts w:cs="Arial"/>
        </w:rPr>
        <w:t>factors</w:t>
      </w:r>
      <w:r w:rsidRPr="00DE5D68">
        <w:rPr>
          <w:rFonts w:cs="Arial"/>
        </w:rPr>
        <w:t xml:space="preserve"> have arisen after the publication of this document, the Company will publish a supplementary prospectus. The supplementary prospectus will give details of the </w:t>
      </w:r>
      <w:r w:rsidRPr="00DE5D68" w:rsidR="00E12C90">
        <w:rPr>
          <w:rFonts w:cs="Arial"/>
        </w:rPr>
        <w:t>material</w:t>
      </w:r>
      <w:r w:rsidRPr="00DE5D68">
        <w:rPr>
          <w:rFonts w:cs="Arial"/>
        </w:rPr>
        <w:t xml:space="preserve"> change(s) or the significant new </w:t>
      </w:r>
      <w:r w:rsidRPr="00DE5D68" w:rsidR="00E12C90">
        <w:rPr>
          <w:rFonts w:cs="Arial"/>
        </w:rPr>
        <w:t>factor</w:t>
      </w:r>
      <w:r w:rsidRPr="00DE5D68">
        <w:rPr>
          <w:rFonts w:cs="Arial"/>
        </w:rPr>
        <w:t>(s).</w:t>
      </w:r>
    </w:p>
    <w:p w:rsidRPr="00DE5D68" w:rsidR="00F67244" w:rsidP="00C27D12" w:rsidRDefault="008F7BD9" w14:paraId="0BD3A230" w14:textId="68C3A4A8">
      <w:pPr>
        <w:pStyle w:val="Heading1"/>
        <w:numPr>
          <w:ilvl w:val="0"/>
          <w:numId w:val="27"/>
        </w:numPr>
        <w:ind w:hanging="720"/>
        <w:rPr>
          <w:rFonts w:cs="Arial"/>
          <w:caps w:val="0"/>
        </w:rPr>
      </w:pPr>
      <w:r w:rsidRPr="00DE5D68">
        <w:rPr>
          <w:rFonts w:cs="Arial"/>
          <w:caps w:val="0"/>
        </w:rPr>
        <w:t xml:space="preserve">INITIAL </w:t>
      </w:r>
      <w:r w:rsidRPr="00DE5D68" w:rsidR="00F67244">
        <w:rPr>
          <w:rFonts w:cs="Arial"/>
          <w:caps w:val="0"/>
        </w:rPr>
        <w:t>ADMISSION</w:t>
      </w:r>
      <w:r w:rsidRPr="00DE5D68" w:rsidR="0081126F">
        <w:rPr>
          <w:rFonts w:cs="Arial"/>
          <w:caps w:val="0"/>
        </w:rPr>
        <w:t xml:space="preserve">, CLEARING AND SETTLEMENT </w:t>
      </w:r>
    </w:p>
    <w:p w:rsidRPr="00DE5D68" w:rsidR="00F67244" w:rsidP="00C27D12" w:rsidRDefault="000F109B" w14:paraId="5101D338" w14:textId="089B7DA9">
      <w:pPr>
        <w:autoSpaceDE w:val="0"/>
        <w:autoSpaceDN w:val="0"/>
        <w:adjustRightInd w:val="0"/>
        <w:snapToGrid w:val="0"/>
        <w:rPr>
          <w:rFonts w:cs="Arial"/>
        </w:rPr>
      </w:pPr>
      <w:r w:rsidRPr="00DE5D68">
        <w:rPr>
          <w:rFonts w:cs="Arial"/>
        </w:rPr>
        <w:t xml:space="preserve">Application </w:t>
      </w:r>
      <w:r w:rsidR="00DF5FE0">
        <w:rPr>
          <w:rFonts w:cs="Arial"/>
        </w:rPr>
        <w:t xml:space="preserve">has been </w:t>
      </w:r>
      <w:r w:rsidRPr="00DE5D68">
        <w:rPr>
          <w:rFonts w:cs="Arial"/>
        </w:rPr>
        <w:t xml:space="preserve">made for the </w:t>
      </w:r>
      <w:r w:rsidRPr="00DE5D68" w:rsidR="008835A9">
        <w:rPr>
          <w:rFonts w:cs="Arial"/>
        </w:rPr>
        <w:t xml:space="preserve">Ordinary </w:t>
      </w:r>
      <w:r w:rsidRPr="00DE5D68">
        <w:rPr>
          <w:rFonts w:cs="Arial"/>
        </w:rPr>
        <w:t>Shares issued pursuant to the</w:t>
      </w:r>
      <w:r w:rsidRPr="00DE5D68" w:rsidR="008F7BD9">
        <w:rPr>
          <w:rFonts w:cs="Arial"/>
        </w:rPr>
        <w:t xml:space="preserve"> </w:t>
      </w:r>
      <w:r w:rsidR="00E64580">
        <w:rPr>
          <w:rFonts w:cs="Arial"/>
        </w:rPr>
        <w:t>Initial Placing</w:t>
      </w:r>
      <w:r w:rsidRPr="00DE5D68">
        <w:rPr>
          <w:rFonts w:cs="Arial"/>
        </w:rPr>
        <w:t xml:space="preserve"> to be admitted to </w:t>
      </w:r>
      <w:r w:rsidRPr="00DE5D68" w:rsidR="00B26B00">
        <w:rPr>
          <w:rFonts w:cs="Arial"/>
        </w:rPr>
        <w:t xml:space="preserve">trading on the </w:t>
      </w:r>
      <w:r w:rsidRPr="00DE5D68" w:rsidR="00B26B00">
        <w:rPr>
          <w:rFonts w:cs="Arial"/>
          <w:szCs w:val="20"/>
        </w:rPr>
        <w:t>Specialist</w:t>
      </w:r>
      <w:r w:rsidRPr="00DE5D68" w:rsidR="00B26B00">
        <w:rPr>
          <w:rFonts w:cs="Arial"/>
        </w:rPr>
        <w:t xml:space="preserve"> Fund Segment</w:t>
      </w:r>
      <w:r w:rsidRPr="00DE5D68" w:rsidR="00041024">
        <w:rPr>
          <w:rFonts w:cs="Arial"/>
        </w:rPr>
        <w:t xml:space="preserve"> of the </w:t>
      </w:r>
      <w:r w:rsidRPr="00DE5D68" w:rsidR="00E355F0">
        <w:rPr>
          <w:rFonts w:cs="Arial"/>
        </w:rPr>
        <w:t>M</w:t>
      </w:r>
      <w:r w:rsidRPr="00DE5D68" w:rsidR="00041024">
        <w:rPr>
          <w:rFonts w:cs="Arial"/>
        </w:rPr>
        <w:t xml:space="preserve">ain </w:t>
      </w:r>
      <w:r w:rsidRPr="00DE5D68" w:rsidR="00E355F0">
        <w:rPr>
          <w:rFonts w:cs="Arial"/>
        </w:rPr>
        <w:t>M</w:t>
      </w:r>
      <w:r w:rsidRPr="00DE5D68" w:rsidR="00041024">
        <w:rPr>
          <w:rFonts w:cs="Arial"/>
        </w:rPr>
        <w:t>arket</w:t>
      </w:r>
      <w:r w:rsidRPr="00DE5D68">
        <w:rPr>
          <w:rFonts w:cs="Arial"/>
        </w:rPr>
        <w:t xml:space="preserve">. It is expected that </w:t>
      </w:r>
      <w:r w:rsidRPr="00DE5D68" w:rsidR="008F7BD9">
        <w:rPr>
          <w:rFonts w:cs="Arial"/>
        </w:rPr>
        <w:t xml:space="preserve">Initial </w:t>
      </w:r>
      <w:r w:rsidRPr="00DE5D68" w:rsidR="00F67244">
        <w:rPr>
          <w:rFonts w:cs="Arial"/>
        </w:rPr>
        <w:t xml:space="preserve">Admission </w:t>
      </w:r>
      <w:r w:rsidRPr="00DE5D68">
        <w:rPr>
          <w:rFonts w:cs="Arial"/>
        </w:rPr>
        <w:t>will become effective, and that dealings in the</w:t>
      </w:r>
      <w:r w:rsidRPr="00DE5D68" w:rsidR="008835A9">
        <w:rPr>
          <w:rFonts w:cs="Arial"/>
        </w:rPr>
        <w:t xml:space="preserve"> Ordinary</w:t>
      </w:r>
      <w:r w:rsidRPr="00DE5D68">
        <w:rPr>
          <w:rFonts w:cs="Arial"/>
        </w:rPr>
        <w:t xml:space="preserve"> Shares will commence, </w:t>
      </w:r>
      <w:r w:rsidRPr="00DE5D68" w:rsidR="00F67244">
        <w:rPr>
          <w:rFonts w:cs="Arial"/>
        </w:rPr>
        <w:t xml:space="preserve">at 8.00 a.m. on </w:t>
      </w:r>
      <w:r w:rsidR="0055680D">
        <w:rPr>
          <w:rFonts w:cs="Arial"/>
        </w:rPr>
        <w:t>2</w:t>
      </w:r>
      <w:r w:rsidR="007D3786">
        <w:rPr>
          <w:rFonts w:cs="Arial"/>
        </w:rPr>
        <w:t>5</w:t>
      </w:r>
      <w:r w:rsidRPr="00DE5D68" w:rsidR="00F67244">
        <w:rPr>
          <w:rFonts w:cs="Arial"/>
        </w:rPr>
        <w:t xml:space="preserve"> </w:t>
      </w:r>
      <w:r w:rsidR="00A10F64">
        <w:rPr>
          <w:rFonts w:cs="Arial"/>
        </w:rPr>
        <w:t xml:space="preserve">February </w:t>
      </w:r>
      <w:r w:rsidRPr="00DE5D68" w:rsidR="005C5E84">
        <w:rPr>
          <w:rFonts w:cs="Arial"/>
        </w:rPr>
        <w:t>20</w:t>
      </w:r>
      <w:r w:rsidRPr="00DE5D68" w:rsidR="008F7BD9">
        <w:rPr>
          <w:rFonts w:cs="Arial"/>
        </w:rPr>
        <w:t>2</w:t>
      </w:r>
      <w:r w:rsidR="00E64580">
        <w:rPr>
          <w:rFonts w:cs="Arial"/>
        </w:rPr>
        <w:t>5</w:t>
      </w:r>
      <w:r w:rsidRPr="00DE5D68" w:rsidR="00F67244">
        <w:rPr>
          <w:rFonts w:cs="Arial"/>
        </w:rPr>
        <w:t xml:space="preserve">. </w:t>
      </w:r>
    </w:p>
    <w:p w:rsidRPr="00DE5D68" w:rsidR="0012798C" w:rsidP="00C27D12" w:rsidRDefault="0012798C" w14:paraId="4E10E5A2" w14:textId="6C073DC7">
      <w:pPr>
        <w:autoSpaceDE w:val="0"/>
        <w:autoSpaceDN w:val="0"/>
        <w:adjustRightInd w:val="0"/>
        <w:snapToGrid w:val="0"/>
        <w:rPr>
          <w:rFonts w:cs="Arial"/>
        </w:rPr>
      </w:pPr>
      <w:r w:rsidRPr="00DE5D68">
        <w:rPr>
          <w:rFonts w:cs="Arial"/>
        </w:rPr>
        <w:t xml:space="preserve">An investor applying for </w:t>
      </w:r>
      <w:r w:rsidRPr="00DE5D68" w:rsidR="00151E7D">
        <w:rPr>
          <w:rFonts w:cs="Arial"/>
        </w:rPr>
        <w:t xml:space="preserve">Ordinary </w:t>
      </w:r>
      <w:r w:rsidRPr="00DE5D68">
        <w:rPr>
          <w:rFonts w:cs="Arial"/>
        </w:rPr>
        <w:t>Shares in the</w:t>
      </w:r>
      <w:r w:rsidRPr="00DE5D68" w:rsidR="008F7BD9">
        <w:rPr>
          <w:rFonts w:cs="Arial"/>
        </w:rPr>
        <w:t xml:space="preserve"> </w:t>
      </w:r>
      <w:r w:rsidR="00E64580">
        <w:rPr>
          <w:rFonts w:cs="Arial"/>
        </w:rPr>
        <w:t>Initial Placing</w:t>
      </w:r>
      <w:r w:rsidRPr="00DE5D68">
        <w:rPr>
          <w:rFonts w:cs="Arial"/>
        </w:rPr>
        <w:t xml:space="preserve"> may receive </w:t>
      </w:r>
      <w:r w:rsidRPr="00DE5D68" w:rsidR="00151E7D">
        <w:rPr>
          <w:rFonts w:cs="Arial"/>
        </w:rPr>
        <w:t xml:space="preserve">Ordinary </w:t>
      </w:r>
      <w:r w:rsidRPr="00DE5D68">
        <w:rPr>
          <w:rFonts w:cs="Arial"/>
        </w:rPr>
        <w:t xml:space="preserve">Shares in certificated or uncertificated form. The </w:t>
      </w:r>
      <w:r w:rsidRPr="00DE5D68" w:rsidR="00151E7D">
        <w:rPr>
          <w:rFonts w:cs="Arial"/>
        </w:rPr>
        <w:t xml:space="preserve">Ordinary </w:t>
      </w:r>
      <w:r w:rsidRPr="00DE5D68">
        <w:rPr>
          <w:rFonts w:cs="Arial"/>
        </w:rPr>
        <w:t>Shares are in registered form. No temporary documents of title will be issued.</w:t>
      </w:r>
      <w:r w:rsidRPr="00DE5D68" w:rsidR="002E117D">
        <w:rPr>
          <w:rFonts w:cs="Arial"/>
        </w:rPr>
        <w:t xml:space="preserve"> Dealings in Ordinary Shares in advance of the crediting of the relevant stock account shall be at the risk of the person concerned.</w:t>
      </w:r>
      <w:r w:rsidRPr="00DE5D68">
        <w:rPr>
          <w:rFonts w:cs="Arial"/>
        </w:rPr>
        <w:t xml:space="preserve"> It is expected that CREST accounts will be credited </w:t>
      </w:r>
      <w:r w:rsidR="00F04594">
        <w:rPr>
          <w:rFonts w:cs="Arial"/>
        </w:rPr>
        <w:t xml:space="preserve">as soon as reasonably practicable </w:t>
      </w:r>
      <w:r w:rsidRPr="00DE5D68">
        <w:rPr>
          <w:rFonts w:cs="Arial"/>
        </w:rPr>
        <w:t xml:space="preserve">on </w:t>
      </w:r>
      <w:r w:rsidR="0055680D">
        <w:rPr>
          <w:rFonts w:cs="Arial"/>
        </w:rPr>
        <w:t>2</w:t>
      </w:r>
      <w:r w:rsidR="007D3786">
        <w:rPr>
          <w:rFonts w:cs="Arial"/>
        </w:rPr>
        <w:t>5</w:t>
      </w:r>
      <w:r w:rsidRPr="00DE5D68">
        <w:rPr>
          <w:rFonts w:cs="Arial"/>
        </w:rPr>
        <w:t xml:space="preserve"> </w:t>
      </w:r>
      <w:r w:rsidR="00A70395">
        <w:rPr>
          <w:rFonts w:cs="Arial"/>
        </w:rPr>
        <w:t xml:space="preserve">February </w:t>
      </w:r>
      <w:r w:rsidRPr="00DE5D68" w:rsidR="00EB69E3">
        <w:rPr>
          <w:rFonts w:cs="Arial"/>
        </w:rPr>
        <w:t>20</w:t>
      </w:r>
      <w:r w:rsidRPr="00DE5D68" w:rsidR="008F7BD9">
        <w:rPr>
          <w:rFonts w:cs="Arial"/>
        </w:rPr>
        <w:t>2</w:t>
      </w:r>
      <w:r w:rsidR="00E64580">
        <w:rPr>
          <w:rFonts w:cs="Arial"/>
        </w:rPr>
        <w:t>5</w:t>
      </w:r>
      <w:r w:rsidRPr="00DE5D68">
        <w:rPr>
          <w:rFonts w:cs="Arial"/>
        </w:rPr>
        <w:t xml:space="preserve"> in respect of </w:t>
      </w:r>
      <w:r w:rsidRPr="00DE5D68" w:rsidR="00151E7D">
        <w:rPr>
          <w:rFonts w:cs="Arial"/>
        </w:rPr>
        <w:t xml:space="preserve">Ordinary </w:t>
      </w:r>
      <w:r w:rsidRPr="00DE5D68">
        <w:rPr>
          <w:rFonts w:cs="Arial"/>
        </w:rPr>
        <w:t xml:space="preserve">Shares issued in uncertificated form and definitive share certificates in respect of </w:t>
      </w:r>
      <w:r w:rsidRPr="00DE5D68" w:rsidR="00151E7D">
        <w:rPr>
          <w:rFonts w:cs="Arial"/>
        </w:rPr>
        <w:t xml:space="preserve">Ordinary </w:t>
      </w:r>
      <w:r w:rsidRPr="00DE5D68">
        <w:rPr>
          <w:rFonts w:cs="Arial"/>
        </w:rPr>
        <w:t xml:space="preserve">Shares held in certificated form will be despatched by post </w:t>
      </w:r>
      <w:r w:rsidR="00F04594">
        <w:rPr>
          <w:rFonts w:cs="Arial"/>
        </w:rPr>
        <w:t xml:space="preserve">within 10 Business Days of </w:t>
      </w:r>
      <w:r w:rsidR="00246246">
        <w:rPr>
          <w:rFonts w:cs="Arial"/>
        </w:rPr>
        <w:t xml:space="preserve">Initial </w:t>
      </w:r>
      <w:r w:rsidR="00F04594">
        <w:rPr>
          <w:rFonts w:cs="Arial"/>
        </w:rPr>
        <w:t>Admission</w:t>
      </w:r>
      <w:r w:rsidRPr="00DE5D68" w:rsidR="00E1016D">
        <w:rPr>
          <w:rFonts w:cs="Arial"/>
        </w:rPr>
        <w:t>, at the Shareholder</w:t>
      </w:r>
      <w:r w:rsidRPr="00DE5D68" w:rsidR="00A10967">
        <w:rPr>
          <w:rFonts w:cs="Arial"/>
        </w:rPr>
        <w:t>’</w:t>
      </w:r>
      <w:r w:rsidRPr="00DE5D68" w:rsidR="00E1016D">
        <w:rPr>
          <w:rFonts w:cs="Arial"/>
        </w:rPr>
        <w:t>s own risk</w:t>
      </w:r>
      <w:r w:rsidRPr="00DE5D68">
        <w:rPr>
          <w:rFonts w:cs="Arial"/>
        </w:rPr>
        <w:t>.</w:t>
      </w:r>
      <w:r w:rsidRPr="00DE5D68" w:rsidR="002E117D">
        <w:rPr>
          <w:rFonts w:cs="Arial"/>
        </w:rPr>
        <w:t xml:space="preserve"> </w:t>
      </w:r>
    </w:p>
    <w:p w:rsidRPr="00DE5D68" w:rsidR="005C2D6D" w:rsidP="00222782" w:rsidRDefault="005C2D6D" w14:paraId="79464CF8" w14:textId="1AE514AC">
      <w:pPr>
        <w:rPr>
          <w:rFonts w:cs="Arial"/>
        </w:rPr>
      </w:pPr>
      <w:r w:rsidRPr="00DE5D68">
        <w:rPr>
          <w:rFonts w:cs="Arial"/>
        </w:rPr>
        <w:lastRenderedPageBreak/>
        <w:t>The</w:t>
      </w:r>
      <w:r w:rsidR="00A73A24">
        <w:rPr>
          <w:rFonts w:cs="Arial"/>
        </w:rPr>
        <w:t xml:space="preserve"> ISI</w:t>
      </w:r>
      <w:r w:rsidR="006116B3">
        <w:rPr>
          <w:rFonts w:cs="Arial"/>
        </w:rPr>
        <w:t xml:space="preserve">N of the Ordinary Shares is </w:t>
      </w:r>
      <w:r w:rsidRPr="00CC32A8" w:rsidR="00CC32A8">
        <w:rPr>
          <w:rFonts w:cs="Arial"/>
        </w:rPr>
        <w:t>GG00BT3GKD08</w:t>
      </w:r>
      <w:r w:rsidRPr="00DE5D68" w:rsidR="008F7BD9">
        <w:rPr>
          <w:rFonts w:cs="Arial"/>
        </w:rPr>
        <w:t xml:space="preserve"> and the SEDOL </w:t>
      </w:r>
      <w:r w:rsidRPr="00DE5D68" w:rsidR="00EB69E3">
        <w:rPr>
          <w:rFonts w:cs="Arial"/>
        </w:rPr>
        <w:t xml:space="preserve">is </w:t>
      </w:r>
      <w:r w:rsidRPr="00CC32A8" w:rsidR="00CC32A8">
        <w:rPr>
          <w:rFonts w:cs="Arial"/>
        </w:rPr>
        <w:t>BT3GKD0</w:t>
      </w:r>
      <w:r w:rsidRPr="00DE5D68" w:rsidR="00EB69E3">
        <w:rPr>
          <w:rFonts w:cs="Arial"/>
        </w:rPr>
        <w:t>.</w:t>
      </w:r>
      <w:r w:rsidRPr="00DE5D68">
        <w:rPr>
          <w:rFonts w:cs="Arial"/>
        </w:rPr>
        <w:t xml:space="preserve"> </w:t>
      </w:r>
    </w:p>
    <w:p w:rsidRPr="00DE5D68" w:rsidR="005C2D6D" w:rsidP="00C27D12" w:rsidRDefault="005C2D6D" w14:paraId="1903AD1F" w14:textId="4EC7A330">
      <w:pPr>
        <w:autoSpaceDE w:val="0"/>
        <w:autoSpaceDN w:val="0"/>
        <w:adjustRightInd w:val="0"/>
        <w:snapToGrid w:val="0"/>
        <w:rPr>
          <w:rFonts w:cs="Arial"/>
        </w:rPr>
      </w:pPr>
      <w:r w:rsidRPr="00DE5D68">
        <w:rPr>
          <w:rFonts w:cs="Arial"/>
        </w:rPr>
        <w:t xml:space="preserve">The Company does not guarantee that at any particular time market maker(s) will be willing to make a market in the </w:t>
      </w:r>
      <w:r w:rsidRPr="00DE5D68">
        <w:rPr>
          <w:rFonts w:cs="Arial"/>
          <w:szCs w:val="20"/>
        </w:rPr>
        <w:t>Ordinary</w:t>
      </w:r>
      <w:r w:rsidRPr="00DE5D68">
        <w:rPr>
          <w:rFonts w:cs="Arial"/>
        </w:rPr>
        <w:t xml:space="preserve"> Shares, nor does it guarantee the price at which a market will be made in the Ordinary Shares. Accordingly, the dealing price of the Ordinary Shares may not necessarily reflect changes in the </w:t>
      </w:r>
      <w:r w:rsidR="00E81510">
        <w:rPr>
          <w:rFonts w:cs="Arial"/>
        </w:rPr>
        <w:t xml:space="preserve">Net Asset Value per </w:t>
      </w:r>
      <w:r w:rsidR="00A73A24">
        <w:rPr>
          <w:rFonts w:cs="Arial"/>
        </w:rPr>
        <w:t xml:space="preserve">Ordinary </w:t>
      </w:r>
      <w:r w:rsidR="00E81510">
        <w:rPr>
          <w:rFonts w:cs="Arial"/>
        </w:rPr>
        <w:t>Share</w:t>
      </w:r>
      <w:r w:rsidRPr="00DE5D68">
        <w:rPr>
          <w:rFonts w:cs="Arial"/>
        </w:rPr>
        <w:t>.</w:t>
      </w:r>
    </w:p>
    <w:p w:rsidRPr="00DE5D68" w:rsidR="000D134D" w:rsidP="00C27D12" w:rsidRDefault="00F9129E" w14:paraId="3D154ECF" w14:textId="51CA782D">
      <w:pPr>
        <w:pStyle w:val="Heading1"/>
        <w:numPr>
          <w:ilvl w:val="0"/>
          <w:numId w:val="27"/>
        </w:numPr>
        <w:ind w:hanging="720"/>
        <w:rPr>
          <w:rFonts w:cs="Arial"/>
          <w:caps w:val="0"/>
        </w:rPr>
      </w:pPr>
      <w:r w:rsidRPr="00DE5D68">
        <w:rPr>
          <w:rFonts w:cs="Arial"/>
          <w:caps w:val="0"/>
        </w:rPr>
        <w:t xml:space="preserve">CREST </w:t>
      </w:r>
    </w:p>
    <w:p w:rsidRPr="00DE5D68" w:rsidR="00F67244" w:rsidP="00C27D12" w:rsidRDefault="00F67244" w14:paraId="757D3F27" w14:textId="772F4C08">
      <w:pPr>
        <w:autoSpaceDE w:val="0"/>
        <w:autoSpaceDN w:val="0"/>
        <w:adjustRightInd w:val="0"/>
        <w:snapToGrid w:val="0"/>
        <w:rPr>
          <w:rFonts w:cs="Arial"/>
        </w:rPr>
      </w:pPr>
      <w:r w:rsidRPr="00DE5D68">
        <w:rPr>
          <w:rFonts w:cs="Arial"/>
        </w:rPr>
        <w:t xml:space="preserve">CREST is a paperless settlement procedure enabling securities to be evidenced otherwise than by a certificate and transferred otherwise than by written instrument. The Articles permit the holding of </w:t>
      </w:r>
      <w:r w:rsidRPr="00DE5D68" w:rsidR="00151E7D">
        <w:rPr>
          <w:rFonts w:cs="Arial"/>
        </w:rPr>
        <w:t xml:space="preserve">Ordinary </w:t>
      </w:r>
      <w:r w:rsidRPr="00DE5D68">
        <w:rPr>
          <w:rFonts w:cs="Arial"/>
        </w:rPr>
        <w:t xml:space="preserve">Shares under the </w:t>
      </w:r>
      <w:r w:rsidRPr="00DE5D68">
        <w:rPr>
          <w:rFonts w:cs="Arial"/>
          <w:szCs w:val="20"/>
        </w:rPr>
        <w:t>CREST</w:t>
      </w:r>
      <w:r w:rsidRPr="00DE5D68">
        <w:rPr>
          <w:rFonts w:cs="Arial"/>
        </w:rPr>
        <w:t xml:space="preserve"> system. The Company has applied for the </w:t>
      </w:r>
      <w:r w:rsidRPr="00DE5D68" w:rsidR="00151E7D">
        <w:rPr>
          <w:rFonts w:cs="Arial"/>
        </w:rPr>
        <w:t xml:space="preserve">Ordinary </w:t>
      </w:r>
      <w:r w:rsidRPr="00DE5D68">
        <w:rPr>
          <w:rFonts w:cs="Arial"/>
        </w:rPr>
        <w:t xml:space="preserve">Shares to be admitted to CREST with effect </w:t>
      </w:r>
      <w:r w:rsidRPr="00DE5D68" w:rsidR="00EB69E3">
        <w:rPr>
          <w:rFonts w:cs="Arial"/>
        </w:rPr>
        <w:t xml:space="preserve">from </w:t>
      </w:r>
      <w:r w:rsidRPr="00DE5D68" w:rsidR="00232D04">
        <w:rPr>
          <w:rFonts w:cs="Arial"/>
        </w:rPr>
        <w:t xml:space="preserve">Initial </w:t>
      </w:r>
      <w:r w:rsidRPr="00DE5D68">
        <w:rPr>
          <w:rFonts w:cs="Arial"/>
        </w:rPr>
        <w:t xml:space="preserve">Admission. Accordingly, settlement of transactions in the </w:t>
      </w:r>
      <w:r w:rsidRPr="00DE5D68" w:rsidR="00151E7D">
        <w:rPr>
          <w:rFonts w:cs="Arial"/>
        </w:rPr>
        <w:t xml:space="preserve">Ordinary </w:t>
      </w:r>
      <w:r w:rsidRPr="00DE5D68" w:rsidR="00EB69E3">
        <w:rPr>
          <w:rFonts w:cs="Arial"/>
        </w:rPr>
        <w:t xml:space="preserve">Shares following </w:t>
      </w:r>
      <w:r w:rsidRPr="00DE5D68" w:rsidR="00232D04">
        <w:rPr>
          <w:rFonts w:cs="Arial"/>
        </w:rPr>
        <w:t xml:space="preserve">Initial </w:t>
      </w:r>
      <w:r w:rsidRPr="00DE5D68">
        <w:rPr>
          <w:rFonts w:cs="Arial"/>
        </w:rPr>
        <w:t>Admission may take place within the CREST system if any Shareholder so wishes.</w:t>
      </w:r>
    </w:p>
    <w:p w:rsidRPr="00DE5D68" w:rsidR="00F67244" w:rsidP="00C27D12" w:rsidRDefault="00F67244" w14:paraId="5D3EFFD5" w14:textId="77777777">
      <w:pPr>
        <w:pStyle w:val="Heading1"/>
        <w:numPr>
          <w:ilvl w:val="0"/>
          <w:numId w:val="27"/>
        </w:numPr>
        <w:ind w:hanging="720"/>
        <w:rPr>
          <w:rFonts w:cs="Arial"/>
          <w:caps w:val="0"/>
        </w:rPr>
      </w:pPr>
      <w:r w:rsidRPr="00DE5D68">
        <w:rPr>
          <w:rFonts w:cs="Arial"/>
          <w:caps w:val="0"/>
        </w:rPr>
        <w:t>OVERSEAS PERSONS</w:t>
      </w:r>
    </w:p>
    <w:p w:rsidRPr="00DE5D68" w:rsidR="00F67244" w:rsidP="00C27D12" w:rsidRDefault="00F67244" w14:paraId="54E98297" w14:textId="77777777">
      <w:pPr>
        <w:autoSpaceDE w:val="0"/>
        <w:autoSpaceDN w:val="0"/>
        <w:adjustRightInd w:val="0"/>
        <w:snapToGrid w:val="0"/>
        <w:rPr>
          <w:rFonts w:cs="Arial"/>
        </w:rPr>
      </w:pPr>
      <w:r w:rsidRPr="00DE5D68">
        <w:rPr>
          <w:rFonts w:cs="Arial"/>
        </w:rPr>
        <w:t xml:space="preserve">The attention of </w:t>
      </w:r>
      <w:r w:rsidRPr="00DE5D68">
        <w:rPr>
          <w:rFonts w:cs="Arial"/>
          <w:szCs w:val="20"/>
        </w:rPr>
        <w:t>potential</w:t>
      </w:r>
      <w:r w:rsidRPr="00DE5D68">
        <w:rPr>
          <w:rFonts w:cs="Arial"/>
        </w:rPr>
        <w:t xml:space="preserve"> investors who are Overseas Persons is drawn to the paragraphs below.</w:t>
      </w:r>
    </w:p>
    <w:p w:rsidRPr="00DE5D68" w:rsidR="00F67244" w:rsidP="00C27D12" w:rsidRDefault="00F67244" w14:paraId="1D43D07F" w14:textId="571323B0">
      <w:pPr>
        <w:autoSpaceDE w:val="0"/>
        <w:autoSpaceDN w:val="0"/>
        <w:adjustRightInd w:val="0"/>
        <w:snapToGrid w:val="0"/>
        <w:rPr>
          <w:rFonts w:cs="Arial"/>
        </w:rPr>
      </w:pPr>
      <w:r w:rsidRPr="00DE5D68">
        <w:rPr>
          <w:rFonts w:cs="Arial"/>
        </w:rPr>
        <w:t xml:space="preserve">The offer of </w:t>
      </w:r>
      <w:r w:rsidRPr="00DE5D68" w:rsidR="00151E7D">
        <w:rPr>
          <w:rFonts w:cs="Arial"/>
        </w:rPr>
        <w:t xml:space="preserve">Ordinary </w:t>
      </w:r>
      <w:r w:rsidRPr="00DE5D68">
        <w:rPr>
          <w:rFonts w:cs="Arial"/>
        </w:rPr>
        <w:t>Shares under the</w:t>
      </w:r>
      <w:r w:rsidRPr="00DE5D68" w:rsidR="00232D04">
        <w:rPr>
          <w:rFonts w:cs="Arial"/>
        </w:rPr>
        <w:t xml:space="preserve"> </w:t>
      </w:r>
      <w:r w:rsidR="00E64580">
        <w:rPr>
          <w:rFonts w:cs="Arial"/>
        </w:rPr>
        <w:t>Initial Placing</w:t>
      </w:r>
      <w:r w:rsidRPr="00DE5D68">
        <w:rPr>
          <w:rFonts w:cs="Arial"/>
        </w:rPr>
        <w:t xml:space="preserve"> to Overseas Persons may be affected by the laws of the relevant jurisdictions. Such persons should consult their professional advisers as to whether they require any government or other consents or need to observe any applicable legal requirements to enable them to obtain </w:t>
      </w:r>
      <w:r w:rsidRPr="00DE5D68" w:rsidR="00151E7D">
        <w:rPr>
          <w:rFonts w:cs="Arial"/>
        </w:rPr>
        <w:t xml:space="preserve">Ordinary </w:t>
      </w:r>
      <w:r w:rsidRPr="00DE5D68">
        <w:rPr>
          <w:rFonts w:cs="Arial"/>
          <w:szCs w:val="20"/>
        </w:rPr>
        <w:t>Shares</w:t>
      </w:r>
      <w:r w:rsidRPr="00DE5D68">
        <w:rPr>
          <w:rFonts w:cs="Arial"/>
        </w:rPr>
        <w:t xml:space="preserve"> under the</w:t>
      </w:r>
      <w:r w:rsidRPr="00DE5D68" w:rsidR="00232D04">
        <w:rPr>
          <w:rFonts w:cs="Arial"/>
        </w:rPr>
        <w:t xml:space="preserve"> </w:t>
      </w:r>
      <w:r w:rsidR="00E64580">
        <w:rPr>
          <w:rFonts w:cs="Arial"/>
        </w:rPr>
        <w:t>Initial Placing</w:t>
      </w:r>
      <w:r w:rsidRPr="00DE5D68">
        <w:rPr>
          <w:rFonts w:cs="Arial"/>
        </w:rPr>
        <w:t xml:space="preserve">. It is the responsibility of all Overseas Persons receiving this document and/or wishing to subscribe for </w:t>
      </w:r>
      <w:r w:rsidRPr="00DE5D68" w:rsidR="00151E7D">
        <w:rPr>
          <w:rFonts w:cs="Arial"/>
        </w:rPr>
        <w:t xml:space="preserve">Ordinary </w:t>
      </w:r>
      <w:r w:rsidRPr="00DE5D68">
        <w:rPr>
          <w:rFonts w:cs="Arial"/>
        </w:rPr>
        <w:t xml:space="preserve">Shares under the </w:t>
      </w:r>
      <w:r w:rsidR="00E64580">
        <w:rPr>
          <w:rFonts w:cs="Arial"/>
        </w:rPr>
        <w:t>Initial Placing</w:t>
      </w:r>
      <w:r w:rsidRPr="00DE5D68">
        <w:rPr>
          <w:rFonts w:cs="Arial"/>
        </w:rPr>
        <w:t xml:space="preserve"> to satisfy themselves as to full observance of the laws of the relevant territory in connection therewith, including obtaining all necessary governmental or other consents that may be required and observing all other formalities needing to be observed and paying any </w:t>
      </w:r>
      <w:r w:rsidRPr="00DE5D68" w:rsidR="003C4AF9">
        <w:rPr>
          <w:rFonts w:cs="Arial"/>
        </w:rPr>
        <w:t>i</w:t>
      </w:r>
      <w:r w:rsidRPr="00DE5D68" w:rsidR="000C0D70">
        <w:rPr>
          <w:rFonts w:cs="Arial"/>
        </w:rPr>
        <w:t>ssue</w:t>
      </w:r>
      <w:r w:rsidRPr="00DE5D68">
        <w:rPr>
          <w:rFonts w:cs="Arial"/>
        </w:rPr>
        <w:t>, transfer or other taxes due in such territory.</w:t>
      </w:r>
    </w:p>
    <w:p w:rsidRPr="00DE5D68" w:rsidR="00F67244" w:rsidP="00C27D12" w:rsidRDefault="00F67244" w14:paraId="4DA2525B" w14:textId="77777777">
      <w:pPr>
        <w:autoSpaceDE w:val="0"/>
        <w:autoSpaceDN w:val="0"/>
        <w:adjustRightInd w:val="0"/>
        <w:snapToGrid w:val="0"/>
        <w:rPr>
          <w:rFonts w:cs="Arial"/>
        </w:rPr>
      </w:pPr>
      <w:r w:rsidRPr="00DE5D68">
        <w:rPr>
          <w:rFonts w:cs="Arial"/>
        </w:rPr>
        <w:t>No person receiving a copy of this document in any territory other than the UK may treat the same as constituting an offer or invitation to him/her, unless in the relevant territory such an offer can lawfully be made to him/</w:t>
      </w:r>
      <w:r w:rsidRPr="00DE5D68">
        <w:rPr>
          <w:rFonts w:cs="Arial"/>
          <w:szCs w:val="20"/>
        </w:rPr>
        <w:t>her</w:t>
      </w:r>
      <w:r w:rsidRPr="00DE5D68">
        <w:rPr>
          <w:rFonts w:cs="Arial"/>
        </w:rPr>
        <w:t xml:space="preserve"> without compliance with any further registration or other legal requirements.</w:t>
      </w:r>
    </w:p>
    <w:p w:rsidRPr="00DE5D68" w:rsidR="00F67244" w:rsidP="00C27D12" w:rsidRDefault="00F67244" w14:paraId="673E4C11" w14:textId="02D18DFF">
      <w:pPr>
        <w:autoSpaceDE w:val="0"/>
        <w:autoSpaceDN w:val="0"/>
        <w:adjustRightInd w:val="0"/>
        <w:snapToGrid w:val="0"/>
        <w:rPr>
          <w:rFonts w:cs="Arial"/>
        </w:rPr>
      </w:pPr>
      <w:r w:rsidRPr="00DE5D68">
        <w:rPr>
          <w:rFonts w:cs="Arial"/>
        </w:rPr>
        <w:t xml:space="preserve">Persons (including, without limitation, nominees and trustees) receiving this document may not distribute or send it to any U.S. Person or in or into the United States or any other jurisdiction where to do so would or might contravene local securities laws or regulations. In particular, investors should note that the Company has not, and </w:t>
      </w:r>
      <w:r w:rsidRPr="00DE5D68">
        <w:rPr>
          <w:rFonts w:cs="Arial"/>
          <w:szCs w:val="20"/>
        </w:rPr>
        <w:t>will</w:t>
      </w:r>
      <w:r w:rsidRPr="00DE5D68">
        <w:rPr>
          <w:rFonts w:cs="Arial"/>
        </w:rPr>
        <w:t xml:space="preserve"> not be, registered under the U.S. Investment Company Act and the offer, </w:t>
      </w:r>
      <w:r w:rsidRPr="00DE5D68" w:rsidR="00733CF8">
        <w:rPr>
          <w:rFonts w:cs="Arial"/>
        </w:rPr>
        <w:t>i</w:t>
      </w:r>
      <w:r w:rsidRPr="00DE5D68" w:rsidR="000C0D70">
        <w:rPr>
          <w:rFonts w:cs="Arial"/>
        </w:rPr>
        <w:t>ssue</w:t>
      </w:r>
      <w:r w:rsidRPr="00DE5D68">
        <w:rPr>
          <w:rFonts w:cs="Arial"/>
        </w:rPr>
        <w:t xml:space="preserve"> and sale of the </w:t>
      </w:r>
      <w:r w:rsidRPr="00DE5D68" w:rsidR="00151E7D">
        <w:rPr>
          <w:rFonts w:cs="Arial"/>
        </w:rPr>
        <w:t xml:space="preserve">Ordinary </w:t>
      </w:r>
      <w:r w:rsidRPr="00DE5D68">
        <w:rPr>
          <w:rFonts w:cs="Arial"/>
        </w:rPr>
        <w:t xml:space="preserve">Shares have not been, and will not be, registered under the U.S. Securities Act or with any </w:t>
      </w:r>
      <w:proofErr w:type="gramStart"/>
      <w:r w:rsidRPr="00DE5D68">
        <w:rPr>
          <w:rFonts w:cs="Arial"/>
        </w:rPr>
        <w:t>securities</w:t>
      </w:r>
      <w:proofErr w:type="gramEnd"/>
      <w:r w:rsidRPr="00DE5D68">
        <w:rPr>
          <w:rFonts w:cs="Arial"/>
        </w:rPr>
        <w:t xml:space="preserve"> regulatory authority of any state or other jurisdiction of the United States. Accordingly, the </w:t>
      </w:r>
      <w:r w:rsidRPr="00DE5D68" w:rsidR="00151E7D">
        <w:rPr>
          <w:rFonts w:cs="Arial"/>
        </w:rPr>
        <w:t xml:space="preserve">Ordinary </w:t>
      </w:r>
      <w:r w:rsidRPr="00DE5D68">
        <w:rPr>
          <w:rFonts w:cs="Arial"/>
        </w:rPr>
        <w:t xml:space="preserve">Shares are being offered and sold outside the United States to non-U.S. Persons in reliance on the exemption from the registration requirements of the U.S. Securities Act provided by Regulation S thereunder. The </w:t>
      </w:r>
      <w:r w:rsidRPr="00DE5D68" w:rsidR="00151E7D">
        <w:rPr>
          <w:rFonts w:cs="Arial"/>
        </w:rPr>
        <w:t xml:space="preserve">Ordinary </w:t>
      </w:r>
      <w:r w:rsidRPr="00DE5D68">
        <w:rPr>
          <w:rFonts w:cs="Arial"/>
        </w:rPr>
        <w:t xml:space="preserve">Shares may not be offered, sold, pledged or otherwise transferred or delivered, directly or indirectly, within the United States or to, or for the account or benefit of, any U.S. Person, except pursuant to an exemption from, or in a transaction not subject to, the registration requirements of the U.S. Securities Act and in compliance with any applicable securities laws of any state or other jurisdiction in the United States. </w:t>
      </w:r>
    </w:p>
    <w:p w:rsidRPr="00DE5D68" w:rsidR="00F67244" w:rsidP="00C27D12" w:rsidRDefault="00F67244" w14:paraId="5BF90E4D" w14:textId="599529FE">
      <w:pPr>
        <w:autoSpaceDE w:val="0"/>
        <w:autoSpaceDN w:val="0"/>
        <w:adjustRightInd w:val="0"/>
        <w:snapToGrid w:val="0"/>
        <w:rPr>
          <w:rFonts w:cs="Arial"/>
        </w:rPr>
      </w:pPr>
      <w:r w:rsidRPr="00DE5D68">
        <w:rPr>
          <w:rFonts w:cs="Arial"/>
        </w:rPr>
        <w:t xml:space="preserve">In addition, until 40 </w:t>
      </w:r>
      <w:r w:rsidRPr="00DE5D68" w:rsidR="00861612">
        <w:rPr>
          <w:rFonts w:cs="Arial"/>
        </w:rPr>
        <w:t xml:space="preserve">calendar </w:t>
      </w:r>
      <w:r w:rsidRPr="00DE5D68">
        <w:rPr>
          <w:rFonts w:cs="Arial"/>
        </w:rPr>
        <w:t>days after the commencement of the</w:t>
      </w:r>
      <w:r w:rsidRPr="00DE5D68" w:rsidR="00EB69E3">
        <w:rPr>
          <w:rFonts w:cs="Arial"/>
        </w:rPr>
        <w:t xml:space="preserve"> </w:t>
      </w:r>
      <w:r w:rsidR="00E64580">
        <w:rPr>
          <w:rFonts w:cs="Arial"/>
        </w:rPr>
        <w:t>Initial Placing</w:t>
      </w:r>
      <w:r w:rsidRPr="00DE5D68">
        <w:rPr>
          <w:rFonts w:cs="Arial"/>
        </w:rPr>
        <w:t xml:space="preserve">, an offer or sale of the </w:t>
      </w:r>
      <w:r w:rsidRPr="00DE5D68" w:rsidR="00151E7D">
        <w:rPr>
          <w:rFonts w:cs="Arial"/>
        </w:rPr>
        <w:t xml:space="preserve">Ordinary </w:t>
      </w:r>
      <w:r w:rsidRPr="00DE5D68">
        <w:rPr>
          <w:rFonts w:cs="Arial"/>
        </w:rPr>
        <w:t>Shares within the United States by any dealer (whether or not participating in the</w:t>
      </w:r>
      <w:r w:rsidRPr="00DE5D68" w:rsidR="00232D04">
        <w:rPr>
          <w:rFonts w:cs="Arial"/>
        </w:rPr>
        <w:t xml:space="preserve"> </w:t>
      </w:r>
      <w:r w:rsidR="00E64580">
        <w:rPr>
          <w:rFonts w:cs="Arial"/>
        </w:rPr>
        <w:t>Initial Placing</w:t>
      </w:r>
      <w:r w:rsidRPr="00DE5D68">
        <w:rPr>
          <w:rFonts w:cs="Arial"/>
        </w:rPr>
        <w:t>) may violate the registration requirements of the U.S. Securities Act.</w:t>
      </w:r>
    </w:p>
    <w:p w:rsidRPr="00DE5D68" w:rsidR="00F67244" w:rsidP="00C27D12" w:rsidRDefault="00F67244" w14:paraId="7CA68FEA" w14:textId="1AB0BA8D">
      <w:pPr>
        <w:autoSpaceDE w:val="0"/>
        <w:autoSpaceDN w:val="0"/>
        <w:adjustRightInd w:val="0"/>
        <w:snapToGrid w:val="0"/>
        <w:rPr>
          <w:rFonts w:cs="Arial"/>
        </w:rPr>
      </w:pPr>
      <w:r w:rsidRPr="00DE5D68">
        <w:rPr>
          <w:rFonts w:cs="Arial"/>
        </w:rPr>
        <w:t xml:space="preserve">The Company reserves the right to treat as invalid any agreement to subscribe for </w:t>
      </w:r>
      <w:r w:rsidRPr="00DE5D68" w:rsidR="00151E7D">
        <w:rPr>
          <w:rFonts w:cs="Arial"/>
        </w:rPr>
        <w:t xml:space="preserve">Ordinary </w:t>
      </w:r>
      <w:r w:rsidRPr="00DE5D68">
        <w:rPr>
          <w:rFonts w:cs="Arial"/>
        </w:rPr>
        <w:t>Shares under the</w:t>
      </w:r>
      <w:r w:rsidRPr="00DE5D68" w:rsidR="00EB69E3">
        <w:rPr>
          <w:rFonts w:cs="Arial"/>
        </w:rPr>
        <w:t xml:space="preserve"> </w:t>
      </w:r>
      <w:r w:rsidR="00E64580">
        <w:rPr>
          <w:rFonts w:cs="Arial"/>
        </w:rPr>
        <w:t>Initial Placing</w:t>
      </w:r>
      <w:r w:rsidRPr="00DE5D68">
        <w:rPr>
          <w:rFonts w:cs="Arial"/>
        </w:rPr>
        <w:t xml:space="preserve"> if it </w:t>
      </w:r>
      <w:r w:rsidRPr="00DE5D68">
        <w:rPr>
          <w:rFonts w:cs="Arial"/>
          <w:szCs w:val="20"/>
        </w:rPr>
        <w:t>appears</w:t>
      </w:r>
      <w:r w:rsidRPr="00DE5D68">
        <w:rPr>
          <w:rFonts w:cs="Arial"/>
        </w:rPr>
        <w:t xml:space="preserve"> to the Company or its agents to have been entered into in a manner that may involve a breach of the securities legislation of any jurisdiction.</w:t>
      </w:r>
    </w:p>
    <w:p w:rsidRPr="00DE5D68" w:rsidR="00F67244" w:rsidP="00C27D12" w:rsidRDefault="00F67244" w14:paraId="1CEBEC16" w14:textId="77777777">
      <w:pPr>
        <w:keepNext/>
        <w:autoSpaceDE w:val="0"/>
        <w:autoSpaceDN w:val="0"/>
        <w:adjustRightInd w:val="0"/>
        <w:snapToGrid w:val="0"/>
        <w:rPr>
          <w:rFonts w:cs="Arial"/>
          <w:b/>
          <w:szCs w:val="20"/>
        </w:rPr>
      </w:pPr>
      <w:r w:rsidRPr="00DE5D68">
        <w:rPr>
          <w:rFonts w:cs="Arial"/>
          <w:b/>
          <w:szCs w:val="20"/>
        </w:rPr>
        <w:t>United States transfer restrictions</w:t>
      </w:r>
    </w:p>
    <w:p w:rsidRPr="00DE5D68" w:rsidR="00F67244" w:rsidP="00C27D12" w:rsidRDefault="00F67244" w14:paraId="21CCC702" w14:textId="0797BAFF">
      <w:pPr>
        <w:autoSpaceDE w:val="0"/>
        <w:autoSpaceDN w:val="0"/>
        <w:adjustRightInd w:val="0"/>
        <w:snapToGrid w:val="0"/>
        <w:rPr>
          <w:rFonts w:cs="Arial"/>
        </w:rPr>
      </w:pPr>
      <w:r w:rsidRPr="00DE5D68">
        <w:rPr>
          <w:rFonts w:cs="Arial"/>
        </w:rPr>
        <w:t xml:space="preserve">The </w:t>
      </w:r>
      <w:r w:rsidRPr="00DE5D68" w:rsidR="00151E7D">
        <w:rPr>
          <w:rFonts w:cs="Arial"/>
        </w:rPr>
        <w:t xml:space="preserve">Ordinary </w:t>
      </w:r>
      <w:r w:rsidRPr="00DE5D68">
        <w:rPr>
          <w:rFonts w:cs="Arial"/>
        </w:rPr>
        <w:t xml:space="preserve">Shares have not been, and will not be, registered under the U.S. Securities Act or with any securities regulatory authority of any state or other jurisdiction of the United States. Accordingly, investors may not reoffer, resell, pledge or otherwise transfer or deliver, directly or indirectly, any </w:t>
      </w:r>
      <w:r w:rsidRPr="00DE5D68" w:rsidR="00151E7D">
        <w:rPr>
          <w:rFonts w:cs="Arial"/>
        </w:rPr>
        <w:t xml:space="preserve">Ordinary </w:t>
      </w:r>
      <w:r w:rsidRPr="00DE5D68">
        <w:rPr>
          <w:rFonts w:cs="Arial"/>
        </w:rPr>
        <w:t>Shares within the United States, or to, or for the account or benefit of, any U.S. Person.</w:t>
      </w:r>
    </w:p>
    <w:p w:rsidRPr="00DE5D68" w:rsidR="0034702B" w:rsidP="00C27D12" w:rsidRDefault="00E77C41" w14:paraId="7AA65AFD" w14:textId="6156DB55">
      <w:pPr>
        <w:pStyle w:val="Heading1"/>
        <w:numPr>
          <w:ilvl w:val="0"/>
          <w:numId w:val="27"/>
        </w:numPr>
        <w:ind w:hanging="720"/>
        <w:rPr>
          <w:rFonts w:cs="Arial"/>
          <w:caps w:val="0"/>
        </w:rPr>
      </w:pPr>
      <w:r w:rsidRPr="00DE5D68">
        <w:rPr>
          <w:rFonts w:cs="Arial"/>
          <w:caps w:val="0"/>
        </w:rPr>
        <w:lastRenderedPageBreak/>
        <w:t xml:space="preserve">PROFILE OF A </w:t>
      </w:r>
      <w:r w:rsidRPr="00DE5D68" w:rsidR="00F67244">
        <w:rPr>
          <w:rFonts w:cs="Arial"/>
          <w:caps w:val="0"/>
        </w:rPr>
        <w:t>TYPICAL INVESTOR</w:t>
      </w:r>
    </w:p>
    <w:p w:rsidRPr="00251547" w:rsidR="00CC3344" w:rsidP="00CC3344" w:rsidRDefault="00CC3344" w14:paraId="3F948267" w14:textId="77777777">
      <w:pPr>
        <w:pStyle w:val="2style"/>
        <w:jc w:val="both"/>
      </w:pPr>
      <w:r w:rsidRPr="00BA2452">
        <w:rPr>
          <w:color w:val="000000"/>
          <w:lang w:val="x-none"/>
        </w:rPr>
        <w:t>The Specialist Fund Segment is intended for institutional, professional, professionally advised and</w:t>
      </w:r>
      <w:r>
        <w:rPr>
          <w:color w:val="000000"/>
        </w:rPr>
        <w:t xml:space="preserve"> </w:t>
      </w:r>
      <w:r w:rsidRPr="00251547">
        <w:t xml:space="preserve">knowledgeable </w:t>
      </w:r>
      <w:r w:rsidRPr="002368F9">
        <w:t>investors</w:t>
      </w:r>
      <w:r w:rsidRPr="00251547">
        <w:t xml:space="preserve"> who understand, or who have been advised of the potential risk of investing in companies admitted to the Specialist Fund Segment.</w:t>
      </w:r>
    </w:p>
    <w:p w:rsidR="00CC3344" w:rsidP="00CC3344" w:rsidRDefault="00CC3344" w14:paraId="3F5B6E0E" w14:textId="28600D9F">
      <w:pPr>
        <w:pStyle w:val="2style"/>
        <w:jc w:val="both"/>
      </w:pPr>
      <w:r w:rsidRPr="00251547">
        <w:t>The Ordinary Shares are designed to be suitable for institutional investors and private investors. Accordingly, typical investors in the Ordinary Shares are expected to be institutional investors, private clients through their wealth managers, experienced investors, high net worth investors, professionally advised investors and knowledgeable unadvised retail investors who have taken appropriate steps to ensure that they understand the risks involved in investing in the Company and who have sufficient resources to be able to bear any losses (which may equal the whole amount invested) that may result from such an investment.</w:t>
      </w:r>
    </w:p>
    <w:p w:rsidRPr="00251547" w:rsidR="00D56F21" w:rsidP="00CC3344" w:rsidRDefault="00D56F21" w14:paraId="09E5B1DA" w14:textId="0C5BDFB7">
      <w:pPr>
        <w:pStyle w:val="2style"/>
        <w:jc w:val="both"/>
      </w:pPr>
      <w:r>
        <w:t>In relation to the Initial Placing, Singer Capital Markets</w:t>
      </w:r>
      <w:r w:rsidRPr="000C0D70">
        <w:t xml:space="preserve"> will only procure investors who meet the criteria of professional clients and eligible counterparties</w:t>
      </w:r>
      <w:r>
        <w:t>.</w:t>
      </w:r>
    </w:p>
    <w:p w:rsidRPr="00847E4A" w:rsidR="00FC3DC8" w:rsidP="00CC3344" w:rsidRDefault="00CC3344" w14:paraId="1532AE82" w14:textId="07CE3AB4">
      <w:pPr>
        <w:pStyle w:val="2style"/>
        <w:jc w:val="both"/>
        <w:rPr>
          <w:color w:val="000000"/>
          <w:lang w:val="x-none"/>
        </w:rPr>
      </w:pPr>
      <w:r w:rsidRPr="00251547">
        <w:t xml:space="preserve">Furthermore, an investment in the Ordinary Shares should constitute part of a diversified investment portfolio. </w:t>
      </w:r>
      <w:r w:rsidRPr="002368F9">
        <w:t>It</w:t>
      </w:r>
      <w:r w:rsidRPr="00251547">
        <w:t xml:space="preserve"> should be remembered that the price of securities and the income from them can</w:t>
      </w:r>
      <w:r w:rsidRPr="00BA2452">
        <w:rPr>
          <w:color w:val="000000"/>
          <w:lang w:val="x-none"/>
        </w:rPr>
        <w:t xml:space="preserve"> go down as well as up.</w:t>
      </w:r>
      <w:r>
        <w:rPr>
          <w:color w:val="000000"/>
          <w:lang w:val="x-none"/>
        </w:rPr>
        <w:t xml:space="preserve"> </w:t>
      </w:r>
    </w:p>
    <w:p w:rsidRPr="00DE5D68" w:rsidR="00FC3DC8" w:rsidP="00C27D12" w:rsidRDefault="00FC3DC8" w14:paraId="7DB6AF7C" w14:textId="77777777">
      <w:pPr>
        <w:autoSpaceDE w:val="0"/>
        <w:autoSpaceDN w:val="0"/>
        <w:adjustRightInd w:val="0"/>
        <w:snapToGrid w:val="0"/>
        <w:rPr>
          <w:rFonts w:cs="Arial"/>
          <w:szCs w:val="20"/>
        </w:rPr>
      </w:pPr>
    </w:p>
    <w:p w:rsidRPr="00DE5D68" w:rsidR="00F7583B" w:rsidP="00C27D12" w:rsidRDefault="00F7583B" w14:paraId="3A4D6E41" w14:textId="77777777">
      <w:pPr>
        <w:jc w:val="left"/>
        <w:rPr>
          <w:rFonts w:cs="Arial"/>
          <w:szCs w:val="20"/>
        </w:rPr>
      </w:pPr>
      <w:r w:rsidRPr="00DE5D68">
        <w:rPr>
          <w:rFonts w:cs="Arial"/>
          <w:szCs w:val="20"/>
        </w:rPr>
        <w:br w:type="page"/>
      </w:r>
    </w:p>
    <w:bookmarkStart w:name="_Ref65764882" w:id="205"/>
    <w:p w:rsidRPr="00DE5D68" w:rsidR="00F7583B" w:rsidP="00D73005" w:rsidRDefault="00F7583B" w14:paraId="4959C4FC" w14:textId="43746604">
      <w:pPr>
        <w:pStyle w:val="Part"/>
        <w:rPr>
          <w:b/>
        </w:rPr>
      </w:pPr>
      <w:r w:rsidRPr="00DE5D68">
        <w:rPr>
          <w:b/>
        </w:rPr>
        <w:lastRenderedPageBreak/>
        <w:fldChar w:fldCharType="begin"/>
      </w:r>
      <w:r w:rsidRPr="00DE5D68">
        <w:instrText xml:space="preserve"> TC "</w:instrText>
      </w:r>
      <w:bookmarkStart w:name="_Toc78485975" w:id="206"/>
      <w:bookmarkStart w:name="_Toc190288034" w:id="207"/>
      <w:r w:rsidR="0030744B">
        <w:instrText>PART 4</w:instrText>
      </w:r>
      <w:r w:rsidRPr="00DE5D68">
        <w:instrText xml:space="preserve"> – </w:instrText>
      </w:r>
      <w:r w:rsidRPr="00DE5D68" w:rsidR="00EB0382">
        <w:instrText>THE PLACING PROGRAMME</w:instrText>
      </w:r>
      <w:bookmarkEnd w:id="206"/>
      <w:bookmarkEnd w:id="207"/>
      <w:r w:rsidRPr="00DE5D68">
        <w:instrText xml:space="preserve">" \f C \l "1" </w:instrText>
      </w:r>
      <w:r w:rsidRPr="00DE5D68">
        <w:rPr>
          <w:b/>
        </w:rPr>
        <w:fldChar w:fldCharType="end"/>
      </w:r>
      <w:bookmarkEnd w:id="205"/>
    </w:p>
    <w:p w:rsidRPr="00DE5D68" w:rsidR="00F7583B" w:rsidP="00C27D12" w:rsidRDefault="00F7583B" w14:paraId="13E6CE51" w14:textId="1754CE93">
      <w:pPr>
        <w:jc w:val="center"/>
        <w:rPr>
          <w:rFonts w:cs="Arial"/>
          <w:b/>
        </w:rPr>
      </w:pPr>
      <w:r w:rsidRPr="000716CE">
        <w:rPr>
          <w:rFonts w:cs="Arial"/>
          <w:b/>
        </w:rPr>
        <w:t>THE PLACING PROGRAMME</w:t>
      </w:r>
      <w:r w:rsidRPr="00DE5D68">
        <w:rPr>
          <w:rFonts w:cs="Arial"/>
          <w:b/>
        </w:rPr>
        <w:t xml:space="preserve"> </w:t>
      </w:r>
    </w:p>
    <w:p w:rsidRPr="00DE5D68" w:rsidR="008419F2" w:rsidP="00565AD4" w:rsidRDefault="00F9129E" w14:paraId="5459C938" w14:textId="504B9065">
      <w:pPr>
        <w:pStyle w:val="Heading1"/>
        <w:numPr>
          <w:ilvl w:val="0"/>
          <w:numId w:val="38"/>
        </w:numPr>
        <w:ind w:hanging="720"/>
        <w:rPr>
          <w:rFonts w:cs="Arial"/>
          <w:caps w:val="0"/>
        </w:rPr>
      </w:pPr>
      <w:r w:rsidRPr="00DE5D68">
        <w:rPr>
          <w:rFonts w:cs="Arial"/>
          <w:caps w:val="0"/>
        </w:rPr>
        <w:t>INTRODUCTION</w:t>
      </w:r>
    </w:p>
    <w:p w:rsidRPr="00DE5D68" w:rsidR="008419F2" w:rsidP="00C27D12" w:rsidRDefault="00652A25" w14:paraId="2116D62F" w14:textId="03AA7FCA">
      <w:pPr>
        <w:autoSpaceDE w:val="0"/>
        <w:autoSpaceDN w:val="0"/>
        <w:adjustRightInd w:val="0"/>
        <w:snapToGrid w:val="0"/>
        <w:rPr>
          <w:rFonts w:cs="Arial"/>
          <w:szCs w:val="20"/>
        </w:rPr>
      </w:pPr>
      <w:r>
        <w:rPr>
          <w:rFonts w:cs="Arial"/>
          <w:szCs w:val="20"/>
        </w:rPr>
        <w:t>The Company may</w:t>
      </w:r>
      <w:r w:rsidRPr="00DE5D68" w:rsidR="008419F2">
        <w:rPr>
          <w:rFonts w:cs="Arial"/>
          <w:szCs w:val="20"/>
        </w:rPr>
        <w:t xml:space="preserve"> </w:t>
      </w:r>
      <w:r w:rsidRPr="00DE5D68" w:rsidR="00F66C32">
        <w:rPr>
          <w:rFonts w:cs="Arial"/>
          <w:szCs w:val="20"/>
        </w:rPr>
        <w:t>i</w:t>
      </w:r>
      <w:r w:rsidRPr="00DE5D68" w:rsidR="000C0D70">
        <w:rPr>
          <w:rFonts w:cs="Arial"/>
          <w:szCs w:val="20"/>
        </w:rPr>
        <w:t>ssue</w:t>
      </w:r>
      <w:r w:rsidRPr="00DE5D68" w:rsidR="008419F2">
        <w:rPr>
          <w:rFonts w:cs="Arial"/>
          <w:szCs w:val="20"/>
        </w:rPr>
        <w:t xml:space="preserve"> up to</w:t>
      </w:r>
      <w:r w:rsidR="000716CE">
        <w:rPr>
          <w:rFonts w:cs="Arial"/>
          <w:szCs w:val="20"/>
        </w:rPr>
        <w:t xml:space="preserve"> </w:t>
      </w:r>
      <w:r w:rsidR="00B725E0">
        <w:rPr>
          <w:rFonts w:cs="Arial"/>
          <w:szCs w:val="20"/>
        </w:rPr>
        <w:t>150</w:t>
      </w:r>
      <w:r w:rsidRPr="00DE5D68" w:rsidR="008419F2">
        <w:rPr>
          <w:rFonts w:cs="Arial"/>
          <w:szCs w:val="20"/>
        </w:rPr>
        <w:t xml:space="preserve"> million </w:t>
      </w:r>
      <w:r w:rsidR="000716CE">
        <w:rPr>
          <w:rFonts w:cs="Arial"/>
          <w:szCs w:val="20"/>
        </w:rPr>
        <w:t xml:space="preserve">Ordinary </w:t>
      </w:r>
      <w:r w:rsidRPr="00DE5D68" w:rsidR="00140CB9">
        <w:rPr>
          <w:rFonts w:cs="Arial"/>
          <w:szCs w:val="20"/>
        </w:rPr>
        <w:t>Shares</w:t>
      </w:r>
      <w:r w:rsidRPr="00DE5D68" w:rsidR="008419F2">
        <w:rPr>
          <w:rFonts w:cs="Arial"/>
          <w:szCs w:val="20"/>
        </w:rPr>
        <w:t xml:space="preserve"> on a non-pre-emptive basis pursuant to the Placing Programme.</w:t>
      </w:r>
    </w:p>
    <w:p w:rsidR="000716CE" w:rsidP="00C27D12" w:rsidRDefault="008419F2" w14:paraId="5D371351" w14:textId="77777777">
      <w:pPr>
        <w:autoSpaceDE w:val="0"/>
        <w:autoSpaceDN w:val="0"/>
        <w:adjustRightInd w:val="0"/>
        <w:snapToGrid w:val="0"/>
        <w:rPr>
          <w:rFonts w:cs="Arial"/>
          <w:szCs w:val="20"/>
        </w:rPr>
      </w:pPr>
      <w:r w:rsidRPr="00DE5D68">
        <w:rPr>
          <w:rFonts w:cs="Arial"/>
          <w:szCs w:val="20"/>
        </w:rPr>
        <w:t xml:space="preserve">The Placing Programme is flexible and may have a number of closing dates in order to provide the Company with the ability to </w:t>
      </w:r>
      <w:r w:rsidRPr="00DE5D68" w:rsidR="003C4AF9">
        <w:rPr>
          <w:rFonts w:cs="Arial"/>
          <w:szCs w:val="20"/>
        </w:rPr>
        <w:t>i</w:t>
      </w:r>
      <w:r w:rsidRPr="00DE5D68" w:rsidR="000C0D70">
        <w:rPr>
          <w:rFonts w:cs="Arial"/>
          <w:szCs w:val="20"/>
        </w:rPr>
        <w:t>ssue</w:t>
      </w:r>
      <w:r w:rsidRPr="00DE5D68">
        <w:rPr>
          <w:rFonts w:cs="Arial"/>
          <w:szCs w:val="20"/>
        </w:rPr>
        <w:t xml:space="preserve"> </w:t>
      </w:r>
      <w:r w:rsidR="000716CE">
        <w:rPr>
          <w:rFonts w:cs="Arial"/>
          <w:szCs w:val="20"/>
        </w:rPr>
        <w:t xml:space="preserve">Ordinary </w:t>
      </w:r>
      <w:r w:rsidRPr="00DE5D68" w:rsidR="00140CB9">
        <w:rPr>
          <w:rFonts w:cs="Arial"/>
          <w:szCs w:val="20"/>
        </w:rPr>
        <w:t>Shares</w:t>
      </w:r>
      <w:r w:rsidRPr="00DE5D68">
        <w:rPr>
          <w:rFonts w:cs="Arial"/>
          <w:szCs w:val="20"/>
        </w:rPr>
        <w:t xml:space="preserve"> over a period of time. </w:t>
      </w:r>
    </w:p>
    <w:p w:rsidRPr="00DE5D68" w:rsidR="008419F2" w:rsidP="00C27D12" w:rsidRDefault="008419F2" w14:paraId="4377F032" w14:textId="79050F0B">
      <w:pPr>
        <w:autoSpaceDE w:val="0"/>
        <w:autoSpaceDN w:val="0"/>
        <w:adjustRightInd w:val="0"/>
        <w:snapToGrid w:val="0"/>
        <w:rPr>
          <w:rFonts w:cs="Arial"/>
          <w:szCs w:val="20"/>
        </w:rPr>
      </w:pPr>
      <w:r w:rsidRPr="00DE5D68">
        <w:rPr>
          <w:rFonts w:cs="Arial"/>
          <w:szCs w:val="20"/>
        </w:rPr>
        <w:t xml:space="preserve">The Placing Programme is intended to </w:t>
      </w:r>
      <w:r w:rsidR="000716CE">
        <w:rPr>
          <w:rFonts w:cs="Arial"/>
          <w:szCs w:val="20"/>
        </w:rPr>
        <w:t>provide scope to increase the size of the Company, in particular</w:t>
      </w:r>
      <w:r w:rsidR="002F0FB5">
        <w:rPr>
          <w:rFonts w:cs="Arial"/>
          <w:szCs w:val="20"/>
        </w:rPr>
        <w:t>, creating a facility for</w:t>
      </w:r>
      <w:r w:rsidR="000716CE">
        <w:rPr>
          <w:rFonts w:cs="Arial"/>
          <w:szCs w:val="20"/>
        </w:rPr>
        <w:t xml:space="preserve"> investors who did not participate in the Initial Placing </w:t>
      </w:r>
      <w:r w:rsidR="002F0FB5">
        <w:rPr>
          <w:rFonts w:cs="Arial"/>
          <w:szCs w:val="20"/>
        </w:rPr>
        <w:t>to become Shareholders in the Company</w:t>
      </w:r>
      <w:r w:rsidRPr="00DE5D68">
        <w:rPr>
          <w:rFonts w:cs="Arial"/>
          <w:szCs w:val="20"/>
        </w:rPr>
        <w:t>.</w:t>
      </w:r>
    </w:p>
    <w:p w:rsidRPr="00DE5D68" w:rsidR="008419F2" w:rsidP="00565AD4" w:rsidRDefault="008419F2" w14:paraId="32941E7B" w14:textId="05D97963">
      <w:pPr>
        <w:pStyle w:val="Heading1"/>
        <w:numPr>
          <w:ilvl w:val="0"/>
          <w:numId w:val="38"/>
        </w:numPr>
        <w:ind w:hanging="720"/>
        <w:rPr>
          <w:rFonts w:cs="Arial"/>
          <w:caps w:val="0"/>
        </w:rPr>
      </w:pPr>
      <w:r w:rsidRPr="00DE5D68">
        <w:rPr>
          <w:rFonts w:cs="Arial"/>
          <w:caps w:val="0"/>
        </w:rPr>
        <w:t xml:space="preserve">THE PLACING PROGRAMME </w:t>
      </w:r>
    </w:p>
    <w:p w:rsidRPr="00DE5D68" w:rsidR="008419F2" w:rsidP="00C27D12" w:rsidRDefault="008419F2" w14:paraId="33DDB32F" w14:textId="0165AD9A">
      <w:pPr>
        <w:autoSpaceDE w:val="0"/>
        <w:autoSpaceDN w:val="0"/>
        <w:adjustRightInd w:val="0"/>
        <w:snapToGrid w:val="0"/>
        <w:rPr>
          <w:rFonts w:cs="Arial"/>
          <w:szCs w:val="20"/>
        </w:rPr>
      </w:pPr>
      <w:r w:rsidRPr="00DE5D68">
        <w:rPr>
          <w:rFonts w:cs="Arial"/>
          <w:szCs w:val="20"/>
        </w:rPr>
        <w:t xml:space="preserve">The Placing Programme will open on </w:t>
      </w:r>
      <w:r w:rsidR="00572F6E">
        <w:rPr>
          <w:rFonts w:cs="Arial"/>
          <w:szCs w:val="20"/>
        </w:rPr>
        <w:t>2</w:t>
      </w:r>
      <w:r w:rsidR="007D3786">
        <w:rPr>
          <w:rFonts w:cs="Arial"/>
          <w:szCs w:val="20"/>
        </w:rPr>
        <w:t>6</w:t>
      </w:r>
      <w:r w:rsidRPr="00DE5D68">
        <w:rPr>
          <w:rFonts w:cs="Arial"/>
          <w:szCs w:val="20"/>
        </w:rPr>
        <w:t xml:space="preserve"> </w:t>
      </w:r>
      <w:r w:rsidR="00A10F64">
        <w:rPr>
          <w:rFonts w:cs="Arial"/>
          <w:szCs w:val="20"/>
        </w:rPr>
        <w:t xml:space="preserve">February </w:t>
      </w:r>
      <w:r w:rsidRPr="00DE5D68" w:rsidR="004C5603">
        <w:rPr>
          <w:rFonts w:cs="Arial"/>
          <w:szCs w:val="20"/>
        </w:rPr>
        <w:t>202</w:t>
      </w:r>
      <w:r w:rsidR="00B725E0">
        <w:rPr>
          <w:rFonts w:cs="Arial"/>
          <w:szCs w:val="20"/>
        </w:rPr>
        <w:t>5</w:t>
      </w:r>
      <w:r w:rsidRPr="00DE5D68">
        <w:rPr>
          <w:rFonts w:cs="Arial"/>
          <w:szCs w:val="20"/>
        </w:rPr>
        <w:t xml:space="preserve"> and will close on </w:t>
      </w:r>
      <w:r w:rsidR="00572F6E">
        <w:rPr>
          <w:rFonts w:cs="Arial"/>
          <w:szCs w:val="20"/>
        </w:rPr>
        <w:t>1</w:t>
      </w:r>
      <w:r w:rsidR="007D3786">
        <w:rPr>
          <w:rFonts w:cs="Arial"/>
          <w:szCs w:val="20"/>
        </w:rPr>
        <w:t>9</w:t>
      </w:r>
      <w:r w:rsidRPr="00DE5D68" w:rsidR="004C5603">
        <w:rPr>
          <w:rFonts w:cs="Arial"/>
          <w:szCs w:val="20"/>
        </w:rPr>
        <w:t xml:space="preserve"> </w:t>
      </w:r>
      <w:r w:rsidR="00A10F64">
        <w:rPr>
          <w:rFonts w:cs="Arial"/>
          <w:szCs w:val="20"/>
        </w:rPr>
        <w:t xml:space="preserve">February </w:t>
      </w:r>
      <w:r w:rsidRPr="00DE5D68" w:rsidR="004C5603">
        <w:rPr>
          <w:rFonts w:cs="Arial"/>
          <w:szCs w:val="20"/>
        </w:rPr>
        <w:t>202</w:t>
      </w:r>
      <w:r w:rsidR="00B725E0">
        <w:rPr>
          <w:rFonts w:cs="Arial"/>
          <w:szCs w:val="20"/>
        </w:rPr>
        <w:t>6</w:t>
      </w:r>
      <w:r w:rsidRPr="00DE5D68" w:rsidR="004C5603">
        <w:rPr>
          <w:rFonts w:cs="Arial"/>
          <w:szCs w:val="20"/>
        </w:rPr>
        <w:t xml:space="preserve"> (or </w:t>
      </w:r>
      <w:r w:rsidRPr="00DE5D68">
        <w:rPr>
          <w:rFonts w:cs="Arial"/>
          <w:szCs w:val="20"/>
        </w:rPr>
        <w:t>any earlier date on which it is fully subscribed, or otherwise at the di</w:t>
      </w:r>
      <w:r w:rsidRPr="00DE5D68" w:rsidR="004C5603">
        <w:rPr>
          <w:rFonts w:cs="Arial"/>
          <w:szCs w:val="20"/>
        </w:rPr>
        <w:t xml:space="preserve">scretion of the Directors). The </w:t>
      </w:r>
      <w:r w:rsidRPr="00DE5D68">
        <w:rPr>
          <w:rFonts w:cs="Arial"/>
          <w:szCs w:val="20"/>
        </w:rPr>
        <w:t>terms and conditions that apply to the purchase of</w:t>
      </w:r>
      <w:r w:rsidRPr="00DE5D68" w:rsidR="004C5603">
        <w:rPr>
          <w:rFonts w:cs="Arial"/>
          <w:szCs w:val="20"/>
        </w:rPr>
        <w:t xml:space="preserve"> the </w:t>
      </w:r>
      <w:r w:rsidR="000716CE">
        <w:rPr>
          <w:rFonts w:cs="Arial"/>
          <w:szCs w:val="20"/>
        </w:rPr>
        <w:t xml:space="preserve">Ordinary </w:t>
      </w:r>
      <w:r w:rsidRPr="00DE5D68" w:rsidR="00140CB9">
        <w:rPr>
          <w:rFonts w:cs="Arial"/>
          <w:szCs w:val="20"/>
        </w:rPr>
        <w:t>Shares</w:t>
      </w:r>
      <w:r w:rsidRPr="00DE5D68">
        <w:rPr>
          <w:rFonts w:cs="Arial"/>
          <w:szCs w:val="20"/>
        </w:rPr>
        <w:t xml:space="preserve"> unde</w:t>
      </w:r>
      <w:r w:rsidRPr="00DE5D68" w:rsidR="004C5603">
        <w:rPr>
          <w:rFonts w:cs="Arial"/>
          <w:szCs w:val="20"/>
        </w:rPr>
        <w:t xml:space="preserve">r the Placing Programme are set </w:t>
      </w:r>
      <w:r w:rsidRPr="00DE5D68">
        <w:rPr>
          <w:rFonts w:cs="Arial"/>
          <w:szCs w:val="20"/>
        </w:rPr>
        <w:t>o</w:t>
      </w:r>
      <w:r w:rsidR="00535E35">
        <w:rPr>
          <w:rFonts w:cs="Arial"/>
          <w:szCs w:val="20"/>
        </w:rPr>
        <w:t xml:space="preserve">ut in </w:t>
      </w:r>
      <w:r w:rsidR="00637905">
        <w:rPr>
          <w:rFonts w:cs="Arial"/>
          <w:szCs w:val="20"/>
        </w:rPr>
        <w:fldChar w:fldCharType="begin" w:fldLock="1"/>
      </w:r>
      <w:r w:rsidR="00637905">
        <w:rPr>
          <w:rFonts w:cs="Arial"/>
          <w:szCs w:val="20"/>
        </w:rPr>
        <w:instrText xml:space="preserve"> REF _Ref65764989 \n \h </w:instrText>
      </w:r>
      <w:r w:rsidR="00637905">
        <w:rPr>
          <w:rFonts w:cs="Arial"/>
          <w:szCs w:val="20"/>
        </w:rPr>
      </w:r>
      <w:r w:rsidR="00637905">
        <w:rPr>
          <w:rFonts w:cs="Arial"/>
          <w:szCs w:val="20"/>
        </w:rPr>
        <w:fldChar w:fldCharType="separate"/>
      </w:r>
      <w:r w:rsidR="00DA4048">
        <w:rPr>
          <w:rFonts w:cs="Arial"/>
          <w:szCs w:val="20"/>
        </w:rPr>
        <w:t>Part 8</w:t>
      </w:r>
      <w:r w:rsidR="00637905">
        <w:rPr>
          <w:rFonts w:cs="Arial"/>
          <w:szCs w:val="20"/>
        </w:rPr>
        <w:fldChar w:fldCharType="end"/>
      </w:r>
      <w:r w:rsidRPr="00DE5D68">
        <w:rPr>
          <w:rFonts w:cs="Arial"/>
          <w:szCs w:val="20"/>
        </w:rPr>
        <w:t xml:space="preserve"> of this document.</w:t>
      </w:r>
    </w:p>
    <w:p w:rsidRPr="00DE5D68" w:rsidR="008419F2" w:rsidP="00C27D12" w:rsidRDefault="008419F2" w14:paraId="78678CFB" w14:textId="239520CF">
      <w:pPr>
        <w:autoSpaceDE w:val="0"/>
        <w:autoSpaceDN w:val="0"/>
        <w:adjustRightInd w:val="0"/>
        <w:snapToGrid w:val="0"/>
        <w:rPr>
          <w:rFonts w:cs="Arial"/>
          <w:szCs w:val="20"/>
        </w:rPr>
      </w:pPr>
      <w:r w:rsidRPr="00DE5D68">
        <w:rPr>
          <w:rFonts w:cs="Arial"/>
          <w:szCs w:val="20"/>
        </w:rPr>
        <w:t xml:space="preserve">The Company will have the flexibility to </w:t>
      </w:r>
      <w:r w:rsidRPr="00DE5D68" w:rsidR="00F66C32">
        <w:rPr>
          <w:rFonts w:cs="Arial"/>
          <w:szCs w:val="20"/>
        </w:rPr>
        <w:t>i</w:t>
      </w:r>
      <w:r w:rsidRPr="00DE5D68" w:rsidR="000C0D70">
        <w:rPr>
          <w:rFonts w:cs="Arial"/>
          <w:szCs w:val="20"/>
        </w:rPr>
        <w:t>ssue</w:t>
      </w:r>
      <w:r w:rsidRPr="00DE5D68" w:rsidR="004C5603">
        <w:rPr>
          <w:rFonts w:cs="Arial"/>
          <w:szCs w:val="20"/>
        </w:rPr>
        <w:t xml:space="preserve"> </w:t>
      </w:r>
      <w:r w:rsidR="000716CE">
        <w:rPr>
          <w:rFonts w:cs="Arial"/>
          <w:szCs w:val="20"/>
        </w:rPr>
        <w:t>Ordinary</w:t>
      </w:r>
      <w:r w:rsidRPr="00DE5D68" w:rsidR="000716CE">
        <w:rPr>
          <w:rFonts w:cs="Arial"/>
          <w:szCs w:val="20"/>
        </w:rPr>
        <w:t xml:space="preserve"> </w:t>
      </w:r>
      <w:r w:rsidRPr="00DE5D68" w:rsidR="00140CB9">
        <w:rPr>
          <w:rFonts w:cs="Arial"/>
          <w:szCs w:val="20"/>
        </w:rPr>
        <w:t>Shares</w:t>
      </w:r>
      <w:r w:rsidRPr="00DE5D68">
        <w:rPr>
          <w:rFonts w:cs="Arial"/>
          <w:szCs w:val="20"/>
        </w:rPr>
        <w:t xml:space="preserve"> on a no</w:t>
      </w:r>
      <w:r w:rsidRPr="00DE5D68" w:rsidR="004C5603">
        <w:rPr>
          <w:rFonts w:cs="Arial"/>
          <w:szCs w:val="20"/>
        </w:rPr>
        <w:t xml:space="preserve">n-pre-emptive basis where there </w:t>
      </w:r>
      <w:r w:rsidR="002F0FB5">
        <w:rPr>
          <w:rFonts w:cs="Arial"/>
          <w:szCs w:val="20"/>
        </w:rPr>
        <w:t xml:space="preserve">appears to be </w:t>
      </w:r>
      <w:r w:rsidRPr="00DE5D68">
        <w:rPr>
          <w:rFonts w:cs="Arial"/>
          <w:szCs w:val="20"/>
        </w:rPr>
        <w:t xml:space="preserve">demand for </w:t>
      </w:r>
      <w:r w:rsidR="000716CE">
        <w:rPr>
          <w:rFonts w:cs="Arial"/>
          <w:szCs w:val="20"/>
        </w:rPr>
        <w:t>Ordinary</w:t>
      </w:r>
      <w:r w:rsidRPr="00DE5D68" w:rsidR="000716CE">
        <w:rPr>
          <w:rFonts w:cs="Arial"/>
          <w:szCs w:val="20"/>
        </w:rPr>
        <w:t xml:space="preserve"> </w:t>
      </w:r>
      <w:r w:rsidRPr="00DE5D68" w:rsidR="00140CB9">
        <w:rPr>
          <w:rFonts w:cs="Arial"/>
          <w:szCs w:val="20"/>
        </w:rPr>
        <w:t>Shares</w:t>
      </w:r>
      <w:r w:rsidRPr="00DE5D68" w:rsidR="004C5603">
        <w:rPr>
          <w:rFonts w:cs="Arial"/>
          <w:szCs w:val="20"/>
        </w:rPr>
        <w:t xml:space="preserve">. </w:t>
      </w:r>
    </w:p>
    <w:p w:rsidRPr="00DE5D68" w:rsidR="004C5603" w:rsidP="00C27D12" w:rsidRDefault="008419F2" w14:paraId="41519A98" w14:textId="02D5452E">
      <w:pPr>
        <w:autoSpaceDE w:val="0"/>
        <w:autoSpaceDN w:val="0"/>
        <w:adjustRightInd w:val="0"/>
        <w:snapToGrid w:val="0"/>
        <w:rPr>
          <w:rFonts w:cs="Arial"/>
          <w:szCs w:val="20"/>
        </w:rPr>
      </w:pPr>
      <w:r w:rsidRPr="00DE5D68">
        <w:rPr>
          <w:rFonts w:cs="Arial"/>
          <w:szCs w:val="20"/>
        </w:rPr>
        <w:t xml:space="preserve">The issues of </w:t>
      </w:r>
      <w:r w:rsidR="002F0FB5">
        <w:rPr>
          <w:rFonts w:cs="Arial"/>
          <w:szCs w:val="20"/>
        </w:rPr>
        <w:t xml:space="preserve">Ordinary </w:t>
      </w:r>
      <w:r w:rsidRPr="00DE5D68" w:rsidR="00140CB9">
        <w:rPr>
          <w:rFonts w:cs="Arial"/>
          <w:szCs w:val="20"/>
        </w:rPr>
        <w:t>Shares</w:t>
      </w:r>
      <w:r w:rsidRPr="00DE5D68">
        <w:rPr>
          <w:rFonts w:cs="Arial"/>
          <w:szCs w:val="20"/>
        </w:rPr>
        <w:t xml:space="preserve"> under the Placing Programme is at the disc</w:t>
      </w:r>
      <w:r w:rsidRPr="00DE5D68" w:rsidR="004C5603">
        <w:rPr>
          <w:rFonts w:cs="Arial"/>
          <w:szCs w:val="20"/>
        </w:rPr>
        <w:t xml:space="preserve">retion of the Directors. Issues </w:t>
      </w:r>
      <w:r w:rsidRPr="00DE5D68">
        <w:rPr>
          <w:rFonts w:cs="Arial"/>
          <w:szCs w:val="20"/>
        </w:rPr>
        <w:t xml:space="preserve">may take place at any time prior to the final closing date of </w:t>
      </w:r>
      <w:r w:rsidR="007A1FC2">
        <w:rPr>
          <w:rFonts w:cs="Arial"/>
          <w:szCs w:val="20"/>
        </w:rPr>
        <w:t>1</w:t>
      </w:r>
      <w:r w:rsidR="007D3786">
        <w:rPr>
          <w:rFonts w:cs="Arial"/>
          <w:szCs w:val="20"/>
        </w:rPr>
        <w:t>9</w:t>
      </w:r>
      <w:r w:rsidRPr="00DE5D68" w:rsidR="004C5603">
        <w:rPr>
          <w:rFonts w:cs="Arial"/>
          <w:szCs w:val="20"/>
        </w:rPr>
        <w:t xml:space="preserve"> </w:t>
      </w:r>
      <w:r w:rsidR="00A10F64">
        <w:rPr>
          <w:rFonts w:cs="Arial"/>
          <w:szCs w:val="20"/>
        </w:rPr>
        <w:t xml:space="preserve">February </w:t>
      </w:r>
      <w:r w:rsidRPr="00DE5D68" w:rsidR="004C5603">
        <w:rPr>
          <w:rFonts w:cs="Arial"/>
          <w:szCs w:val="20"/>
        </w:rPr>
        <w:t>202</w:t>
      </w:r>
      <w:r w:rsidR="009578EE">
        <w:rPr>
          <w:rFonts w:cs="Arial"/>
          <w:szCs w:val="20"/>
        </w:rPr>
        <w:t>6</w:t>
      </w:r>
      <w:r w:rsidRPr="00DE5D68" w:rsidR="004C5603">
        <w:rPr>
          <w:rFonts w:cs="Arial"/>
          <w:szCs w:val="20"/>
        </w:rPr>
        <w:t xml:space="preserve"> (or any earlier </w:t>
      </w:r>
      <w:r w:rsidRPr="00DE5D68">
        <w:rPr>
          <w:rFonts w:cs="Arial"/>
          <w:szCs w:val="20"/>
        </w:rPr>
        <w:t>date on which it is fully subscribed, or otherwise at the d</w:t>
      </w:r>
      <w:r w:rsidRPr="00DE5D68" w:rsidR="004C5603">
        <w:rPr>
          <w:rFonts w:cs="Arial"/>
          <w:szCs w:val="20"/>
        </w:rPr>
        <w:t xml:space="preserve">iscretion of the Directors). An </w:t>
      </w:r>
      <w:r w:rsidRPr="00DE5D68">
        <w:rPr>
          <w:rFonts w:cs="Arial"/>
          <w:szCs w:val="20"/>
        </w:rPr>
        <w:t>announcement of each Subsequent Placing under the Placing P</w:t>
      </w:r>
      <w:r w:rsidRPr="00DE5D68" w:rsidR="004C5603">
        <w:rPr>
          <w:rFonts w:cs="Arial"/>
          <w:szCs w:val="20"/>
        </w:rPr>
        <w:t xml:space="preserve">rogramme will be released via a </w:t>
      </w:r>
      <w:r w:rsidRPr="00DE5D68">
        <w:rPr>
          <w:rFonts w:cs="Arial"/>
          <w:szCs w:val="20"/>
        </w:rPr>
        <w:t xml:space="preserve">Regulatory Information Service, including details of the number of </w:t>
      </w:r>
      <w:r w:rsidR="00D71144">
        <w:rPr>
          <w:rFonts w:cs="Arial"/>
          <w:szCs w:val="20"/>
        </w:rPr>
        <w:t xml:space="preserve">Ordinary </w:t>
      </w:r>
      <w:r w:rsidRPr="00DE5D68" w:rsidR="00140CB9">
        <w:rPr>
          <w:rFonts w:cs="Arial"/>
          <w:szCs w:val="20"/>
        </w:rPr>
        <w:t>Shares</w:t>
      </w:r>
      <w:r w:rsidRPr="00DE5D68">
        <w:rPr>
          <w:rFonts w:cs="Arial"/>
          <w:szCs w:val="20"/>
        </w:rPr>
        <w:t xml:space="preserve"> to be issued and the Placing Programme Price for the </w:t>
      </w:r>
      <w:r w:rsidRPr="00DE5D68" w:rsidR="003C4AF9">
        <w:rPr>
          <w:rFonts w:cs="Arial"/>
          <w:szCs w:val="20"/>
        </w:rPr>
        <w:t>Subsequent Placing</w:t>
      </w:r>
      <w:r w:rsidRPr="00DE5D68" w:rsidR="004C5603">
        <w:rPr>
          <w:rFonts w:cs="Arial"/>
          <w:szCs w:val="20"/>
        </w:rPr>
        <w:t>.</w:t>
      </w:r>
    </w:p>
    <w:p w:rsidRPr="00DE5D68" w:rsidR="008419F2" w:rsidP="00C27D12" w:rsidRDefault="008419F2" w14:paraId="667805C4" w14:textId="0B74B7A7">
      <w:pPr>
        <w:autoSpaceDE w:val="0"/>
        <w:autoSpaceDN w:val="0"/>
        <w:adjustRightInd w:val="0"/>
        <w:snapToGrid w:val="0"/>
        <w:rPr>
          <w:rFonts w:cs="Arial"/>
          <w:szCs w:val="20"/>
        </w:rPr>
      </w:pPr>
      <w:r w:rsidRPr="00DE5D68">
        <w:rPr>
          <w:rFonts w:cs="Arial"/>
          <w:szCs w:val="20"/>
        </w:rPr>
        <w:t>There is no minimum subscription</w:t>
      </w:r>
      <w:r w:rsidR="00D56F21">
        <w:rPr>
          <w:rFonts w:cs="Arial"/>
          <w:szCs w:val="20"/>
        </w:rPr>
        <w:t xml:space="preserve"> pursuant to the Placing Programme</w:t>
      </w:r>
      <w:r w:rsidRPr="00DE5D68">
        <w:rPr>
          <w:rFonts w:cs="Arial"/>
          <w:szCs w:val="20"/>
        </w:rPr>
        <w:t>. The Placing Programme is no</w:t>
      </w:r>
      <w:r w:rsidRPr="00DE5D68" w:rsidR="004C5603">
        <w:rPr>
          <w:rFonts w:cs="Arial"/>
          <w:szCs w:val="20"/>
        </w:rPr>
        <w:t xml:space="preserve">t being underwritten and, as at </w:t>
      </w:r>
      <w:r w:rsidRPr="00DE5D68">
        <w:rPr>
          <w:rFonts w:cs="Arial"/>
          <w:szCs w:val="20"/>
        </w:rPr>
        <w:t xml:space="preserve">the date of this document, the actual number of </w:t>
      </w:r>
      <w:r w:rsidR="00D71144">
        <w:rPr>
          <w:rFonts w:cs="Arial"/>
          <w:szCs w:val="20"/>
        </w:rPr>
        <w:t xml:space="preserve">Ordinary </w:t>
      </w:r>
      <w:r w:rsidRPr="00DE5D68" w:rsidR="00140CB9">
        <w:rPr>
          <w:rFonts w:cs="Arial"/>
          <w:szCs w:val="20"/>
        </w:rPr>
        <w:t>Shares</w:t>
      </w:r>
      <w:r w:rsidRPr="00DE5D68">
        <w:rPr>
          <w:rFonts w:cs="Arial"/>
          <w:szCs w:val="20"/>
        </w:rPr>
        <w:t xml:space="preserve"> to be iss</w:t>
      </w:r>
      <w:r w:rsidRPr="00DE5D68" w:rsidR="004C5603">
        <w:rPr>
          <w:rFonts w:cs="Arial"/>
          <w:szCs w:val="20"/>
        </w:rPr>
        <w:t xml:space="preserve">ued under the Placing Programme </w:t>
      </w:r>
      <w:r w:rsidRPr="00DE5D68">
        <w:rPr>
          <w:rFonts w:cs="Arial"/>
          <w:szCs w:val="20"/>
        </w:rPr>
        <w:t xml:space="preserve">is not known. The maximum number of </w:t>
      </w:r>
      <w:r w:rsidR="00D71144">
        <w:rPr>
          <w:rFonts w:cs="Arial"/>
          <w:szCs w:val="20"/>
        </w:rPr>
        <w:t xml:space="preserve">Ordinary </w:t>
      </w:r>
      <w:r w:rsidRPr="00DE5D68" w:rsidR="00140CB9">
        <w:rPr>
          <w:rFonts w:cs="Arial"/>
          <w:szCs w:val="20"/>
        </w:rPr>
        <w:t>Shares</w:t>
      </w:r>
      <w:r w:rsidRPr="00DE5D68">
        <w:rPr>
          <w:rFonts w:cs="Arial"/>
          <w:szCs w:val="20"/>
        </w:rPr>
        <w:t xml:space="preserve"> available under th</w:t>
      </w:r>
      <w:r w:rsidRPr="00DE5D68" w:rsidR="004C5603">
        <w:rPr>
          <w:rFonts w:cs="Arial"/>
          <w:szCs w:val="20"/>
        </w:rPr>
        <w:t xml:space="preserve">e Placing Programme should not </w:t>
      </w:r>
      <w:r w:rsidRPr="00DE5D68">
        <w:rPr>
          <w:rFonts w:cs="Arial"/>
          <w:szCs w:val="20"/>
        </w:rPr>
        <w:t xml:space="preserve">be taken as an indication of the number of </w:t>
      </w:r>
      <w:r w:rsidR="00D71144">
        <w:rPr>
          <w:rFonts w:cs="Arial"/>
          <w:szCs w:val="20"/>
        </w:rPr>
        <w:t xml:space="preserve">Ordinary </w:t>
      </w:r>
      <w:r w:rsidRPr="00DE5D68" w:rsidR="00140CB9">
        <w:rPr>
          <w:rFonts w:cs="Arial"/>
          <w:szCs w:val="20"/>
        </w:rPr>
        <w:t>Shares</w:t>
      </w:r>
      <w:r w:rsidRPr="00DE5D68">
        <w:rPr>
          <w:rFonts w:cs="Arial"/>
          <w:szCs w:val="20"/>
        </w:rPr>
        <w:t xml:space="preserve"> finally to be issued.</w:t>
      </w:r>
    </w:p>
    <w:p w:rsidRPr="00DE5D68" w:rsidR="008419F2" w:rsidP="00C27D12" w:rsidRDefault="008419F2" w14:paraId="2A9C4AFD" w14:textId="020EF2EC">
      <w:pPr>
        <w:autoSpaceDE w:val="0"/>
        <w:autoSpaceDN w:val="0"/>
        <w:adjustRightInd w:val="0"/>
        <w:snapToGrid w:val="0"/>
        <w:rPr>
          <w:rFonts w:cs="Arial"/>
          <w:szCs w:val="20"/>
        </w:rPr>
      </w:pPr>
      <w:r w:rsidRPr="00DE5D68">
        <w:rPr>
          <w:rFonts w:cs="Arial"/>
          <w:szCs w:val="20"/>
        </w:rPr>
        <w:t>Where new</w:t>
      </w:r>
      <w:r w:rsidRPr="00DE5D68" w:rsidR="004C5603">
        <w:rPr>
          <w:rFonts w:cs="Arial"/>
          <w:szCs w:val="20"/>
        </w:rPr>
        <w:t xml:space="preserve"> </w:t>
      </w:r>
      <w:r w:rsidR="002545EC">
        <w:rPr>
          <w:rFonts w:cs="Arial"/>
          <w:szCs w:val="20"/>
        </w:rPr>
        <w:t xml:space="preserve">Ordinary </w:t>
      </w:r>
      <w:r w:rsidRPr="00DE5D68" w:rsidR="00140CB9">
        <w:rPr>
          <w:rFonts w:cs="Arial"/>
          <w:szCs w:val="20"/>
        </w:rPr>
        <w:t>Shares</w:t>
      </w:r>
      <w:r w:rsidRPr="00DE5D68">
        <w:rPr>
          <w:rFonts w:cs="Arial"/>
          <w:szCs w:val="20"/>
        </w:rPr>
        <w:t xml:space="preserve"> are issued pursuant to the Placing Pro</w:t>
      </w:r>
      <w:r w:rsidRPr="00DE5D68" w:rsidR="004C5603">
        <w:rPr>
          <w:rFonts w:cs="Arial"/>
          <w:szCs w:val="20"/>
        </w:rPr>
        <w:t xml:space="preserve">gramme, the total assets of the </w:t>
      </w:r>
      <w:r w:rsidRPr="00DE5D68">
        <w:rPr>
          <w:rFonts w:cs="Arial"/>
          <w:szCs w:val="20"/>
        </w:rPr>
        <w:t xml:space="preserve">Company will increase by that number of </w:t>
      </w:r>
      <w:r w:rsidR="002545EC">
        <w:rPr>
          <w:rFonts w:cs="Arial"/>
          <w:szCs w:val="20"/>
        </w:rPr>
        <w:t xml:space="preserve">Ordinary </w:t>
      </w:r>
      <w:r w:rsidRPr="00DE5D68" w:rsidR="00140CB9">
        <w:rPr>
          <w:rFonts w:cs="Arial"/>
          <w:szCs w:val="20"/>
        </w:rPr>
        <w:t>Shares</w:t>
      </w:r>
      <w:r w:rsidRPr="00DE5D68">
        <w:rPr>
          <w:rFonts w:cs="Arial"/>
          <w:szCs w:val="20"/>
        </w:rPr>
        <w:t xml:space="preserve"> multiplied by the r</w:t>
      </w:r>
      <w:r w:rsidRPr="00DE5D68" w:rsidR="004C5603">
        <w:rPr>
          <w:rFonts w:cs="Arial"/>
          <w:szCs w:val="20"/>
        </w:rPr>
        <w:t xml:space="preserve">elevant Placing Programme </w:t>
      </w:r>
      <w:r w:rsidRPr="00DE5D68">
        <w:rPr>
          <w:rFonts w:cs="Arial"/>
          <w:szCs w:val="20"/>
        </w:rPr>
        <w:t>Price less the expenses of such issuance.</w:t>
      </w:r>
    </w:p>
    <w:p w:rsidRPr="00DE5D68" w:rsidR="008419F2" w:rsidP="00C27D12" w:rsidRDefault="008419F2" w14:paraId="5D5271E7" w14:textId="3EF8B800">
      <w:pPr>
        <w:autoSpaceDE w:val="0"/>
        <w:autoSpaceDN w:val="0"/>
        <w:adjustRightInd w:val="0"/>
        <w:snapToGrid w:val="0"/>
        <w:rPr>
          <w:rFonts w:cs="Arial"/>
          <w:szCs w:val="20"/>
        </w:rPr>
      </w:pPr>
      <w:r w:rsidRPr="00DE5D68">
        <w:rPr>
          <w:rFonts w:cs="Arial"/>
          <w:szCs w:val="20"/>
        </w:rPr>
        <w:t xml:space="preserve">The </w:t>
      </w:r>
      <w:r w:rsidR="00FC3DC8">
        <w:rPr>
          <w:rFonts w:cs="Arial"/>
          <w:szCs w:val="20"/>
        </w:rPr>
        <w:t>net p</w:t>
      </w:r>
      <w:r w:rsidRPr="00DE5D68" w:rsidR="000C0D70">
        <w:rPr>
          <w:rFonts w:cs="Arial"/>
          <w:szCs w:val="20"/>
        </w:rPr>
        <w:t>roceeds</w:t>
      </w:r>
      <w:r w:rsidRPr="00DE5D68">
        <w:rPr>
          <w:rFonts w:cs="Arial"/>
          <w:szCs w:val="20"/>
        </w:rPr>
        <w:t xml:space="preserve"> of any Subsequent Placing under the Placing</w:t>
      </w:r>
      <w:r w:rsidRPr="00DE5D68" w:rsidR="004C5603">
        <w:rPr>
          <w:rFonts w:cs="Arial"/>
          <w:szCs w:val="20"/>
        </w:rPr>
        <w:t xml:space="preserve"> Programme are dependent, </w:t>
      </w:r>
      <w:r w:rsidRPr="00DE5D68" w:rsidR="004C5603">
        <w:rPr>
          <w:rFonts w:cs="Arial"/>
          <w:i/>
          <w:szCs w:val="20"/>
        </w:rPr>
        <w:t xml:space="preserve">inter </w:t>
      </w:r>
      <w:r w:rsidRPr="00DE5D68">
        <w:rPr>
          <w:rFonts w:cs="Arial"/>
          <w:i/>
          <w:szCs w:val="20"/>
        </w:rPr>
        <w:t>alia</w:t>
      </w:r>
      <w:r w:rsidRPr="00DE5D68">
        <w:rPr>
          <w:rFonts w:cs="Arial"/>
          <w:szCs w:val="20"/>
        </w:rPr>
        <w:t xml:space="preserve">, on, the level of subscriptions received, the price at which such </w:t>
      </w:r>
      <w:r w:rsidR="002545EC">
        <w:rPr>
          <w:rFonts w:cs="Arial"/>
          <w:szCs w:val="20"/>
        </w:rPr>
        <w:t>Ordinary</w:t>
      </w:r>
      <w:r w:rsidRPr="00DE5D68" w:rsidR="002545EC">
        <w:rPr>
          <w:rFonts w:cs="Arial"/>
          <w:szCs w:val="20"/>
        </w:rPr>
        <w:t xml:space="preserve"> </w:t>
      </w:r>
      <w:r w:rsidRPr="00DE5D68" w:rsidR="00140CB9">
        <w:rPr>
          <w:rFonts w:cs="Arial"/>
          <w:szCs w:val="20"/>
        </w:rPr>
        <w:t>Shares</w:t>
      </w:r>
      <w:r w:rsidRPr="00DE5D68">
        <w:rPr>
          <w:rFonts w:cs="Arial"/>
          <w:szCs w:val="20"/>
        </w:rPr>
        <w:t xml:space="preserve"> are issued and the</w:t>
      </w:r>
      <w:r w:rsidRPr="00DE5D68" w:rsidR="004C5603">
        <w:rPr>
          <w:rFonts w:cs="Arial"/>
          <w:szCs w:val="20"/>
        </w:rPr>
        <w:t xml:space="preserve"> </w:t>
      </w:r>
      <w:r w:rsidRPr="00DE5D68">
        <w:rPr>
          <w:rFonts w:cs="Arial"/>
          <w:szCs w:val="20"/>
        </w:rPr>
        <w:t>costs of the Subsequent Placing.</w:t>
      </w:r>
      <w:r w:rsidR="00104A41">
        <w:rPr>
          <w:rFonts w:cs="Arial"/>
          <w:szCs w:val="20"/>
        </w:rPr>
        <w:t xml:space="preserve"> </w:t>
      </w:r>
    </w:p>
    <w:p w:rsidRPr="00DE5D68" w:rsidR="008419F2" w:rsidP="00C27D12" w:rsidRDefault="008419F2" w14:paraId="02382FA2" w14:textId="5A543253">
      <w:pPr>
        <w:autoSpaceDE w:val="0"/>
        <w:autoSpaceDN w:val="0"/>
        <w:adjustRightInd w:val="0"/>
        <w:snapToGrid w:val="0"/>
        <w:rPr>
          <w:rFonts w:cs="Arial"/>
          <w:szCs w:val="20"/>
        </w:rPr>
      </w:pPr>
      <w:r w:rsidRPr="00DE5D68">
        <w:rPr>
          <w:rFonts w:cs="Arial"/>
          <w:szCs w:val="20"/>
        </w:rPr>
        <w:t xml:space="preserve">The </w:t>
      </w:r>
      <w:r w:rsidRPr="00DE5D68" w:rsidR="008276B8">
        <w:rPr>
          <w:rFonts w:cs="Arial"/>
          <w:szCs w:val="20"/>
        </w:rPr>
        <w:t xml:space="preserve">Ordinary </w:t>
      </w:r>
      <w:r w:rsidRPr="00DE5D68" w:rsidR="00140CB9">
        <w:rPr>
          <w:rFonts w:cs="Arial"/>
          <w:szCs w:val="20"/>
        </w:rPr>
        <w:t>Shares</w:t>
      </w:r>
      <w:r w:rsidRPr="00DE5D68">
        <w:rPr>
          <w:rFonts w:cs="Arial"/>
          <w:szCs w:val="20"/>
        </w:rPr>
        <w:t xml:space="preserve"> issued pursuant to the Placing Programme will rank </w:t>
      </w:r>
      <w:proofErr w:type="spellStart"/>
      <w:r w:rsidRPr="00DE5D68">
        <w:rPr>
          <w:rFonts w:cs="Arial"/>
          <w:i/>
          <w:szCs w:val="20"/>
        </w:rPr>
        <w:t>pari</w:t>
      </w:r>
      <w:proofErr w:type="spellEnd"/>
      <w:r w:rsidRPr="00DE5D68">
        <w:rPr>
          <w:rFonts w:cs="Arial"/>
          <w:i/>
          <w:szCs w:val="20"/>
        </w:rPr>
        <w:t xml:space="preserve"> passu</w:t>
      </w:r>
      <w:r w:rsidRPr="00DE5D68" w:rsidR="004C5603">
        <w:rPr>
          <w:rFonts w:cs="Arial"/>
          <w:szCs w:val="20"/>
        </w:rPr>
        <w:t xml:space="preserve"> with the </w:t>
      </w:r>
      <w:r w:rsidRPr="00DE5D68" w:rsidR="008276B8">
        <w:rPr>
          <w:rFonts w:cs="Arial"/>
          <w:szCs w:val="20"/>
        </w:rPr>
        <w:t xml:space="preserve">Ordinary </w:t>
      </w:r>
      <w:r w:rsidRPr="00DE5D68" w:rsidR="00140CB9">
        <w:rPr>
          <w:rFonts w:cs="Arial"/>
          <w:szCs w:val="20"/>
        </w:rPr>
        <w:t>Shares</w:t>
      </w:r>
      <w:r w:rsidRPr="00DE5D68">
        <w:rPr>
          <w:rFonts w:cs="Arial"/>
          <w:szCs w:val="20"/>
        </w:rPr>
        <w:t xml:space="preserve"> then in </w:t>
      </w:r>
      <w:r w:rsidRPr="00DE5D68" w:rsidR="00F66C32">
        <w:rPr>
          <w:rFonts w:cs="Arial"/>
          <w:szCs w:val="20"/>
        </w:rPr>
        <w:t>i</w:t>
      </w:r>
      <w:r w:rsidRPr="00DE5D68" w:rsidR="000C0D70">
        <w:rPr>
          <w:rFonts w:cs="Arial"/>
          <w:szCs w:val="20"/>
        </w:rPr>
        <w:t>ssue</w:t>
      </w:r>
      <w:r w:rsidRPr="00DE5D68">
        <w:rPr>
          <w:rFonts w:cs="Arial"/>
          <w:szCs w:val="20"/>
        </w:rPr>
        <w:t xml:space="preserve"> (save for any dividends or other distr</w:t>
      </w:r>
      <w:r w:rsidRPr="00DE5D68" w:rsidR="004C5603">
        <w:rPr>
          <w:rFonts w:cs="Arial"/>
          <w:szCs w:val="20"/>
        </w:rPr>
        <w:t xml:space="preserve">ibutions declared, made or paid </w:t>
      </w:r>
      <w:r w:rsidRPr="00DE5D68">
        <w:rPr>
          <w:rFonts w:cs="Arial"/>
          <w:szCs w:val="20"/>
        </w:rPr>
        <w:t xml:space="preserve">on the </w:t>
      </w:r>
      <w:r w:rsidRPr="00DE5D68" w:rsidR="008276B8">
        <w:rPr>
          <w:rFonts w:cs="Arial"/>
          <w:szCs w:val="20"/>
        </w:rPr>
        <w:t xml:space="preserve">Ordinary </w:t>
      </w:r>
      <w:r w:rsidRPr="00DE5D68" w:rsidR="00140CB9">
        <w:rPr>
          <w:rFonts w:cs="Arial"/>
          <w:szCs w:val="20"/>
        </w:rPr>
        <w:t>Shares</w:t>
      </w:r>
      <w:r w:rsidRPr="00DE5D68">
        <w:rPr>
          <w:rFonts w:cs="Arial"/>
          <w:szCs w:val="20"/>
        </w:rPr>
        <w:t xml:space="preserve"> by reference to a record date prior to</w:t>
      </w:r>
      <w:r w:rsidRPr="00DE5D68" w:rsidR="004C5603">
        <w:rPr>
          <w:rFonts w:cs="Arial"/>
          <w:szCs w:val="20"/>
        </w:rPr>
        <w:t xml:space="preserve"> the </w:t>
      </w:r>
      <w:r w:rsidRPr="00DE5D68" w:rsidR="00F66C32">
        <w:rPr>
          <w:rFonts w:cs="Arial"/>
          <w:szCs w:val="20"/>
        </w:rPr>
        <w:t>i</w:t>
      </w:r>
      <w:r w:rsidRPr="00DE5D68" w:rsidR="000C0D70">
        <w:rPr>
          <w:rFonts w:cs="Arial"/>
          <w:szCs w:val="20"/>
        </w:rPr>
        <w:t>ssue</w:t>
      </w:r>
      <w:r w:rsidRPr="00DE5D68" w:rsidR="004C5603">
        <w:rPr>
          <w:rFonts w:cs="Arial"/>
          <w:szCs w:val="20"/>
        </w:rPr>
        <w:t xml:space="preserve"> of the </w:t>
      </w:r>
      <w:r w:rsidRPr="00DE5D68">
        <w:rPr>
          <w:rFonts w:cs="Arial"/>
          <w:szCs w:val="20"/>
        </w:rPr>
        <w:t xml:space="preserve">relevant </w:t>
      </w:r>
      <w:r w:rsidRPr="00DE5D68" w:rsidR="008276B8">
        <w:rPr>
          <w:rFonts w:cs="Arial"/>
          <w:szCs w:val="20"/>
        </w:rPr>
        <w:t xml:space="preserve">Ordinary </w:t>
      </w:r>
      <w:r w:rsidRPr="00DE5D68" w:rsidR="00140CB9">
        <w:rPr>
          <w:rFonts w:cs="Arial"/>
          <w:szCs w:val="20"/>
        </w:rPr>
        <w:t>Shares</w:t>
      </w:r>
      <w:r w:rsidRPr="00DE5D68">
        <w:rPr>
          <w:rFonts w:cs="Arial"/>
          <w:szCs w:val="20"/>
        </w:rPr>
        <w:t>).</w:t>
      </w:r>
    </w:p>
    <w:p w:rsidRPr="00DE5D68" w:rsidR="008419F2" w:rsidP="00C27D12" w:rsidRDefault="008419F2" w14:paraId="78969E82" w14:textId="6704257D">
      <w:pPr>
        <w:autoSpaceDE w:val="0"/>
        <w:autoSpaceDN w:val="0"/>
        <w:adjustRightInd w:val="0"/>
        <w:snapToGrid w:val="0"/>
        <w:rPr>
          <w:rFonts w:cs="Arial"/>
          <w:szCs w:val="20"/>
        </w:rPr>
      </w:pPr>
      <w:r w:rsidRPr="00DE5D68">
        <w:rPr>
          <w:rFonts w:cs="Arial"/>
          <w:szCs w:val="20"/>
        </w:rPr>
        <w:t>The Placing Programme will be suspended at any time when</w:t>
      </w:r>
      <w:r w:rsidRPr="00DE5D68" w:rsidR="004C5603">
        <w:rPr>
          <w:rFonts w:cs="Arial"/>
          <w:szCs w:val="20"/>
        </w:rPr>
        <w:t xml:space="preserve"> the Company is unable to </w:t>
      </w:r>
      <w:r w:rsidRPr="00DE5D68" w:rsidR="00F66C32">
        <w:rPr>
          <w:rFonts w:cs="Arial"/>
          <w:szCs w:val="20"/>
        </w:rPr>
        <w:t>i</w:t>
      </w:r>
      <w:r w:rsidRPr="00DE5D68" w:rsidR="000C0D70">
        <w:rPr>
          <w:rFonts w:cs="Arial"/>
          <w:szCs w:val="20"/>
        </w:rPr>
        <w:t>ssue</w:t>
      </w:r>
      <w:r w:rsidRPr="00DE5D68" w:rsidR="004C5603">
        <w:rPr>
          <w:rFonts w:cs="Arial"/>
          <w:szCs w:val="20"/>
        </w:rPr>
        <w:t xml:space="preserve"> </w:t>
      </w:r>
      <w:r w:rsidR="002545EC">
        <w:rPr>
          <w:rFonts w:cs="Arial"/>
          <w:szCs w:val="20"/>
        </w:rPr>
        <w:t xml:space="preserve">Ordinary </w:t>
      </w:r>
      <w:r w:rsidRPr="00DE5D68" w:rsidR="00140CB9">
        <w:rPr>
          <w:rFonts w:cs="Arial"/>
          <w:szCs w:val="20"/>
        </w:rPr>
        <w:t>Shares</w:t>
      </w:r>
      <w:r w:rsidRPr="00DE5D68">
        <w:rPr>
          <w:rFonts w:cs="Arial"/>
          <w:szCs w:val="20"/>
        </w:rPr>
        <w:t xml:space="preserve"> under any statutory provision or other regulation applicable</w:t>
      </w:r>
      <w:r w:rsidRPr="00DE5D68" w:rsidR="004C5603">
        <w:rPr>
          <w:rFonts w:cs="Arial"/>
          <w:szCs w:val="20"/>
        </w:rPr>
        <w:t xml:space="preserve"> to the Company or otherwise at </w:t>
      </w:r>
      <w:r w:rsidRPr="00DE5D68">
        <w:rPr>
          <w:rFonts w:cs="Arial"/>
          <w:szCs w:val="20"/>
        </w:rPr>
        <w:t>the Directors’ discretion. The Placing Programme may resum</w:t>
      </w:r>
      <w:r w:rsidRPr="00DE5D68" w:rsidR="004C5603">
        <w:rPr>
          <w:rFonts w:cs="Arial"/>
          <w:szCs w:val="20"/>
        </w:rPr>
        <w:t xml:space="preserve">e when such conditions cease to </w:t>
      </w:r>
      <w:r w:rsidRPr="00DE5D68">
        <w:rPr>
          <w:rFonts w:cs="Arial"/>
          <w:szCs w:val="20"/>
        </w:rPr>
        <w:t>exist.</w:t>
      </w:r>
    </w:p>
    <w:p w:rsidRPr="00DE5D68" w:rsidR="004C5603" w:rsidP="00F32BF2" w:rsidRDefault="004C5603" w14:paraId="334F084E" w14:textId="308F8D9C">
      <w:pPr>
        <w:keepNext/>
        <w:autoSpaceDE w:val="0"/>
        <w:autoSpaceDN w:val="0"/>
        <w:adjustRightInd w:val="0"/>
        <w:snapToGrid w:val="0"/>
        <w:rPr>
          <w:rFonts w:cs="Arial"/>
          <w:b/>
          <w:i/>
          <w:szCs w:val="20"/>
        </w:rPr>
      </w:pPr>
      <w:r w:rsidRPr="00DE5D68">
        <w:rPr>
          <w:rFonts w:cs="Arial"/>
          <w:b/>
          <w:i/>
          <w:szCs w:val="20"/>
        </w:rPr>
        <w:lastRenderedPageBreak/>
        <w:t xml:space="preserve">Conditions </w:t>
      </w:r>
    </w:p>
    <w:p w:rsidRPr="00DE5D68" w:rsidR="004C5603" w:rsidP="00F32BF2" w:rsidRDefault="004C5603" w14:paraId="3A2A5E00" w14:textId="31CE76B6">
      <w:pPr>
        <w:keepNext/>
        <w:autoSpaceDE w:val="0"/>
        <w:autoSpaceDN w:val="0"/>
        <w:adjustRightInd w:val="0"/>
        <w:snapToGrid w:val="0"/>
        <w:rPr>
          <w:rFonts w:cs="Arial"/>
          <w:szCs w:val="20"/>
        </w:rPr>
      </w:pPr>
      <w:r w:rsidRPr="00DE5D68">
        <w:rPr>
          <w:rFonts w:cs="Arial"/>
          <w:szCs w:val="20"/>
        </w:rPr>
        <w:t xml:space="preserve">Each </w:t>
      </w:r>
      <w:r w:rsidRPr="00DE5D68" w:rsidR="00F66C32">
        <w:rPr>
          <w:rFonts w:cs="Arial"/>
          <w:szCs w:val="20"/>
        </w:rPr>
        <w:t>i</w:t>
      </w:r>
      <w:r w:rsidRPr="00DE5D68" w:rsidR="000C0D70">
        <w:rPr>
          <w:rFonts w:cs="Arial"/>
          <w:szCs w:val="20"/>
        </w:rPr>
        <w:t>ssue</w:t>
      </w:r>
      <w:r w:rsidRPr="00DE5D68">
        <w:rPr>
          <w:rFonts w:cs="Arial"/>
          <w:szCs w:val="20"/>
        </w:rPr>
        <w:t xml:space="preserve"> of </w:t>
      </w:r>
      <w:r w:rsidR="002545EC">
        <w:rPr>
          <w:rFonts w:cs="Arial"/>
          <w:szCs w:val="20"/>
        </w:rPr>
        <w:t xml:space="preserve">Ordinary </w:t>
      </w:r>
      <w:r w:rsidRPr="00DE5D68" w:rsidR="00140CB9">
        <w:rPr>
          <w:rFonts w:cs="Arial"/>
          <w:szCs w:val="20"/>
        </w:rPr>
        <w:t>Shares</w:t>
      </w:r>
      <w:r w:rsidRPr="00DE5D68">
        <w:rPr>
          <w:rFonts w:cs="Arial"/>
          <w:szCs w:val="20"/>
        </w:rPr>
        <w:t xml:space="preserve"> pursuant to a Subsequent Placing under the Placing Programme is conditional, </w:t>
      </w:r>
      <w:r w:rsidRPr="00DE5D68">
        <w:rPr>
          <w:rFonts w:cs="Arial"/>
          <w:i/>
          <w:szCs w:val="20"/>
        </w:rPr>
        <w:t xml:space="preserve">inter alia, </w:t>
      </w:r>
      <w:r w:rsidRPr="00DE5D68">
        <w:rPr>
          <w:rFonts w:cs="Arial"/>
          <w:szCs w:val="20"/>
        </w:rPr>
        <w:t>on</w:t>
      </w:r>
      <w:r w:rsidR="004811DA">
        <w:rPr>
          <w:rFonts w:cs="Arial"/>
          <w:szCs w:val="20"/>
        </w:rPr>
        <w:t>:</w:t>
      </w:r>
      <w:r w:rsidRPr="00DE5D68">
        <w:rPr>
          <w:rFonts w:cs="Arial"/>
          <w:szCs w:val="20"/>
        </w:rPr>
        <w:t xml:space="preserve"> </w:t>
      </w:r>
    </w:p>
    <w:p w:rsidRPr="00DE5D68" w:rsidR="004C5603" w:rsidP="00F32BF2" w:rsidRDefault="007427AB" w14:paraId="2D80B628" w14:textId="0130A32C">
      <w:pPr>
        <w:pStyle w:val="Bullet1"/>
        <w:keepNext/>
        <w:rPr>
          <w:rFonts w:cs="Arial"/>
        </w:rPr>
      </w:pPr>
      <w:r w:rsidRPr="00DE5D68">
        <w:rPr>
          <w:rFonts w:cs="Arial"/>
        </w:rPr>
        <w:t xml:space="preserve">Admission of the relevant </w:t>
      </w:r>
      <w:r w:rsidR="002545EC">
        <w:rPr>
          <w:rFonts w:cs="Arial"/>
        </w:rPr>
        <w:t>Ordinary</w:t>
      </w:r>
      <w:r w:rsidRPr="00DE5D68" w:rsidR="002545EC">
        <w:rPr>
          <w:rFonts w:cs="Arial"/>
        </w:rPr>
        <w:t xml:space="preserve"> </w:t>
      </w:r>
      <w:r w:rsidRPr="00DE5D68" w:rsidR="00140CB9">
        <w:rPr>
          <w:rFonts w:cs="Arial"/>
        </w:rPr>
        <w:t>Shares</w:t>
      </w:r>
      <w:r w:rsidRPr="00DE5D68">
        <w:rPr>
          <w:rFonts w:cs="Arial"/>
        </w:rPr>
        <w:t xml:space="preserve"> occurring by no later than 8.00 a.m. on such date as the Company and </w:t>
      </w:r>
      <w:r w:rsidR="00DD0C05">
        <w:rPr>
          <w:rFonts w:cs="Arial"/>
        </w:rPr>
        <w:t>Singer Capital Markets</w:t>
      </w:r>
      <w:r w:rsidRPr="00DE5D68">
        <w:rPr>
          <w:rFonts w:cs="Arial"/>
        </w:rPr>
        <w:t xml:space="preserve"> may agree from time to time in relation to that Admission, not being later than </w:t>
      </w:r>
      <w:r w:rsidR="007A1FC2">
        <w:rPr>
          <w:rFonts w:cs="Arial"/>
        </w:rPr>
        <w:t>1</w:t>
      </w:r>
      <w:r w:rsidR="007D3786">
        <w:rPr>
          <w:rFonts w:cs="Arial"/>
        </w:rPr>
        <w:t>9</w:t>
      </w:r>
      <w:r w:rsidRPr="00DE5D68">
        <w:rPr>
          <w:rFonts w:cs="Arial"/>
        </w:rPr>
        <w:t xml:space="preserve"> </w:t>
      </w:r>
      <w:r w:rsidR="00A10F64">
        <w:rPr>
          <w:rFonts w:cs="Arial"/>
        </w:rPr>
        <w:t xml:space="preserve">February </w:t>
      </w:r>
      <w:proofErr w:type="gramStart"/>
      <w:r w:rsidRPr="00DE5D68">
        <w:rPr>
          <w:rFonts w:cs="Arial"/>
        </w:rPr>
        <w:t>202</w:t>
      </w:r>
      <w:r w:rsidR="009578EE">
        <w:rPr>
          <w:rFonts w:cs="Arial"/>
        </w:rPr>
        <w:t>6</w:t>
      </w:r>
      <w:r w:rsidRPr="00DE5D68">
        <w:rPr>
          <w:rFonts w:cs="Arial"/>
        </w:rPr>
        <w:t>;</w:t>
      </w:r>
      <w:proofErr w:type="gramEnd"/>
      <w:r w:rsidRPr="00DE5D68">
        <w:rPr>
          <w:rFonts w:cs="Arial"/>
        </w:rPr>
        <w:t xml:space="preserve"> </w:t>
      </w:r>
    </w:p>
    <w:p w:rsidRPr="00DE5D68" w:rsidR="007427AB" w:rsidP="00C27D12" w:rsidRDefault="007427AB" w14:paraId="000D49F2" w14:textId="3FAF2D27">
      <w:pPr>
        <w:pStyle w:val="Bullet1"/>
        <w:rPr>
          <w:rFonts w:cs="Arial"/>
        </w:rPr>
      </w:pPr>
      <w:r w:rsidRPr="00DE5D68">
        <w:rPr>
          <w:rFonts w:cs="Arial"/>
        </w:rPr>
        <w:t xml:space="preserve">a valid supplementary prospectus being published by the Company if such is required by the Prospectus Regulation Rules; and </w:t>
      </w:r>
    </w:p>
    <w:p w:rsidRPr="00DE5D68" w:rsidR="007427AB" w:rsidP="00C27D12" w:rsidRDefault="002545EC" w14:paraId="3E640EE7" w14:textId="7B1D9BBD">
      <w:pPr>
        <w:pStyle w:val="Bullet1"/>
        <w:rPr>
          <w:rFonts w:cs="Arial"/>
        </w:rPr>
      </w:pPr>
      <w:r>
        <w:rPr>
          <w:rFonts w:cs="Arial"/>
        </w:rPr>
        <w:t xml:space="preserve">the </w:t>
      </w:r>
      <w:r w:rsidR="00020807">
        <w:rPr>
          <w:rFonts w:cs="Arial"/>
        </w:rPr>
        <w:t>Placing Agreement</w:t>
      </w:r>
      <w:r w:rsidRPr="00DE5D68" w:rsidR="007427AB">
        <w:rPr>
          <w:rFonts w:cs="Arial"/>
        </w:rPr>
        <w:t xml:space="preserve"> being wholly unconditional as regards the relevant Subsequent Placing (save as to Admission) and not having been terminated in accordance with its terms prior to the relevant Admission.</w:t>
      </w:r>
    </w:p>
    <w:p w:rsidRPr="00DE5D68" w:rsidR="008419F2" w:rsidP="00565AD4" w:rsidRDefault="008419F2" w14:paraId="2C90C9F5" w14:textId="71906AB6">
      <w:pPr>
        <w:pStyle w:val="Heading1"/>
        <w:numPr>
          <w:ilvl w:val="0"/>
          <w:numId w:val="38"/>
        </w:numPr>
        <w:ind w:hanging="720"/>
        <w:rPr>
          <w:rFonts w:cs="Arial"/>
          <w:caps w:val="0"/>
        </w:rPr>
      </w:pPr>
      <w:r w:rsidRPr="00DE5D68">
        <w:rPr>
          <w:rFonts w:cs="Arial"/>
          <w:caps w:val="0"/>
        </w:rPr>
        <w:t>THE PLACING PROGRAMME PRICE</w:t>
      </w:r>
    </w:p>
    <w:p w:rsidRPr="00DE5D68" w:rsidR="00D3095B" w:rsidP="00C27D12" w:rsidRDefault="00D3095B" w14:paraId="71941906" w14:textId="70D9C93C">
      <w:pPr>
        <w:autoSpaceDE w:val="0"/>
        <w:autoSpaceDN w:val="0"/>
        <w:adjustRightInd w:val="0"/>
        <w:snapToGrid w:val="0"/>
        <w:rPr>
          <w:rFonts w:cs="Arial"/>
        </w:rPr>
      </w:pPr>
      <w:r w:rsidRPr="00DE5D68">
        <w:rPr>
          <w:rFonts w:cs="Arial"/>
        </w:rPr>
        <w:t xml:space="preserve">The minimum price at which </w:t>
      </w:r>
      <w:r w:rsidRPr="00DE5D68" w:rsidR="008276B8">
        <w:rPr>
          <w:rFonts w:cs="Arial"/>
        </w:rPr>
        <w:t xml:space="preserve">Ordinary </w:t>
      </w:r>
      <w:r w:rsidRPr="00DE5D68" w:rsidR="00140CB9">
        <w:rPr>
          <w:rFonts w:cs="Arial"/>
        </w:rPr>
        <w:t>Shares</w:t>
      </w:r>
      <w:r w:rsidRPr="00DE5D68">
        <w:rPr>
          <w:rFonts w:cs="Arial"/>
        </w:rPr>
        <w:t xml:space="preserve"> will be issued pursuant to the Placing Programme, will be equal to the prevailing published </w:t>
      </w:r>
      <w:r w:rsidR="00E81510">
        <w:rPr>
          <w:rFonts w:cs="Arial"/>
        </w:rPr>
        <w:t xml:space="preserve">Net Asset Value per </w:t>
      </w:r>
      <w:r w:rsidR="002545EC">
        <w:rPr>
          <w:rFonts w:cs="Arial"/>
          <w:szCs w:val="20"/>
        </w:rPr>
        <w:t>Ordinary</w:t>
      </w:r>
      <w:r w:rsidR="002545EC">
        <w:rPr>
          <w:rFonts w:cs="Arial"/>
        </w:rPr>
        <w:t xml:space="preserve"> </w:t>
      </w:r>
      <w:r w:rsidR="00E81510">
        <w:rPr>
          <w:rFonts w:cs="Arial"/>
        </w:rPr>
        <w:t>Share</w:t>
      </w:r>
      <w:r w:rsidRPr="00DE5D68">
        <w:rPr>
          <w:rFonts w:cs="Arial"/>
        </w:rPr>
        <w:t xml:space="preserve"> </w:t>
      </w:r>
      <w:r w:rsidR="003B01E0">
        <w:rPr>
          <w:rFonts w:cs="Arial"/>
        </w:rPr>
        <w:t xml:space="preserve">(audited or unaudited) </w:t>
      </w:r>
      <w:r w:rsidRPr="00DE5D68">
        <w:rPr>
          <w:rFonts w:cs="Arial"/>
        </w:rPr>
        <w:t xml:space="preserve">at the time of </w:t>
      </w:r>
      <w:r w:rsidRPr="00DE5D68" w:rsidR="00F66C32">
        <w:rPr>
          <w:rFonts w:cs="Arial"/>
        </w:rPr>
        <w:t>i</w:t>
      </w:r>
      <w:r w:rsidRPr="00DE5D68" w:rsidR="000C0D70">
        <w:rPr>
          <w:rFonts w:cs="Arial"/>
        </w:rPr>
        <w:t>ssue</w:t>
      </w:r>
      <w:r w:rsidRPr="00DE5D68">
        <w:rPr>
          <w:rFonts w:cs="Arial"/>
        </w:rPr>
        <w:t xml:space="preserve"> together with a premium to at least cover the costs and expenses of the relevant Subsequent Placing of </w:t>
      </w:r>
      <w:r w:rsidRPr="00DE5D68" w:rsidR="008276B8">
        <w:rPr>
          <w:rFonts w:cs="Arial"/>
        </w:rPr>
        <w:t xml:space="preserve">Ordinary </w:t>
      </w:r>
      <w:r w:rsidRPr="00DE5D68" w:rsidR="00140CB9">
        <w:rPr>
          <w:rFonts w:cs="Arial"/>
        </w:rPr>
        <w:t>Shares</w:t>
      </w:r>
      <w:r w:rsidRPr="00DE5D68">
        <w:rPr>
          <w:rFonts w:cs="Arial"/>
        </w:rPr>
        <w:t xml:space="preserve"> (including, without limitation, any placing commissions).</w:t>
      </w:r>
      <w:r w:rsidR="00104A41">
        <w:rPr>
          <w:rFonts w:cs="Arial"/>
        </w:rPr>
        <w:t xml:space="preserve"> </w:t>
      </w:r>
      <w:r w:rsidRPr="00104A41" w:rsidR="00104A41">
        <w:rPr>
          <w:rFonts w:cs="Arial"/>
        </w:rPr>
        <w:t>The Company will raise sufficient cash proceeds pursuant to any Subsequent Placing in order to cover the costs and expenses of such Subsequent Placing.</w:t>
      </w:r>
    </w:p>
    <w:p w:rsidRPr="00DE5D68" w:rsidR="00D3095B" w:rsidP="00C27D12" w:rsidRDefault="00D3095B" w14:paraId="48EC82DC" w14:textId="3F1F6217">
      <w:pPr>
        <w:autoSpaceDE w:val="0"/>
        <w:autoSpaceDN w:val="0"/>
        <w:adjustRightInd w:val="0"/>
        <w:snapToGrid w:val="0"/>
        <w:rPr>
          <w:rFonts w:cs="Arial"/>
        </w:rPr>
      </w:pPr>
      <w:r w:rsidRPr="00DE5D68">
        <w:rPr>
          <w:rFonts w:cs="Arial"/>
        </w:rPr>
        <w:t>The Placing Programme Price will be announced via a Regulatory Information Service as soon as practicable in conjunction with each Subsequent Placing.</w:t>
      </w:r>
    </w:p>
    <w:p w:rsidRPr="00DE5D68" w:rsidR="008419F2" w:rsidP="00565AD4" w:rsidRDefault="008419F2" w14:paraId="5DCF38DE" w14:textId="3A388E5C">
      <w:pPr>
        <w:pStyle w:val="Heading1"/>
        <w:numPr>
          <w:ilvl w:val="0"/>
          <w:numId w:val="38"/>
        </w:numPr>
        <w:ind w:hanging="720"/>
        <w:rPr>
          <w:rFonts w:cs="Arial"/>
          <w:caps w:val="0"/>
        </w:rPr>
      </w:pPr>
      <w:r w:rsidRPr="00DE5D68">
        <w:rPr>
          <w:rFonts w:cs="Arial"/>
          <w:caps w:val="0"/>
        </w:rPr>
        <w:t>BENEFITS OF THE PLACING PROGRAMME</w:t>
      </w:r>
    </w:p>
    <w:p w:rsidRPr="00DE5D68" w:rsidR="00D3095B" w:rsidP="00C27D12" w:rsidRDefault="00D3095B" w14:paraId="07BC0C2F" w14:textId="593FC9A1">
      <w:pPr>
        <w:keepNext/>
        <w:autoSpaceDE w:val="0"/>
        <w:autoSpaceDN w:val="0"/>
        <w:adjustRightInd w:val="0"/>
        <w:snapToGrid w:val="0"/>
        <w:rPr>
          <w:rFonts w:cs="Arial"/>
          <w:b/>
        </w:rPr>
      </w:pPr>
      <w:r w:rsidRPr="00DE5D68">
        <w:rPr>
          <w:rFonts w:cs="Arial"/>
        </w:rPr>
        <w:t xml:space="preserve">The Directors believe that </w:t>
      </w:r>
      <w:r w:rsidRPr="00DE5D68">
        <w:rPr>
          <w:rFonts w:cs="Arial" w:eastAsiaTheme="minorHAnsi"/>
          <w:szCs w:val="20"/>
          <w:lang w:eastAsia="en-US"/>
        </w:rPr>
        <w:t xml:space="preserve">the </w:t>
      </w:r>
      <w:r w:rsidRPr="00DE5D68" w:rsidR="00F66C32">
        <w:rPr>
          <w:rFonts w:cs="Arial" w:eastAsiaTheme="minorHAnsi"/>
          <w:szCs w:val="20"/>
          <w:lang w:eastAsia="en-US"/>
        </w:rPr>
        <w:t>issue</w:t>
      </w:r>
      <w:r w:rsidRPr="00DE5D68">
        <w:rPr>
          <w:rFonts w:cs="Arial"/>
        </w:rPr>
        <w:t xml:space="preserve"> of </w:t>
      </w:r>
      <w:r w:rsidR="002545EC">
        <w:rPr>
          <w:rFonts w:cs="Arial"/>
          <w:szCs w:val="20"/>
        </w:rPr>
        <w:t>Ordinary</w:t>
      </w:r>
      <w:r w:rsidRPr="00DE5D68" w:rsidR="002545EC">
        <w:rPr>
          <w:rFonts w:cs="Arial"/>
        </w:rPr>
        <w:t xml:space="preserve"> </w:t>
      </w:r>
      <w:r w:rsidRPr="00DE5D68" w:rsidR="00140CB9">
        <w:rPr>
          <w:rFonts w:cs="Arial"/>
        </w:rPr>
        <w:t>Shares</w:t>
      </w:r>
      <w:r w:rsidRPr="00DE5D68">
        <w:rPr>
          <w:rFonts w:cs="Arial"/>
        </w:rPr>
        <w:t xml:space="preserve"> pursuant to the Placing Programme should yield the following principal benefits: </w:t>
      </w:r>
    </w:p>
    <w:p w:rsidRPr="00DE5D68" w:rsidR="00D3095B" w:rsidP="00C27D12" w:rsidRDefault="00D3095B" w14:paraId="37BEB111" w14:textId="24243298">
      <w:pPr>
        <w:pStyle w:val="Bullet1"/>
        <w:rPr>
          <w:rFonts w:cs="Arial"/>
        </w:rPr>
      </w:pPr>
      <w:r w:rsidRPr="00DE5D68">
        <w:rPr>
          <w:rFonts w:cs="Arial"/>
        </w:rPr>
        <w:t>grow</w:t>
      </w:r>
      <w:r w:rsidR="00EE3ACA">
        <w:rPr>
          <w:rFonts w:cs="Arial"/>
        </w:rPr>
        <w:t>ing</w:t>
      </w:r>
      <w:r w:rsidRPr="00DE5D68">
        <w:rPr>
          <w:rFonts w:cs="Arial"/>
        </w:rPr>
        <w:t xml:space="preserve"> the Company, thereby spreading operating costs over a larger capital base which should reduce the ongoing charges ratio; </w:t>
      </w:r>
    </w:p>
    <w:p w:rsidRPr="00DE5D68" w:rsidR="00D3095B" w:rsidP="00C27D12" w:rsidRDefault="00D3095B" w14:paraId="72E41791" w14:textId="1516CD83">
      <w:pPr>
        <w:pStyle w:val="Bullet1"/>
        <w:rPr>
          <w:rFonts w:cs="Arial"/>
        </w:rPr>
      </w:pPr>
      <w:r w:rsidRPr="00DE5D68">
        <w:rPr>
          <w:rFonts w:cs="Arial"/>
        </w:rPr>
        <w:t>the Company will be able to raise additional capital promptly, allowing it to take advantage of future investment opportunities as and when they arise</w:t>
      </w:r>
      <w:r w:rsidR="00EE3ACA">
        <w:rPr>
          <w:rFonts w:cs="Arial"/>
        </w:rPr>
        <w:t>,</w:t>
      </w:r>
      <w:r w:rsidRPr="00DE5D68">
        <w:rPr>
          <w:rFonts w:cs="Arial"/>
        </w:rPr>
        <w:t xml:space="preserve"> further diversifying the Company's portfolio of investments; and </w:t>
      </w:r>
    </w:p>
    <w:p w:rsidRPr="00DE5D68" w:rsidR="00D3095B" w:rsidP="00C27D12" w:rsidRDefault="00D3095B" w14:paraId="5A07C42E" w14:textId="26D6D2DD">
      <w:pPr>
        <w:pStyle w:val="Bullet1"/>
        <w:rPr>
          <w:rFonts w:cs="Arial"/>
        </w:rPr>
      </w:pPr>
      <w:r w:rsidRPr="00DE5D68">
        <w:rPr>
          <w:rFonts w:cs="Arial"/>
        </w:rPr>
        <w:t>improv</w:t>
      </w:r>
      <w:r w:rsidR="00EE3ACA">
        <w:rPr>
          <w:rFonts w:cs="Arial"/>
        </w:rPr>
        <w:t>ing</w:t>
      </w:r>
      <w:r w:rsidRPr="00DE5D68">
        <w:rPr>
          <w:rFonts w:cs="Arial"/>
        </w:rPr>
        <w:t xml:space="preserve"> liquidity in the market for the </w:t>
      </w:r>
      <w:r w:rsidRPr="00DE5D68" w:rsidR="008276B8">
        <w:rPr>
          <w:rFonts w:cs="Arial"/>
        </w:rPr>
        <w:t xml:space="preserve">Ordinary </w:t>
      </w:r>
      <w:r w:rsidRPr="00DE5D68" w:rsidR="00140CB9">
        <w:rPr>
          <w:rFonts w:cs="Arial"/>
        </w:rPr>
        <w:t>Shares</w:t>
      </w:r>
      <w:r w:rsidRPr="00DE5D68">
        <w:rPr>
          <w:rFonts w:cs="Arial"/>
        </w:rPr>
        <w:t xml:space="preserve">. </w:t>
      </w:r>
    </w:p>
    <w:p w:rsidRPr="00DE5D68" w:rsidR="008419F2" w:rsidP="00565AD4" w:rsidRDefault="008419F2" w14:paraId="0D9B9FF3" w14:textId="62DFEB78">
      <w:pPr>
        <w:pStyle w:val="Heading1"/>
        <w:numPr>
          <w:ilvl w:val="0"/>
          <w:numId w:val="38"/>
        </w:numPr>
        <w:ind w:hanging="720"/>
        <w:rPr>
          <w:rFonts w:cs="Arial"/>
          <w:caps w:val="0"/>
        </w:rPr>
      </w:pPr>
      <w:r w:rsidRPr="00DE5D68">
        <w:rPr>
          <w:rFonts w:cs="Arial"/>
          <w:caps w:val="0"/>
        </w:rPr>
        <w:t xml:space="preserve">COSTS OF THE PLACING PROGRAMME </w:t>
      </w:r>
    </w:p>
    <w:p w:rsidRPr="00DE5D68" w:rsidR="00D3095B" w:rsidP="00C27D12" w:rsidRDefault="00D3095B" w14:paraId="328E86E5" w14:textId="4721406A">
      <w:pPr>
        <w:autoSpaceDE w:val="0"/>
        <w:autoSpaceDN w:val="0"/>
        <w:adjustRightInd w:val="0"/>
        <w:snapToGrid w:val="0"/>
        <w:rPr>
          <w:rFonts w:cs="Arial"/>
          <w:szCs w:val="20"/>
        </w:rPr>
      </w:pPr>
      <w:r w:rsidRPr="00DE5D68">
        <w:rPr>
          <w:rFonts w:cs="Arial"/>
          <w:szCs w:val="20"/>
        </w:rPr>
        <w:t xml:space="preserve">The costs and expenses of the Company relating to the Placing Programme are those that arise from, or are incidental to, the </w:t>
      </w:r>
      <w:r w:rsidRPr="00DE5D68" w:rsidR="00F66C32">
        <w:rPr>
          <w:rFonts w:cs="Arial"/>
          <w:szCs w:val="20"/>
        </w:rPr>
        <w:t>i</w:t>
      </w:r>
      <w:r w:rsidRPr="00DE5D68" w:rsidR="000C0D70">
        <w:rPr>
          <w:rFonts w:cs="Arial"/>
          <w:szCs w:val="20"/>
        </w:rPr>
        <w:t>ssue</w:t>
      </w:r>
      <w:r w:rsidRPr="00DE5D68">
        <w:rPr>
          <w:rFonts w:cs="Arial"/>
          <w:szCs w:val="20"/>
        </w:rPr>
        <w:t xml:space="preserve"> of </w:t>
      </w:r>
      <w:r w:rsidR="002545EC">
        <w:rPr>
          <w:rFonts w:cs="Arial"/>
          <w:szCs w:val="20"/>
        </w:rPr>
        <w:t>Ordinary</w:t>
      </w:r>
      <w:r w:rsidRPr="00DE5D68" w:rsidR="002545EC">
        <w:rPr>
          <w:rFonts w:cs="Arial"/>
          <w:szCs w:val="20"/>
        </w:rPr>
        <w:t xml:space="preserve"> </w:t>
      </w:r>
      <w:r w:rsidRPr="00DE5D68" w:rsidR="00140CB9">
        <w:rPr>
          <w:rFonts w:cs="Arial"/>
          <w:szCs w:val="20"/>
        </w:rPr>
        <w:t>Shares</w:t>
      </w:r>
      <w:r w:rsidRPr="00DE5D68">
        <w:rPr>
          <w:rFonts w:cs="Arial"/>
          <w:szCs w:val="20"/>
        </w:rPr>
        <w:t xml:space="preserve"> pursuant to Subsequent Placings. These include the fees payable in relation to each subsequent Admission, including listing and </w:t>
      </w:r>
      <w:r w:rsidRPr="00DE5D68" w:rsidR="000C0D70">
        <w:rPr>
          <w:rFonts w:cs="Arial"/>
          <w:szCs w:val="20"/>
        </w:rPr>
        <w:t>Admission</w:t>
      </w:r>
      <w:r w:rsidRPr="00DE5D68">
        <w:rPr>
          <w:rFonts w:cs="Arial"/>
          <w:szCs w:val="20"/>
        </w:rPr>
        <w:t xml:space="preserve"> fees</w:t>
      </w:r>
      <w:r w:rsidR="002545EC">
        <w:rPr>
          <w:rFonts w:cs="Arial"/>
          <w:szCs w:val="20"/>
        </w:rPr>
        <w:t xml:space="preserve"> </w:t>
      </w:r>
      <w:r w:rsidRPr="00DE5D68">
        <w:rPr>
          <w:rFonts w:cs="Arial"/>
          <w:szCs w:val="20"/>
        </w:rPr>
        <w:t xml:space="preserve">as well as fees and commissions </w:t>
      </w:r>
      <w:r w:rsidR="002545EC">
        <w:rPr>
          <w:rFonts w:cs="Arial"/>
          <w:szCs w:val="20"/>
        </w:rPr>
        <w:t xml:space="preserve">due under the </w:t>
      </w:r>
      <w:r w:rsidR="00020807">
        <w:rPr>
          <w:rFonts w:cs="Arial"/>
          <w:szCs w:val="20"/>
        </w:rPr>
        <w:t>Placing Agreement</w:t>
      </w:r>
      <w:r w:rsidRPr="00DE5D68">
        <w:rPr>
          <w:rFonts w:cs="Arial"/>
          <w:szCs w:val="20"/>
        </w:rPr>
        <w:t xml:space="preserve"> and any other applicable expenses in relation to the Placing Programme.</w:t>
      </w:r>
    </w:p>
    <w:p w:rsidRPr="00DE5D68" w:rsidR="00D3095B" w:rsidP="00C27D12" w:rsidRDefault="00D3095B" w14:paraId="1144DFA8" w14:textId="6E73CF01">
      <w:pPr>
        <w:autoSpaceDE w:val="0"/>
        <w:autoSpaceDN w:val="0"/>
        <w:adjustRightInd w:val="0"/>
        <w:snapToGrid w:val="0"/>
        <w:rPr>
          <w:rFonts w:cs="Arial"/>
          <w:szCs w:val="20"/>
        </w:rPr>
      </w:pPr>
      <w:r w:rsidRPr="00DE5D68">
        <w:rPr>
          <w:rFonts w:cs="Arial"/>
          <w:szCs w:val="20"/>
        </w:rPr>
        <w:t xml:space="preserve">The costs and expenses of issuing </w:t>
      </w:r>
      <w:r w:rsidRPr="00DE5D68" w:rsidR="008276B8">
        <w:rPr>
          <w:rFonts w:cs="Arial"/>
          <w:szCs w:val="20"/>
        </w:rPr>
        <w:t>Ordinary</w:t>
      </w:r>
      <w:r w:rsidRPr="00DE5D68" w:rsidR="00482324">
        <w:rPr>
          <w:rFonts w:cs="Arial"/>
          <w:szCs w:val="20"/>
        </w:rPr>
        <w:t xml:space="preserve"> </w:t>
      </w:r>
      <w:r w:rsidRPr="00DE5D68" w:rsidR="00140CB9">
        <w:rPr>
          <w:rFonts w:cs="Arial"/>
          <w:szCs w:val="20"/>
        </w:rPr>
        <w:t>Shares</w:t>
      </w:r>
      <w:r w:rsidRPr="00DE5D68">
        <w:rPr>
          <w:rFonts w:cs="Arial"/>
          <w:szCs w:val="20"/>
        </w:rPr>
        <w:t xml:space="preserve"> pursuant to any Subsequent Placing will be covered by issuing such </w:t>
      </w:r>
      <w:r w:rsidRPr="00DE5D68" w:rsidR="008276B8">
        <w:rPr>
          <w:rFonts w:cs="Arial"/>
          <w:szCs w:val="20"/>
        </w:rPr>
        <w:t xml:space="preserve">Ordinary </w:t>
      </w:r>
      <w:r w:rsidRPr="00DE5D68" w:rsidR="00140CB9">
        <w:rPr>
          <w:rFonts w:cs="Arial"/>
          <w:szCs w:val="20"/>
        </w:rPr>
        <w:t>Shares</w:t>
      </w:r>
      <w:r w:rsidRPr="00DE5D68">
        <w:rPr>
          <w:rFonts w:cs="Arial"/>
          <w:szCs w:val="20"/>
        </w:rPr>
        <w:t xml:space="preserve"> at the prevailing publish</w:t>
      </w:r>
      <w:r w:rsidRPr="00DE5D68" w:rsidR="004B3C83">
        <w:rPr>
          <w:rFonts w:cs="Arial"/>
          <w:szCs w:val="20"/>
        </w:rPr>
        <w:t xml:space="preserve">ed </w:t>
      </w:r>
      <w:r w:rsidR="00E81510">
        <w:rPr>
          <w:rFonts w:cs="Arial"/>
          <w:szCs w:val="20"/>
        </w:rPr>
        <w:t xml:space="preserve">Net Asset Value per </w:t>
      </w:r>
      <w:r w:rsidR="002545EC">
        <w:rPr>
          <w:rFonts w:cs="Arial"/>
          <w:szCs w:val="20"/>
        </w:rPr>
        <w:t xml:space="preserve">Ordinary </w:t>
      </w:r>
      <w:r w:rsidR="00E81510">
        <w:rPr>
          <w:rFonts w:cs="Arial"/>
          <w:szCs w:val="20"/>
        </w:rPr>
        <w:t>Share</w:t>
      </w:r>
      <w:r w:rsidRPr="00DE5D68">
        <w:rPr>
          <w:rFonts w:cs="Arial"/>
          <w:szCs w:val="20"/>
        </w:rPr>
        <w:t xml:space="preserve"> </w:t>
      </w:r>
      <w:r w:rsidR="003B01E0">
        <w:rPr>
          <w:rFonts w:cs="Arial"/>
          <w:szCs w:val="20"/>
        </w:rPr>
        <w:t xml:space="preserve">(audited or unaudited) </w:t>
      </w:r>
      <w:r w:rsidRPr="00DE5D68">
        <w:rPr>
          <w:rFonts w:cs="Arial"/>
          <w:szCs w:val="20"/>
        </w:rPr>
        <w:t xml:space="preserve">at the time of </w:t>
      </w:r>
      <w:r w:rsidRPr="00DE5D68" w:rsidR="00F66C32">
        <w:rPr>
          <w:rFonts w:cs="Arial"/>
          <w:szCs w:val="20"/>
        </w:rPr>
        <w:t>i</w:t>
      </w:r>
      <w:r w:rsidRPr="00DE5D68" w:rsidR="000C0D70">
        <w:rPr>
          <w:rFonts w:cs="Arial"/>
          <w:szCs w:val="20"/>
        </w:rPr>
        <w:t>ssue</w:t>
      </w:r>
      <w:r w:rsidRPr="00DE5D68">
        <w:rPr>
          <w:rFonts w:cs="Arial"/>
          <w:szCs w:val="20"/>
        </w:rPr>
        <w:t xml:space="preserve"> together with a premium to at least cove</w:t>
      </w:r>
      <w:r w:rsidRPr="00DE5D68" w:rsidR="004B3C83">
        <w:rPr>
          <w:rFonts w:cs="Arial"/>
          <w:szCs w:val="20"/>
        </w:rPr>
        <w:t xml:space="preserve">r the costs and expenses of the </w:t>
      </w:r>
      <w:r w:rsidRPr="00DE5D68">
        <w:rPr>
          <w:rFonts w:cs="Arial"/>
          <w:szCs w:val="20"/>
        </w:rPr>
        <w:t xml:space="preserve">relevant Subsequent Placing of </w:t>
      </w:r>
      <w:r w:rsidRPr="00DE5D68" w:rsidR="008276B8">
        <w:rPr>
          <w:rFonts w:cs="Arial"/>
          <w:szCs w:val="20"/>
        </w:rPr>
        <w:t xml:space="preserve">Ordinary </w:t>
      </w:r>
      <w:r w:rsidRPr="00DE5D68" w:rsidR="00140CB9">
        <w:rPr>
          <w:rFonts w:cs="Arial"/>
          <w:szCs w:val="20"/>
        </w:rPr>
        <w:t>Shares</w:t>
      </w:r>
      <w:r w:rsidRPr="00DE5D68">
        <w:rPr>
          <w:rFonts w:cs="Arial"/>
          <w:szCs w:val="20"/>
        </w:rPr>
        <w:t xml:space="preserve"> (including, </w:t>
      </w:r>
      <w:r w:rsidRPr="00DE5D68" w:rsidR="004B3C83">
        <w:rPr>
          <w:rFonts w:cs="Arial"/>
          <w:szCs w:val="20"/>
        </w:rPr>
        <w:t xml:space="preserve">without limitation, any placing </w:t>
      </w:r>
      <w:r w:rsidRPr="00DE5D68">
        <w:rPr>
          <w:rFonts w:cs="Arial"/>
          <w:szCs w:val="20"/>
        </w:rPr>
        <w:t>commissions).</w:t>
      </w:r>
      <w:r w:rsidR="00104A41">
        <w:rPr>
          <w:rFonts w:cs="Arial"/>
          <w:szCs w:val="20"/>
        </w:rPr>
        <w:t xml:space="preserve"> </w:t>
      </w:r>
    </w:p>
    <w:p w:rsidRPr="00DE5D68" w:rsidR="008419F2" w:rsidP="00565AD4" w:rsidRDefault="008419F2" w14:paraId="6A1D4A7E" w14:textId="586D2468">
      <w:pPr>
        <w:pStyle w:val="Heading1"/>
        <w:numPr>
          <w:ilvl w:val="0"/>
          <w:numId w:val="38"/>
        </w:numPr>
        <w:ind w:hanging="720"/>
        <w:rPr>
          <w:rFonts w:cs="Arial"/>
          <w:caps w:val="0"/>
        </w:rPr>
      </w:pPr>
      <w:r w:rsidRPr="00DE5D68">
        <w:rPr>
          <w:rFonts w:cs="Arial"/>
          <w:caps w:val="0"/>
        </w:rPr>
        <w:t>SCALING BACK</w:t>
      </w:r>
    </w:p>
    <w:p w:rsidRPr="00DE5D68" w:rsidR="004B3C83" w:rsidP="00C27D12" w:rsidRDefault="002545EC" w14:paraId="12B09A94" w14:textId="2F485277">
      <w:pPr>
        <w:autoSpaceDE w:val="0"/>
        <w:autoSpaceDN w:val="0"/>
        <w:adjustRightInd w:val="0"/>
        <w:snapToGrid w:val="0"/>
        <w:rPr>
          <w:rFonts w:cs="Arial"/>
          <w:szCs w:val="20"/>
        </w:rPr>
      </w:pPr>
      <w:r>
        <w:rPr>
          <w:rFonts w:cs="Arial"/>
          <w:szCs w:val="20"/>
        </w:rPr>
        <w:t>A</w:t>
      </w:r>
      <w:r w:rsidRPr="00DE5D68" w:rsidR="004B3C83">
        <w:rPr>
          <w:rFonts w:cs="Arial"/>
          <w:szCs w:val="20"/>
        </w:rPr>
        <w:t xml:space="preserve">pplications under the relevant Subsequent Placing will be scaled back at the absolute discretion of </w:t>
      </w:r>
      <w:r w:rsidR="009244EF">
        <w:rPr>
          <w:rFonts w:cs="Arial"/>
          <w:szCs w:val="20"/>
        </w:rPr>
        <w:t>the Company</w:t>
      </w:r>
      <w:r w:rsidRPr="00DE5D68" w:rsidR="004B3C83">
        <w:rPr>
          <w:rFonts w:cs="Arial"/>
          <w:szCs w:val="20"/>
        </w:rPr>
        <w:t xml:space="preserve"> (in consultation with</w:t>
      </w:r>
      <w:r w:rsidRPr="00DE5D68" w:rsidR="00B26B00">
        <w:rPr>
          <w:rFonts w:cs="Arial"/>
          <w:szCs w:val="20"/>
        </w:rPr>
        <w:t xml:space="preserve"> </w:t>
      </w:r>
      <w:r w:rsidR="00DD0C05">
        <w:rPr>
          <w:rFonts w:cs="Arial"/>
          <w:szCs w:val="20"/>
        </w:rPr>
        <w:t>Singer Capital Markets</w:t>
      </w:r>
      <w:r w:rsidRPr="00DE5D68" w:rsidR="004B3C83">
        <w:rPr>
          <w:rFonts w:cs="Arial"/>
          <w:szCs w:val="20"/>
        </w:rPr>
        <w:t xml:space="preserve"> and the Investment Manager).</w:t>
      </w:r>
    </w:p>
    <w:p w:rsidRPr="00DE5D68" w:rsidR="008419F2" w:rsidP="00565AD4" w:rsidRDefault="002545EC" w14:paraId="6A0C2901" w14:textId="61B0EBC9">
      <w:pPr>
        <w:pStyle w:val="Heading1"/>
        <w:numPr>
          <w:ilvl w:val="0"/>
          <w:numId w:val="38"/>
        </w:numPr>
        <w:ind w:hanging="720"/>
        <w:rPr>
          <w:rFonts w:cs="Arial"/>
          <w:caps w:val="0"/>
        </w:rPr>
      </w:pPr>
      <w:r>
        <w:rPr>
          <w:rFonts w:cs="Arial"/>
          <w:caps w:val="0"/>
        </w:rPr>
        <w:lastRenderedPageBreak/>
        <w:t xml:space="preserve">THE </w:t>
      </w:r>
      <w:r w:rsidR="00020807">
        <w:rPr>
          <w:rFonts w:cs="Arial"/>
          <w:caps w:val="0"/>
        </w:rPr>
        <w:t>PLACING AGREEMENT</w:t>
      </w:r>
      <w:r w:rsidRPr="00DE5D68" w:rsidR="008419F2">
        <w:rPr>
          <w:rFonts w:cs="Arial"/>
          <w:caps w:val="0"/>
        </w:rPr>
        <w:t xml:space="preserve"> </w:t>
      </w:r>
    </w:p>
    <w:p w:rsidRPr="00DE5D68" w:rsidR="004B3C83" w:rsidP="00C27D12" w:rsidRDefault="002545EC" w14:paraId="1C135E8C" w14:textId="3DAB3A24">
      <w:pPr>
        <w:autoSpaceDE w:val="0"/>
        <w:autoSpaceDN w:val="0"/>
        <w:adjustRightInd w:val="0"/>
        <w:snapToGrid w:val="0"/>
        <w:rPr>
          <w:rFonts w:cs="Arial"/>
          <w:szCs w:val="20"/>
        </w:rPr>
      </w:pPr>
      <w:r>
        <w:rPr>
          <w:rFonts w:cs="Arial"/>
          <w:szCs w:val="20"/>
        </w:rPr>
        <w:t xml:space="preserve">Under the </w:t>
      </w:r>
      <w:r w:rsidR="00020807">
        <w:rPr>
          <w:rFonts w:cs="Arial"/>
          <w:szCs w:val="20"/>
        </w:rPr>
        <w:t>Placing Agreement</w:t>
      </w:r>
      <w:r w:rsidRPr="00DE5D68" w:rsidR="004B3C83">
        <w:rPr>
          <w:rFonts w:cs="Arial"/>
          <w:szCs w:val="20"/>
        </w:rPr>
        <w:t xml:space="preserve">, </w:t>
      </w:r>
      <w:r w:rsidR="00DD0C05">
        <w:rPr>
          <w:rFonts w:cs="Arial"/>
          <w:szCs w:val="20"/>
        </w:rPr>
        <w:t>Singer Capital Markets</w:t>
      </w:r>
      <w:r w:rsidRPr="00DE5D68" w:rsidR="004B3C83">
        <w:rPr>
          <w:rFonts w:cs="Arial"/>
          <w:szCs w:val="20"/>
        </w:rPr>
        <w:t xml:space="preserve"> has undertaken, as agent for the Company, to use its reasonable endeavours to procure subscribers under the Placing Programme for </w:t>
      </w:r>
      <w:r>
        <w:rPr>
          <w:rFonts w:cs="Arial"/>
          <w:szCs w:val="20"/>
        </w:rPr>
        <w:t xml:space="preserve">Ordinary </w:t>
      </w:r>
      <w:r w:rsidRPr="00DE5D68" w:rsidR="00140CB9">
        <w:rPr>
          <w:rFonts w:cs="Arial"/>
          <w:szCs w:val="20"/>
        </w:rPr>
        <w:t>Shares</w:t>
      </w:r>
      <w:r w:rsidRPr="00DE5D68" w:rsidR="004B3C83">
        <w:rPr>
          <w:rFonts w:cs="Arial"/>
          <w:szCs w:val="20"/>
        </w:rPr>
        <w:t xml:space="preserve"> at the Placing Programme Price. D</w:t>
      </w:r>
      <w:r>
        <w:rPr>
          <w:rFonts w:cs="Arial"/>
          <w:szCs w:val="20"/>
        </w:rPr>
        <w:t xml:space="preserve">etails of the </w:t>
      </w:r>
      <w:r w:rsidR="00020807">
        <w:rPr>
          <w:rFonts w:cs="Arial"/>
          <w:szCs w:val="20"/>
        </w:rPr>
        <w:t>Placing Agreement</w:t>
      </w:r>
      <w:r w:rsidRPr="00DE5D68" w:rsidR="004B3C83">
        <w:rPr>
          <w:rFonts w:cs="Arial"/>
          <w:szCs w:val="20"/>
        </w:rPr>
        <w:t xml:space="preserve"> are set out in paragraph </w:t>
      </w:r>
      <w:r w:rsidR="00BF040D">
        <w:rPr>
          <w:rFonts w:cs="Arial"/>
          <w:szCs w:val="20"/>
        </w:rPr>
        <w:t>6.1</w:t>
      </w:r>
      <w:r w:rsidR="00A346E5">
        <w:rPr>
          <w:rFonts w:cs="Arial"/>
          <w:szCs w:val="20"/>
        </w:rPr>
        <w:t xml:space="preserve"> </w:t>
      </w:r>
      <w:r w:rsidRPr="00DE5D68" w:rsidR="004B3C83">
        <w:rPr>
          <w:rFonts w:cs="Arial"/>
          <w:szCs w:val="20"/>
        </w:rPr>
        <w:t xml:space="preserve">of </w:t>
      </w:r>
      <w:r w:rsidR="00577D1F">
        <w:rPr>
          <w:rFonts w:cs="Arial"/>
        </w:rPr>
        <w:fldChar w:fldCharType="begin" w:fldLock="1"/>
      </w:r>
      <w:r w:rsidR="00577D1F">
        <w:rPr>
          <w:rFonts w:cs="Arial"/>
        </w:rPr>
        <w:instrText xml:space="preserve"> REF _Ref65762141 \r \h </w:instrText>
      </w:r>
      <w:r w:rsidR="00577D1F">
        <w:rPr>
          <w:rFonts w:cs="Arial"/>
        </w:rPr>
      </w:r>
      <w:r w:rsidR="00577D1F">
        <w:rPr>
          <w:rFonts w:cs="Arial"/>
        </w:rPr>
        <w:fldChar w:fldCharType="separate"/>
      </w:r>
      <w:r w:rsidR="00DA4048">
        <w:rPr>
          <w:rFonts w:cs="Arial"/>
        </w:rPr>
        <w:t>Part 6</w:t>
      </w:r>
      <w:r w:rsidR="00577D1F">
        <w:rPr>
          <w:rFonts w:cs="Arial"/>
        </w:rPr>
        <w:fldChar w:fldCharType="end"/>
      </w:r>
      <w:r w:rsidRPr="00DE5D68" w:rsidR="00B122A1">
        <w:rPr>
          <w:rFonts w:cs="Arial"/>
          <w:szCs w:val="20"/>
        </w:rPr>
        <w:t xml:space="preserve"> </w:t>
      </w:r>
      <w:r w:rsidRPr="00DE5D68" w:rsidR="004B3C83">
        <w:rPr>
          <w:rFonts w:cs="Arial"/>
          <w:szCs w:val="20"/>
        </w:rPr>
        <w:t>of this document.</w:t>
      </w:r>
    </w:p>
    <w:p w:rsidRPr="00DE5D68" w:rsidR="004B3C83" w:rsidP="00C27D12" w:rsidRDefault="002545EC" w14:paraId="22D5D316" w14:textId="54417487">
      <w:pPr>
        <w:autoSpaceDE w:val="0"/>
        <w:autoSpaceDN w:val="0"/>
        <w:adjustRightInd w:val="0"/>
        <w:snapToGrid w:val="0"/>
        <w:rPr>
          <w:rFonts w:cs="Arial"/>
          <w:szCs w:val="20"/>
        </w:rPr>
      </w:pPr>
      <w:r>
        <w:rPr>
          <w:rFonts w:cs="Arial"/>
          <w:szCs w:val="20"/>
        </w:rPr>
        <w:t xml:space="preserve">The </w:t>
      </w:r>
      <w:r w:rsidR="00020807">
        <w:rPr>
          <w:rFonts w:cs="Arial"/>
          <w:szCs w:val="20"/>
        </w:rPr>
        <w:t>Placing Agreement</w:t>
      </w:r>
      <w:r w:rsidRPr="00DE5D68" w:rsidR="004B3C83">
        <w:rPr>
          <w:rFonts w:cs="Arial"/>
          <w:szCs w:val="20"/>
        </w:rPr>
        <w:t xml:space="preserve"> provides for </w:t>
      </w:r>
      <w:r w:rsidR="00DD0C05">
        <w:rPr>
          <w:rFonts w:cs="Arial"/>
          <w:szCs w:val="20"/>
        </w:rPr>
        <w:t>Singer Capital Markets</w:t>
      </w:r>
      <w:r w:rsidRPr="00DE5D68" w:rsidR="004B3C83">
        <w:rPr>
          <w:rFonts w:cs="Arial"/>
          <w:szCs w:val="20"/>
        </w:rPr>
        <w:t xml:space="preserve"> to be paid commissions by the Company in respect of the </w:t>
      </w:r>
      <w:r>
        <w:rPr>
          <w:rFonts w:cs="Arial"/>
          <w:szCs w:val="20"/>
        </w:rPr>
        <w:t xml:space="preserve">Ordinary </w:t>
      </w:r>
      <w:r w:rsidRPr="00DE5D68" w:rsidR="00140CB9">
        <w:rPr>
          <w:rFonts w:cs="Arial"/>
          <w:szCs w:val="20"/>
        </w:rPr>
        <w:t>Shares</w:t>
      </w:r>
      <w:r w:rsidRPr="00DE5D68" w:rsidR="004B3C83">
        <w:rPr>
          <w:rFonts w:cs="Arial"/>
          <w:szCs w:val="20"/>
        </w:rPr>
        <w:t xml:space="preserve"> to be issued pursuant to the Placing Programme. Any </w:t>
      </w:r>
      <w:r>
        <w:rPr>
          <w:rFonts w:cs="Arial"/>
          <w:szCs w:val="20"/>
        </w:rPr>
        <w:t>Ordinary</w:t>
      </w:r>
      <w:r w:rsidRPr="00DE5D68">
        <w:rPr>
          <w:rFonts w:cs="Arial"/>
          <w:szCs w:val="20"/>
        </w:rPr>
        <w:t xml:space="preserve"> </w:t>
      </w:r>
      <w:r w:rsidRPr="00DE5D68" w:rsidR="00140CB9">
        <w:rPr>
          <w:rFonts w:cs="Arial"/>
          <w:szCs w:val="20"/>
        </w:rPr>
        <w:t>Shares</w:t>
      </w:r>
      <w:r w:rsidRPr="00DE5D68" w:rsidR="004B3C83">
        <w:rPr>
          <w:rFonts w:cs="Arial"/>
          <w:szCs w:val="20"/>
        </w:rPr>
        <w:t xml:space="preserve"> subscribed for by </w:t>
      </w:r>
      <w:r w:rsidR="00DD0C05">
        <w:rPr>
          <w:rFonts w:cs="Arial"/>
          <w:szCs w:val="20"/>
        </w:rPr>
        <w:t>Singer Capital Markets</w:t>
      </w:r>
      <w:r w:rsidRPr="00DE5D68" w:rsidR="004B3C83">
        <w:rPr>
          <w:rFonts w:cs="Arial"/>
          <w:szCs w:val="20"/>
        </w:rPr>
        <w:t xml:space="preserve"> may be retained or dealt in by it for its own benefit. </w:t>
      </w:r>
      <w:r>
        <w:rPr>
          <w:rFonts w:cs="Arial"/>
          <w:szCs w:val="20"/>
        </w:rPr>
        <w:t>Singer Capital Markets</w:t>
      </w:r>
      <w:r w:rsidRPr="00DE5D68" w:rsidR="004B3C83">
        <w:rPr>
          <w:rFonts w:cs="Arial"/>
          <w:szCs w:val="20"/>
        </w:rPr>
        <w:t xml:space="preserve"> is also entit</w:t>
      </w:r>
      <w:r>
        <w:rPr>
          <w:rFonts w:cs="Arial"/>
          <w:szCs w:val="20"/>
        </w:rPr>
        <w:t xml:space="preserve">led under the </w:t>
      </w:r>
      <w:r w:rsidR="00020807">
        <w:rPr>
          <w:rFonts w:cs="Arial"/>
          <w:szCs w:val="20"/>
        </w:rPr>
        <w:t>Placing Agreement</w:t>
      </w:r>
      <w:r w:rsidRPr="00DE5D68" w:rsidR="004B3C83">
        <w:rPr>
          <w:rFonts w:cs="Arial"/>
          <w:szCs w:val="20"/>
        </w:rPr>
        <w:t xml:space="preserve"> to retain agents and may pay </w:t>
      </w:r>
      <w:r>
        <w:rPr>
          <w:rFonts w:cs="Arial"/>
          <w:szCs w:val="20"/>
        </w:rPr>
        <w:t>c</w:t>
      </w:r>
      <w:r w:rsidRPr="00DE5D68" w:rsidR="000C0D70">
        <w:rPr>
          <w:rFonts w:cs="Arial"/>
          <w:szCs w:val="20"/>
        </w:rPr>
        <w:t>ommission</w:t>
      </w:r>
      <w:r w:rsidRPr="00DE5D68" w:rsidR="004B3C83">
        <w:rPr>
          <w:rFonts w:cs="Arial"/>
          <w:szCs w:val="20"/>
        </w:rPr>
        <w:t xml:space="preserve"> in respect of the Placing Programme to any or all of those agents out of its own resources.</w:t>
      </w:r>
    </w:p>
    <w:p w:rsidRPr="00DE5D68" w:rsidR="004B3C83" w:rsidP="00C27D12" w:rsidRDefault="004B3C83" w14:paraId="781B0598" w14:textId="4C60D30E">
      <w:pPr>
        <w:autoSpaceDE w:val="0"/>
        <w:autoSpaceDN w:val="0"/>
        <w:adjustRightInd w:val="0"/>
        <w:snapToGrid w:val="0"/>
        <w:rPr>
          <w:rFonts w:cs="Arial"/>
          <w:szCs w:val="20"/>
        </w:rPr>
      </w:pPr>
      <w:r w:rsidRPr="00DE5D68">
        <w:rPr>
          <w:rFonts w:cs="Arial"/>
          <w:szCs w:val="20"/>
        </w:rPr>
        <w:t xml:space="preserve">In circumstances in which the conditions to a Subsequent Placing are not fully met, the relevant </w:t>
      </w:r>
      <w:r w:rsidRPr="00DE5D68" w:rsidR="00F66C32">
        <w:rPr>
          <w:rFonts w:cs="Arial"/>
          <w:szCs w:val="20"/>
        </w:rPr>
        <w:t>i</w:t>
      </w:r>
      <w:r w:rsidRPr="00DE5D68" w:rsidR="000C0D70">
        <w:rPr>
          <w:rFonts w:cs="Arial"/>
          <w:szCs w:val="20"/>
        </w:rPr>
        <w:t>ssue</w:t>
      </w:r>
      <w:r w:rsidRPr="00DE5D68">
        <w:rPr>
          <w:rFonts w:cs="Arial"/>
          <w:szCs w:val="20"/>
        </w:rPr>
        <w:t xml:space="preserve"> of </w:t>
      </w:r>
      <w:r w:rsidR="008C26C4">
        <w:rPr>
          <w:rFonts w:cs="Arial"/>
          <w:szCs w:val="20"/>
        </w:rPr>
        <w:t>Ordinary</w:t>
      </w:r>
      <w:r w:rsidRPr="00DE5D68" w:rsidR="008C26C4">
        <w:rPr>
          <w:rFonts w:cs="Arial"/>
          <w:szCs w:val="20"/>
        </w:rPr>
        <w:t xml:space="preserve"> </w:t>
      </w:r>
      <w:r w:rsidRPr="00DE5D68" w:rsidR="00140CB9">
        <w:rPr>
          <w:rFonts w:cs="Arial"/>
          <w:szCs w:val="20"/>
        </w:rPr>
        <w:t>Shares</w:t>
      </w:r>
      <w:r w:rsidRPr="00DE5D68">
        <w:rPr>
          <w:rFonts w:cs="Arial"/>
          <w:szCs w:val="20"/>
        </w:rPr>
        <w:t xml:space="preserve"> pursuant to the Placing Programme will not take place.</w:t>
      </w:r>
    </w:p>
    <w:p w:rsidRPr="00DE5D68" w:rsidR="008419F2" w:rsidP="00565AD4" w:rsidRDefault="008419F2" w14:paraId="3312B4E9" w14:textId="5C292558">
      <w:pPr>
        <w:pStyle w:val="Heading1"/>
        <w:numPr>
          <w:ilvl w:val="0"/>
          <w:numId w:val="38"/>
        </w:numPr>
        <w:ind w:hanging="720"/>
        <w:rPr>
          <w:rFonts w:cs="Arial"/>
          <w:caps w:val="0"/>
        </w:rPr>
      </w:pPr>
      <w:r w:rsidRPr="00DE5D68">
        <w:rPr>
          <w:rFonts w:cs="Arial"/>
          <w:caps w:val="0"/>
        </w:rPr>
        <w:t>VOTING DILUTION</w:t>
      </w:r>
    </w:p>
    <w:p w:rsidRPr="00DE5D68" w:rsidR="004921B8" w:rsidP="00C27D12" w:rsidRDefault="004921B8" w14:paraId="3770DFDC" w14:textId="228F74F6">
      <w:pPr>
        <w:autoSpaceDE w:val="0"/>
        <w:autoSpaceDN w:val="0"/>
        <w:adjustRightInd w:val="0"/>
        <w:snapToGrid w:val="0"/>
        <w:rPr>
          <w:rFonts w:cs="Arial"/>
          <w:szCs w:val="20"/>
        </w:rPr>
      </w:pPr>
      <w:r w:rsidRPr="00DE5D68">
        <w:rPr>
          <w:rFonts w:cs="Arial"/>
          <w:szCs w:val="20"/>
        </w:rPr>
        <w:t xml:space="preserve">If </w:t>
      </w:r>
      <w:r w:rsidR="00CC22BE">
        <w:rPr>
          <w:rFonts w:cs="Arial"/>
          <w:szCs w:val="20"/>
        </w:rPr>
        <w:t>150</w:t>
      </w:r>
      <w:r w:rsidRPr="00DE5D68">
        <w:rPr>
          <w:rFonts w:cs="Arial"/>
          <w:szCs w:val="20"/>
        </w:rPr>
        <w:t xml:space="preserve"> million </w:t>
      </w:r>
      <w:r w:rsidR="00521B01">
        <w:rPr>
          <w:rFonts w:cs="Arial"/>
          <w:szCs w:val="20"/>
        </w:rPr>
        <w:t xml:space="preserve">Ordinary </w:t>
      </w:r>
      <w:r w:rsidRPr="00DE5D68" w:rsidR="00140CB9">
        <w:rPr>
          <w:rFonts w:cs="Arial"/>
          <w:szCs w:val="20"/>
        </w:rPr>
        <w:t>Shares</w:t>
      </w:r>
      <w:r w:rsidRPr="00DE5D68">
        <w:rPr>
          <w:rFonts w:cs="Arial"/>
          <w:szCs w:val="20"/>
        </w:rPr>
        <w:t xml:space="preserve"> were to be issued pursuant to Subsequent Placings, </w:t>
      </w:r>
      <w:r w:rsidR="00572F6E">
        <w:rPr>
          <w:rFonts w:cs="Arial"/>
          <w:szCs w:val="20"/>
        </w:rPr>
        <w:t xml:space="preserve">and </w:t>
      </w:r>
      <w:r w:rsidR="00893EA6">
        <w:rPr>
          <w:rFonts w:cs="Arial"/>
          <w:szCs w:val="20"/>
        </w:rPr>
        <w:t>54</w:t>
      </w:r>
      <w:r w:rsidRPr="00DE5D68" w:rsidR="00572F6E">
        <w:rPr>
          <w:rFonts w:cs="Arial"/>
          <w:szCs w:val="20"/>
        </w:rPr>
        <w:t xml:space="preserve"> million </w:t>
      </w:r>
      <w:r w:rsidR="00572F6E">
        <w:rPr>
          <w:rFonts w:cs="Arial"/>
          <w:szCs w:val="20"/>
        </w:rPr>
        <w:t xml:space="preserve">Ordinary </w:t>
      </w:r>
      <w:r w:rsidRPr="00DE5D68" w:rsidR="00572F6E">
        <w:rPr>
          <w:rFonts w:cs="Arial"/>
          <w:szCs w:val="20"/>
        </w:rPr>
        <w:t>Shares</w:t>
      </w:r>
      <w:r w:rsidR="00572F6E">
        <w:rPr>
          <w:rFonts w:cs="Arial"/>
          <w:szCs w:val="20"/>
        </w:rPr>
        <w:t xml:space="preserve"> are </w:t>
      </w:r>
      <w:r w:rsidR="00296CEA">
        <w:rPr>
          <w:rFonts w:cs="Arial"/>
          <w:szCs w:val="20"/>
        </w:rPr>
        <w:t>comprised within</w:t>
      </w:r>
      <w:r w:rsidR="00572F6E">
        <w:rPr>
          <w:rFonts w:cs="Arial"/>
          <w:szCs w:val="20"/>
        </w:rPr>
        <w:t xml:space="preserve"> the Initial </w:t>
      </w:r>
      <w:proofErr w:type="gramStart"/>
      <w:r w:rsidR="00572F6E">
        <w:rPr>
          <w:rFonts w:cs="Arial"/>
          <w:szCs w:val="20"/>
        </w:rPr>
        <w:t>Placing</w:t>
      </w:r>
      <w:r w:rsidRPr="00DE5D68" w:rsidDel="00572F6E" w:rsidR="00572F6E">
        <w:rPr>
          <w:rFonts w:cs="Arial"/>
          <w:szCs w:val="20"/>
        </w:rPr>
        <w:t xml:space="preserve"> </w:t>
      </w:r>
      <w:r w:rsidRPr="00DE5D68">
        <w:rPr>
          <w:rFonts w:cs="Arial"/>
          <w:szCs w:val="20"/>
        </w:rPr>
        <w:t>,</w:t>
      </w:r>
      <w:proofErr w:type="gramEnd"/>
      <w:r w:rsidRPr="00DE5D68">
        <w:rPr>
          <w:rFonts w:cs="Arial"/>
          <w:szCs w:val="20"/>
        </w:rPr>
        <w:t xml:space="preserve"> there would be a dilution of </w:t>
      </w:r>
      <w:r w:rsidR="00572F6E">
        <w:rPr>
          <w:rFonts w:cs="Arial"/>
          <w:szCs w:val="20"/>
        </w:rPr>
        <w:t>75</w:t>
      </w:r>
      <w:r w:rsidRPr="00DE5D68" w:rsidR="00B26B00">
        <w:rPr>
          <w:rFonts w:cs="Arial"/>
          <w:szCs w:val="20"/>
        </w:rPr>
        <w:t xml:space="preserve"> per cent.</w:t>
      </w:r>
      <w:r w:rsidRPr="00DE5D68">
        <w:rPr>
          <w:rFonts w:cs="Arial"/>
          <w:szCs w:val="20"/>
        </w:rPr>
        <w:t xml:space="preserve"> in Shareholders’ voting control of the Company imm</w:t>
      </w:r>
      <w:r w:rsidR="008C26C4">
        <w:rPr>
          <w:rFonts w:cs="Arial"/>
          <w:szCs w:val="20"/>
        </w:rPr>
        <w:t xml:space="preserve">ediately after the </w:t>
      </w:r>
      <w:r w:rsidR="00E64580">
        <w:rPr>
          <w:rFonts w:cs="Arial"/>
          <w:szCs w:val="20"/>
        </w:rPr>
        <w:t>Initial Placing</w:t>
      </w:r>
      <w:r w:rsidRPr="00DE5D68">
        <w:rPr>
          <w:rFonts w:cs="Arial"/>
          <w:szCs w:val="20"/>
        </w:rPr>
        <w:t xml:space="preserve">. It is not anticipated that there would be any dilution in the </w:t>
      </w:r>
      <w:r w:rsidR="00E81510">
        <w:rPr>
          <w:rFonts w:cs="Arial"/>
          <w:szCs w:val="20"/>
        </w:rPr>
        <w:t xml:space="preserve">Net Asset Value per </w:t>
      </w:r>
      <w:r w:rsidR="008C26C4">
        <w:rPr>
          <w:rFonts w:cs="Arial"/>
          <w:szCs w:val="20"/>
        </w:rPr>
        <w:t xml:space="preserve">Ordinary </w:t>
      </w:r>
      <w:r w:rsidR="00E81510">
        <w:rPr>
          <w:rFonts w:cs="Arial"/>
          <w:szCs w:val="20"/>
        </w:rPr>
        <w:t>Share</w:t>
      </w:r>
      <w:r w:rsidRPr="00DE5D68">
        <w:rPr>
          <w:rFonts w:cs="Arial"/>
          <w:szCs w:val="20"/>
        </w:rPr>
        <w:t xml:space="preserve"> as a result of the Placing Programme.</w:t>
      </w:r>
    </w:p>
    <w:p w:rsidRPr="00DE5D68" w:rsidR="008419F2" w:rsidP="00565AD4" w:rsidRDefault="008419F2" w14:paraId="62636992" w14:textId="318A762A">
      <w:pPr>
        <w:pStyle w:val="Heading1"/>
        <w:numPr>
          <w:ilvl w:val="0"/>
          <w:numId w:val="38"/>
        </w:numPr>
        <w:ind w:hanging="720"/>
        <w:rPr>
          <w:rFonts w:cs="Arial"/>
          <w:caps w:val="0"/>
        </w:rPr>
      </w:pPr>
      <w:r w:rsidRPr="00DE5D68">
        <w:rPr>
          <w:rFonts w:cs="Arial"/>
          <w:caps w:val="0"/>
        </w:rPr>
        <w:t xml:space="preserve">USE OF PROCEEDS </w:t>
      </w:r>
    </w:p>
    <w:p w:rsidRPr="009578EE" w:rsidR="008C26C4" w:rsidP="009578EE" w:rsidRDefault="009578EE" w14:paraId="33EE45AD" w14:textId="2B867FEF">
      <w:pPr>
        <w:pStyle w:val="2style"/>
        <w:jc w:val="both"/>
        <w:rPr>
          <w:color w:val="221E1F"/>
          <w:lang w:val="x-none"/>
        </w:rPr>
      </w:pPr>
      <w:r w:rsidRPr="00391D23">
        <w:rPr>
          <w:color w:val="221E1F"/>
          <w:lang w:val="x-none"/>
        </w:rPr>
        <w:t xml:space="preserve">The Directors intend to use the net proceeds of any Subsequent </w:t>
      </w:r>
      <w:r w:rsidR="00D56F21">
        <w:rPr>
          <w:color w:val="221E1F"/>
          <w:lang w:val="x-none"/>
        </w:rPr>
        <w:t>Placings</w:t>
      </w:r>
      <w:r w:rsidRPr="00391D23">
        <w:rPr>
          <w:color w:val="221E1F"/>
          <w:lang w:val="x-none"/>
        </w:rPr>
        <w:t xml:space="preserve"> under the </w:t>
      </w:r>
      <w:r w:rsidR="00D56F21">
        <w:rPr>
          <w:color w:val="221E1F"/>
          <w:lang w:val="x-none"/>
        </w:rPr>
        <w:t>Placing</w:t>
      </w:r>
      <w:r w:rsidRPr="00391D23">
        <w:rPr>
          <w:color w:val="221E1F"/>
        </w:rPr>
        <w:t xml:space="preserve"> </w:t>
      </w:r>
      <w:r w:rsidRPr="00391D23">
        <w:rPr>
          <w:color w:val="221E1F"/>
          <w:lang w:val="x-none"/>
        </w:rPr>
        <w:t xml:space="preserve">Programme </w:t>
      </w:r>
      <w:r w:rsidRPr="00391D23">
        <w:rPr>
          <w:color w:val="000000"/>
        </w:rPr>
        <w:t>to</w:t>
      </w:r>
      <w:r w:rsidRPr="00391D23">
        <w:rPr>
          <w:color w:val="221E1F"/>
          <w:lang w:val="x-none"/>
        </w:rPr>
        <w:t xml:space="preserve"> acquire </w:t>
      </w:r>
      <w:r w:rsidRPr="00391D23">
        <w:rPr>
          <w:color w:val="221E1F"/>
        </w:rPr>
        <w:t>investments</w:t>
      </w:r>
      <w:r w:rsidRPr="00391D23">
        <w:rPr>
          <w:color w:val="221E1F"/>
          <w:lang w:val="x-none"/>
        </w:rPr>
        <w:t xml:space="preserve"> in accordance with the Company's investment objective and</w:t>
      </w:r>
      <w:r w:rsidRPr="00391D23">
        <w:rPr>
          <w:color w:val="221E1F"/>
        </w:rPr>
        <w:t xml:space="preserve"> </w:t>
      </w:r>
      <w:r w:rsidRPr="00391D23">
        <w:rPr>
          <w:color w:val="221E1F"/>
          <w:lang w:val="x-none"/>
        </w:rPr>
        <w:t>investment policy and for working capital purposes.</w:t>
      </w:r>
    </w:p>
    <w:p w:rsidRPr="00DE5D68" w:rsidR="008419F2" w:rsidP="00565AD4" w:rsidRDefault="008419F2" w14:paraId="7E08BE13" w14:textId="6E47C545">
      <w:pPr>
        <w:pStyle w:val="Heading1"/>
        <w:numPr>
          <w:ilvl w:val="0"/>
          <w:numId w:val="38"/>
        </w:numPr>
        <w:ind w:hanging="720"/>
        <w:rPr>
          <w:rFonts w:cs="Arial"/>
          <w:caps w:val="0"/>
        </w:rPr>
      </w:pPr>
      <w:r w:rsidRPr="00DE5D68">
        <w:rPr>
          <w:rFonts w:cs="Arial"/>
          <w:caps w:val="0"/>
        </w:rPr>
        <w:t>ADMISSION AND SETTLEMENT</w:t>
      </w:r>
    </w:p>
    <w:p w:rsidRPr="00DE5D68" w:rsidR="00CE27DB" w:rsidP="00C27D12" w:rsidRDefault="00CE27DB" w14:paraId="378114F5" w14:textId="6135504D">
      <w:pPr>
        <w:autoSpaceDE w:val="0"/>
        <w:autoSpaceDN w:val="0"/>
        <w:adjustRightInd w:val="0"/>
        <w:snapToGrid w:val="0"/>
        <w:rPr>
          <w:rFonts w:cs="Arial"/>
          <w:szCs w:val="20"/>
        </w:rPr>
      </w:pPr>
      <w:r w:rsidRPr="00DE5D68">
        <w:rPr>
          <w:rFonts w:cs="Arial"/>
          <w:szCs w:val="20"/>
        </w:rPr>
        <w:t>The Placing Programme may have a number of closing dates in order to provide the Company</w:t>
      </w:r>
      <w:r w:rsidRPr="00DE5D68" w:rsidR="003E6384">
        <w:rPr>
          <w:rFonts w:cs="Arial"/>
          <w:szCs w:val="20"/>
        </w:rPr>
        <w:t xml:space="preserve"> </w:t>
      </w:r>
      <w:r w:rsidRPr="00DE5D68">
        <w:rPr>
          <w:rFonts w:cs="Arial"/>
          <w:szCs w:val="20"/>
        </w:rPr>
        <w:t xml:space="preserve">with the ability to </w:t>
      </w:r>
      <w:r w:rsidRPr="00DE5D68" w:rsidR="00846DD0">
        <w:rPr>
          <w:rFonts w:cs="Arial"/>
          <w:szCs w:val="20"/>
        </w:rPr>
        <w:t>i</w:t>
      </w:r>
      <w:r w:rsidRPr="00DE5D68" w:rsidR="000C0D70">
        <w:rPr>
          <w:rFonts w:cs="Arial"/>
          <w:szCs w:val="20"/>
        </w:rPr>
        <w:t>ssue</w:t>
      </w:r>
      <w:r w:rsidRPr="00DE5D68" w:rsidR="003E6384">
        <w:rPr>
          <w:rFonts w:cs="Arial"/>
          <w:szCs w:val="20"/>
        </w:rPr>
        <w:t xml:space="preserve"> </w:t>
      </w:r>
      <w:r w:rsidR="008C26C4">
        <w:rPr>
          <w:rFonts w:cs="Arial"/>
          <w:szCs w:val="20"/>
        </w:rPr>
        <w:t xml:space="preserve">Ordinary </w:t>
      </w:r>
      <w:r w:rsidRPr="00DE5D68" w:rsidR="00140CB9">
        <w:rPr>
          <w:rFonts w:cs="Arial"/>
          <w:szCs w:val="20"/>
        </w:rPr>
        <w:t>Shares</w:t>
      </w:r>
      <w:r w:rsidRPr="00DE5D68">
        <w:rPr>
          <w:rFonts w:cs="Arial"/>
          <w:szCs w:val="20"/>
        </w:rPr>
        <w:t xml:space="preserve"> over the duration of the Placing </w:t>
      </w:r>
      <w:r w:rsidRPr="00DE5D68" w:rsidR="003E6384">
        <w:rPr>
          <w:rFonts w:cs="Arial"/>
          <w:szCs w:val="20"/>
        </w:rPr>
        <w:t xml:space="preserve">Programme. </w:t>
      </w:r>
      <w:r w:rsidR="008C26C4">
        <w:rPr>
          <w:rFonts w:cs="Arial"/>
          <w:szCs w:val="20"/>
        </w:rPr>
        <w:t>Ordinary</w:t>
      </w:r>
      <w:r w:rsidRPr="00DE5D68" w:rsidR="008C26C4">
        <w:rPr>
          <w:rFonts w:cs="Arial"/>
          <w:szCs w:val="20"/>
        </w:rPr>
        <w:t xml:space="preserve"> </w:t>
      </w:r>
      <w:r w:rsidRPr="00DE5D68" w:rsidR="00140CB9">
        <w:rPr>
          <w:rFonts w:cs="Arial"/>
          <w:szCs w:val="20"/>
        </w:rPr>
        <w:t>Shares</w:t>
      </w:r>
      <w:r w:rsidRPr="00DE5D68" w:rsidR="003E6384">
        <w:rPr>
          <w:rFonts w:cs="Arial"/>
          <w:szCs w:val="20"/>
        </w:rPr>
        <w:t xml:space="preserve"> may be issued </w:t>
      </w:r>
      <w:r w:rsidRPr="00DE5D68">
        <w:rPr>
          <w:rFonts w:cs="Arial"/>
          <w:szCs w:val="20"/>
        </w:rPr>
        <w:t xml:space="preserve">under the Placing Programme from </w:t>
      </w:r>
      <w:r w:rsidR="00572F6E">
        <w:rPr>
          <w:rFonts w:cs="Arial"/>
          <w:szCs w:val="20"/>
        </w:rPr>
        <w:t>2</w:t>
      </w:r>
      <w:r w:rsidR="007D3786">
        <w:rPr>
          <w:rFonts w:cs="Arial"/>
          <w:szCs w:val="20"/>
        </w:rPr>
        <w:t>6</w:t>
      </w:r>
      <w:r w:rsidRPr="00DE5D68" w:rsidR="003E6384">
        <w:rPr>
          <w:rFonts w:cs="Arial"/>
          <w:szCs w:val="20"/>
        </w:rPr>
        <w:t xml:space="preserve"> </w:t>
      </w:r>
      <w:r w:rsidR="00A10F64">
        <w:rPr>
          <w:rFonts w:cs="Arial"/>
          <w:szCs w:val="20"/>
        </w:rPr>
        <w:t xml:space="preserve">February </w:t>
      </w:r>
      <w:r w:rsidRPr="00DE5D68" w:rsidR="003E6384">
        <w:rPr>
          <w:rFonts w:cs="Arial"/>
          <w:szCs w:val="20"/>
        </w:rPr>
        <w:t>202</w:t>
      </w:r>
      <w:r w:rsidR="009578EE">
        <w:rPr>
          <w:rFonts w:cs="Arial"/>
          <w:szCs w:val="20"/>
        </w:rPr>
        <w:t>5</w:t>
      </w:r>
      <w:r w:rsidRPr="00DE5D68">
        <w:rPr>
          <w:rFonts w:cs="Arial"/>
          <w:szCs w:val="20"/>
        </w:rPr>
        <w:t xml:space="preserve"> until </w:t>
      </w:r>
      <w:r w:rsidR="00572F6E">
        <w:rPr>
          <w:rFonts w:cs="Arial"/>
          <w:szCs w:val="20"/>
        </w:rPr>
        <w:t>1</w:t>
      </w:r>
      <w:r w:rsidR="007D3786">
        <w:rPr>
          <w:rFonts w:cs="Arial"/>
          <w:szCs w:val="20"/>
        </w:rPr>
        <w:t>9</w:t>
      </w:r>
      <w:r w:rsidR="00A10F64">
        <w:rPr>
          <w:rFonts w:cs="Arial"/>
          <w:szCs w:val="20"/>
        </w:rPr>
        <w:t xml:space="preserve"> February</w:t>
      </w:r>
      <w:r w:rsidRPr="00DE5D68" w:rsidR="003E6384">
        <w:rPr>
          <w:rFonts w:cs="Arial"/>
          <w:szCs w:val="20"/>
        </w:rPr>
        <w:t xml:space="preserve"> 202</w:t>
      </w:r>
      <w:r w:rsidR="009578EE">
        <w:rPr>
          <w:rFonts w:cs="Arial"/>
          <w:szCs w:val="20"/>
        </w:rPr>
        <w:t>6</w:t>
      </w:r>
      <w:r w:rsidRPr="00DE5D68">
        <w:rPr>
          <w:rFonts w:cs="Arial"/>
          <w:szCs w:val="20"/>
        </w:rPr>
        <w:t>.</w:t>
      </w:r>
    </w:p>
    <w:p w:rsidRPr="00DE5D68" w:rsidR="00CE27DB" w:rsidP="00C27D12" w:rsidRDefault="00CE27DB" w14:paraId="16C2934E" w14:textId="228E2C29">
      <w:pPr>
        <w:autoSpaceDE w:val="0"/>
        <w:autoSpaceDN w:val="0"/>
        <w:adjustRightInd w:val="0"/>
        <w:snapToGrid w:val="0"/>
        <w:rPr>
          <w:rFonts w:cs="Arial"/>
          <w:szCs w:val="20"/>
        </w:rPr>
      </w:pPr>
      <w:r w:rsidRPr="00DE5D68">
        <w:rPr>
          <w:rFonts w:cs="Arial"/>
          <w:szCs w:val="20"/>
        </w:rPr>
        <w:t xml:space="preserve">Applications will be made to </w:t>
      </w:r>
      <w:r w:rsidR="00640CB6">
        <w:rPr>
          <w:rFonts w:cs="Arial"/>
          <w:szCs w:val="20"/>
        </w:rPr>
        <w:fldChar w:fldCharType="begin">
          <w:fldData xml:space="preserve">dgAxAHwAMQAwADAAMgA5AHwAdABoAGUAIABMAG8AbgBkAG8AbgB8AEEAbQBiAGkAZwAtADEAMAAw
ADIAOQB8AHwA
</w:fldData>
        </w:fldChar>
      </w:r>
      <w:r w:rsidR="00640CB6">
        <w:rPr>
          <w:rFonts w:cs="Arial"/>
          <w:szCs w:val="20"/>
        </w:rPr>
        <w:instrText xml:space="preserve"> ADDIN CiteCheck Marker </w:instrText>
      </w:r>
      <w:r w:rsidR="00640CB6">
        <w:rPr>
          <w:rFonts w:cs="Arial"/>
          <w:szCs w:val="20"/>
        </w:rPr>
      </w:r>
      <w:r w:rsidR="00640CB6">
        <w:rPr>
          <w:rFonts w:cs="Arial"/>
          <w:szCs w:val="20"/>
        </w:rPr>
        <w:fldChar w:fldCharType="end"/>
      </w:r>
      <w:r w:rsidRPr="00DE5D68">
        <w:rPr>
          <w:rFonts w:cs="Arial"/>
          <w:szCs w:val="20"/>
        </w:rPr>
        <w:t>the London Stock Exchange for all of the</w:t>
      </w:r>
      <w:r w:rsidRPr="00DE5D68" w:rsidR="003E6384">
        <w:rPr>
          <w:rFonts w:cs="Arial"/>
          <w:szCs w:val="20"/>
        </w:rPr>
        <w:t xml:space="preserve"> </w:t>
      </w:r>
      <w:r w:rsidR="008C26C4">
        <w:rPr>
          <w:rFonts w:cs="Arial"/>
          <w:szCs w:val="20"/>
        </w:rPr>
        <w:t>Ordinary</w:t>
      </w:r>
      <w:r w:rsidRPr="00DE5D68" w:rsidR="008C26C4">
        <w:rPr>
          <w:rFonts w:cs="Arial"/>
          <w:szCs w:val="20"/>
        </w:rPr>
        <w:t xml:space="preserve"> </w:t>
      </w:r>
      <w:r w:rsidRPr="00DE5D68" w:rsidR="00140CB9">
        <w:rPr>
          <w:rFonts w:cs="Arial"/>
          <w:szCs w:val="20"/>
        </w:rPr>
        <w:t>Shares</w:t>
      </w:r>
      <w:r w:rsidRPr="00DE5D68">
        <w:rPr>
          <w:rFonts w:cs="Arial"/>
          <w:szCs w:val="20"/>
        </w:rPr>
        <w:t xml:space="preserve"> issued pursuant to the Placing Programme to be admitte</w:t>
      </w:r>
      <w:r w:rsidRPr="00DE5D68" w:rsidR="003E6384">
        <w:rPr>
          <w:rFonts w:cs="Arial"/>
          <w:szCs w:val="20"/>
        </w:rPr>
        <w:t xml:space="preserve">d to </w:t>
      </w:r>
      <w:r w:rsidRPr="00DE5D68" w:rsidR="00B26B00">
        <w:rPr>
          <w:rFonts w:cs="Arial"/>
          <w:szCs w:val="20"/>
        </w:rPr>
        <w:t>trading on the Specialist Fund Segment</w:t>
      </w:r>
      <w:r w:rsidRPr="00DE5D68">
        <w:rPr>
          <w:rFonts w:cs="Arial"/>
          <w:szCs w:val="20"/>
        </w:rPr>
        <w:t xml:space="preserve"> of the </w:t>
      </w:r>
      <w:r w:rsidRPr="00DE5D68" w:rsidR="00E355F0">
        <w:rPr>
          <w:rFonts w:cs="Arial"/>
          <w:szCs w:val="20"/>
        </w:rPr>
        <w:t>M</w:t>
      </w:r>
      <w:r w:rsidRPr="00DE5D68" w:rsidR="003E6384">
        <w:rPr>
          <w:rFonts w:cs="Arial"/>
          <w:szCs w:val="20"/>
        </w:rPr>
        <w:t xml:space="preserve">ain </w:t>
      </w:r>
      <w:r w:rsidRPr="00DE5D68" w:rsidR="00E355F0">
        <w:rPr>
          <w:rFonts w:cs="Arial"/>
          <w:szCs w:val="20"/>
        </w:rPr>
        <w:t>M</w:t>
      </w:r>
      <w:r w:rsidRPr="00DE5D68" w:rsidR="003E6384">
        <w:rPr>
          <w:rFonts w:cs="Arial"/>
          <w:szCs w:val="20"/>
        </w:rPr>
        <w:t xml:space="preserve">arket.  </w:t>
      </w:r>
      <w:r w:rsidRPr="00DE5D68">
        <w:rPr>
          <w:rFonts w:cs="Arial"/>
          <w:szCs w:val="20"/>
        </w:rPr>
        <w:t>It is expected that any Admissions pursuant to Subsequent Placings will become effective and</w:t>
      </w:r>
      <w:r w:rsidRPr="00DE5D68" w:rsidR="003E6384">
        <w:rPr>
          <w:rFonts w:cs="Arial"/>
          <w:szCs w:val="20"/>
        </w:rPr>
        <w:t xml:space="preserve"> </w:t>
      </w:r>
      <w:r w:rsidRPr="00DE5D68">
        <w:rPr>
          <w:rFonts w:cs="Arial"/>
          <w:szCs w:val="20"/>
        </w:rPr>
        <w:t xml:space="preserve">dealings will commence between </w:t>
      </w:r>
      <w:r w:rsidR="004177A2">
        <w:rPr>
          <w:rFonts w:cs="Arial"/>
          <w:szCs w:val="20"/>
        </w:rPr>
        <w:t>2</w:t>
      </w:r>
      <w:r w:rsidR="007D3786">
        <w:rPr>
          <w:rFonts w:cs="Arial"/>
          <w:szCs w:val="20"/>
        </w:rPr>
        <w:t>6</w:t>
      </w:r>
      <w:r w:rsidRPr="00DE5D68" w:rsidR="003E6384">
        <w:rPr>
          <w:rFonts w:cs="Arial"/>
          <w:szCs w:val="20"/>
        </w:rPr>
        <w:t xml:space="preserve"> </w:t>
      </w:r>
      <w:r w:rsidR="00A10F64">
        <w:rPr>
          <w:rFonts w:cs="Arial"/>
          <w:szCs w:val="20"/>
        </w:rPr>
        <w:t xml:space="preserve">February </w:t>
      </w:r>
      <w:r w:rsidRPr="00DE5D68" w:rsidR="003E6384">
        <w:rPr>
          <w:rFonts w:cs="Arial"/>
          <w:szCs w:val="20"/>
        </w:rPr>
        <w:t>202</w:t>
      </w:r>
      <w:r w:rsidR="009578EE">
        <w:rPr>
          <w:rFonts w:cs="Arial"/>
          <w:szCs w:val="20"/>
        </w:rPr>
        <w:t>5</w:t>
      </w:r>
      <w:r w:rsidRPr="00DE5D68" w:rsidR="003E6384">
        <w:rPr>
          <w:rFonts w:cs="Arial"/>
          <w:szCs w:val="20"/>
        </w:rPr>
        <w:t xml:space="preserve"> </w:t>
      </w:r>
      <w:r w:rsidRPr="00DE5D68">
        <w:rPr>
          <w:rFonts w:cs="Arial"/>
          <w:szCs w:val="20"/>
        </w:rPr>
        <w:t xml:space="preserve">and </w:t>
      </w:r>
      <w:r w:rsidR="004177A2">
        <w:rPr>
          <w:rFonts w:cs="Arial"/>
          <w:szCs w:val="20"/>
        </w:rPr>
        <w:t>1</w:t>
      </w:r>
      <w:r w:rsidR="007D3786">
        <w:rPr>
          <w:rFonts w:cs="Arial"/>
          <w:szCs w:val="20"/>
        </w:rPr>
        <w:t>9</w:t>
      </w:r>
      <w:r w:rsidRPr="00DE5D68" w:rsidR="003E6384">
        <w:rPr>
          <w:rFonts w:cs="Arial"/>
          <w:szCs w:val="20"/>
        </w:rPr>
        <w:t xml:space="preserve"> </w:t>
      </w:r>
      <w:r w:rsidR="00A10F64">
        <w:rPr>
          <w:rFonts w:cs="Arial"/>
          <w:szCs w:val="20"/>
        </w:rPr>
        <w:t xml:space="preserve">February </w:t>
      </w:r>
      <w:r w:rsidRPr="00DE5D68" w:rsidR="003E6384">
        <w:rPr>
          <w:rFonts w:cs="Arial"/>
          <w:szCs w:val="20"/>
        </w:rPr>
        <w:t>202</w:t>
      </w:r>
      <w:r w:rsidR="009578EE">
        <w:rPr>
          <w:rFonts w:cs="Arial"/>
          <w:szCs w:val="20"/>
        </w:rPr>
        <w:t>6</w:t>
      </w:r>
      <w:r w:rsidRPr="00DE5D68">
        <w:rPr>
          <w:rFonts w:cs="Arial"/>
          <w:szCs w:val="20"/>
        </w:rPr>
        <w:t xml:space="preserve">. All </w:t>
      </w:r>
      <w:r w:rsidR="008C26C4">
        <w:rPr>
          <w:rFonts w:cs="Arial"/>
          <w:szCs w:val="20"/>
        </w:rPr>
        <w:t>Ordinary</w:t>
      </w:r>
      <w:r w:rsidRPr="00DE5D68" w:rsidR="008C26C4">
        <w:rPr>
          <w:rFonts w:cs="Arial"/>
          <w:szCs w:val="20"/>
        </w:rPr>
        <w:t xml:space="preserve"> </w:t>
      </w:r>
      <w:r w:rsidRPr="00DE5D68" w:rsidR="00140CB9">
        <w:rPr>
          <w:rFonts w:cs="Arial"/>
          <w:szCs w:val="20"/>
        </w:rPr>
        <w:t>Shares</w:t>
      </w:r>
      <w:r w:rsidRPr="00DE5D68">
        <w:rPr>
          <w:rFonts w:cs="Arial"/>
          <w:szCs w:val="20"/>
        </w:rPr>
        <w:t xml:space="preserve"> issued</w:t>
      </w:r>
      <w:r w:rsidRPr="00DE5D68" w:rsidR="003E6384">
        <w:rPr>
          <w:rFonts w:cs="Arial"/>
          <w:szCs w:val="20"/>
        </w:rPr>
        <w:t xml:space="preserve"> </w:t>
      </w:r>
      <w:r w:rsidRPr="00DE5D68">
        <w:rPr>
          <w:rFonts w:cs="Arial"/>
          <w:szCs w:val="20"/>
        </w:rPr>
        <w:t xml:space="preserve">pursuant to the Placing Programme will be </w:t>
      </w:r>
      <w:r w:rsidRPr="00DE5D68" w:rsidR="009B2499">
        <w:rPr>
          <w:rFonts w:cs="Arial"/>
          <w:szCs w:val="20"/>
        </w:rPr>
        <w:t xml:space="preserve">issued </w:t>
      </w:r>
      <w:r w:rsidRPr="00DE5D68">
        <w:rPr>
          <w:rFonts w:cs="Arial"/>
          <w:szCs w:val="20"/>
        </w:rPr>
        <w:t>conditionally on such Admission occurring.</w:t>
      </w:r>
    </w:p>
    <w:p w:rsidRPr="00DE5D68" w:rsidR="00CE27DB" w:rsidP="00C27D12" w:rsidRDefault="008C26C4" w14:paraId="2ABB773D" w14:textId="46165FF6">
      <w:pPr>
        <w:autoSpaceDE w:val="0"/>
        <w:autoSpaceDN w:val="0"/>
        <w:adjustRightInd w:val="0"/>
        <w:snapToGrid w:val="0"/>
        <w:rPr>
          <w:rFonts w:cs="Arial"/>
          <w:szCs w:val="20"/>
        </w:rPr>
      </w:pPr>
      <w:r>
        <w:rPr>
          <w:rFonts w:cs="Arial"/>
          <w:szCs w:val="20"/>
        </w:rPr>
        <w:t>Ordinary</w:t>
      </w:r>
      <w:r w:rsidRPr="00DE5D68">
        <w:rPr>
          <w:rFonts w:cs="Arial"/>
          <w:szCs w:val="20"/>
        </w:rPr>
        <w:t xml:space="preserve"> </w:t>
      </w:r>
      <w:r w:rsidRPr="00DE5D68" w:rsidR="00140CB9">
        <w:rPr>
          <w:rFonts w:cs="Arial"/>
          <w:szCs w:val="20"/>
        </w:rPr>
        <w:t>Shares</w:t>
      </w:r>
      <w:r w:rsidRPr="00DE5D68" w:rsidR="00CE27DB">
        <w:rPr>
          <w:rFonts w:cs="Arial"/>
          <w:szCs w:val="20"/>
        </w:rPr>
        <w:t xml:space="preserve"> will be issued in registered form and may be held in either</w:t>
      </w:r>
      <w:r w:rsidRPr="00DE5D68" w:rsidR="003E6384">
        <w:rPr>
          <w:rFonts w:cs="Arial"/>
          <w:szCs w:val="20"/>
        </w:rPr>
        <w:t xml:space="preserve"> certificated or uncertificated </w:t>
      </w:r>
      <w:r w:rsidRPr="00DE5D68" w:rsidR="00CE27DB">
        <w:rPr>
          <w:rFonts w:cs="Arial"/>
          <w:szCs w:val="20"/>
        </w:rPr>
        <w:t>form. In the case of</w:t>
      </w:r>
      <w:r w:rsidRPr="00DE5D68" w:rsidR="003E6384">
        <w:rPr>
          <w:rFonts w:cs="Arial"/>
          <w:szCs w:val="20"/>
        </w:rPr>
        <w:t xml:space="preserve"> </w:t>
      </w:r>
      <w:r>
        <w:rPr>
          <w:rFonts w:cs="Arial"/>
          <w:szCs w:val="20"/>
        </w:rPr>
        <w:t>Ordinary</w:t>
      </w:r>
      <w:r w:rsidRPr="00DE5D68">
        <w:rPr>
          <w:rFonts w:cs="Arial"/>
          <w:szCs w:val="20"/>
        </w:rPr>
        <w:t xml:space="preserve"> </w:t>
      </w:r>
      <w:r w:rsidRPr="00DE5D68" w:rsidR="00140CB9">
        <w:rPr>
          <w:rFonts w:cs="Arial"/>
          <w:szCs w:val="20"/>
        </w:rPr>
        <w:t>Shares</w:t>
      </w:r>
      <w:r w:rsidRPr="00DE5D68" w:rsidR="00CE27DB">
        <w:rPr>
          <w:rFonts w:cs="Arial"/>
          <w:szCs w:val="20"/>
        </w:rPr>
        <w:t xml:space="preserve"> to be issued in uncertificated form pu</w:t>
      </w:r>
      <w:r w:rsidRPr="00DE5D68" w:rsidR="003E6384">
        <w:rPr>
          <w:rFonts w:cs="Arial"/>
          <w:szCs w:val="20"/>
        </w:rPr>
        <w:t xml:space="preserve">rsuant to a Subsequent Placing, </w:t>
      </w:r>
      <w:r w:rsidRPr="00DE5D68" w:rsidR="00CE27DB">
        <w:rPr>
          <w:rFonts w:cs="Arial"/>
          <w:szCs w:val="20"/>
        </w:rPr>
        <w:t>these will be transferred to successful applicants through the CREST system. Dealing in adv</w:t>
      </w:r>
      <w:r w:rsidRPr="00DE5D68" w:rsidR="003E6384">
        <w:rPr>
          <w:rFonts w:cs="Arial"/>
          <w:szCs w:val="20"/>
        </w:rPr>
        <w:t xml:space="preserve">ance </w:t>
      </w:r>
      <w:r w:rsidRPr="00DE5D68" w:rsidR="00CE27DB">
        <w:rPr>
          <w:rFonts w:cs="Arial"/>
          <w:szCs w:val="20"/>
        </w:rPr>
        <w:t xml:space="preserve">of the crediting of the relevant stock account shall be at the risk of </w:t>
      </w:r>
      <w:r w:rsidRPr="00DE5D68" w:rsidR="003E6384">
        <w:rPr>
          <w:rFonts w:cs="Arial"/>
          <w:szCs w:val="20"/>
        </w:rPr>
        <w:t xml:space="preserve">the person concerned. Whilst it </w:t>
      </w:r>
      <w:r w:rsidRPr="00DE5D68" w:rsidR="00CE27DB">
        <w:rPr>
          <w:rFonts w:cs="Arial"/>
          <w:szCs w:val="20"/>
        </w:rPr>
        <w:t xml:space="preserve">is expected that all </w:t>
      </w:r>
      <w:r>
        <w:rPr>
          <w:rFonts w:cs="Arial"/>
          <w:szCs w:val="20"/>
        </w:rPr>
        <w:t>Ordinary</w:t>
      </w:r>
      <w:r w:rsidRPr="00DE5D68">
        <w:rPr>
          <w:rFonts w:cs="Arial"/>
          <w:szCs w:val="20"/>
        </w:rPr>
        <w:t xml:space="preserve"> </w:t>
      </w:r>
      <w:r w:rsidRPr="00DE5D68" w:rsidR="00140CB9">
        <w:rPr>
          <w:rFonts w:cs="Arial"/>
          <w:szCs w:val="20"/>
        </w:rPr>
        <w:t>Shares</w:t>
      </w:r>
      <w:r w:rsidRPr="00DE5D68" w:rsidR="00CE27DB">
        <w:rPr>
          <w:rFonts w:cs="Arial"/>
          <w:szCs w:val="20"/>
        </w:rPr>
        <w:t xml:space="preserve"> </w:t>
      </w:r>
      <w:r w:rsidRPr="00DE5D68" w:rsidR="009B2499">
        <w:rPr>
          <w:rFonts w:cs="Arial"/>
          <w:szCs w:val="20"/>
        </w:rPr>
        <w:t xml:space="preserve">issued </w:t>
      </w:r>
      <w:r w:rsidRPr="00DE5D68" w:rsidR="00CE27DB">
        <w:rPr>
          <w:rFonts w:cs="Arial"/>
          <w:szCs w:val="20"/>
        </w:rPr>
        <w:t>pursuant to the Plac</w:t>
      </w:r>
      <w:r w:rsidRPr="00DE5D68" w:rsidR="003E6384">
        <w:rPr>
          <w:rFonts w:cs="Arial"/>
          <w:szCs w:val="20"/>
        </w:rPr>
        <w:t xml:space="preserve">ing Programme will be issued in </w:t>
      </w:r>
      <w:r w:rsidRPr="00DE5D68" w:rsidR="00CE27DB">
        <w:rPr>
          <w:rFonts w:cs="Arial"/>
          <w:szCs w:val="20"/>
        </w:rPr>
        <w:t xml:space="preserve">uncertificated form, if any </w:t>
      </w:r>
      <w:r>
        <w:rPr>
          <w:rFonts w:cs="Arial"/>
          <w:szCs w:val="20"/>
        </w:rPr>
        <w:t>Ordinary</w:t>
      </w:r>
      <w:r w:rsidRPr="00DE5D68">
        <w:rPr>
          <w:rFonts w:cs="Arial"/>
          <w:szCs w:val="20"/>
        </w:rPr>
        <w:t xml:space="preserve"> </w:t>
      </w:r>
      <w:r w:rsidRPr="00DE5D68" w:rsidR="00140CB9">
        <w:rPr>
          <w:rFonts w:cs="Arial"/>
          <w:szCs w:val="20"/>
        </w:rPr>
        <w:t>Shares</w:t>
      </w:r>
      <w:r w:rsidRPr="00DE5D68" w:rsidR="00CE27DB">
        <w:rPr>
          <w:rFonts w:cs="Arial"/>
          <w:szCs w:val="20"/>
        </w:rPr>
        <w:t xml:space="preserve"> are issued in certificated</w:t>
      </w:r>
      <w:r w:rsidRPr="00DE5D68" w:rsidR="003E6384">
        <w:rPr>
          <w:rFonts w:cs="Arial"/>
          <w:szCs w:val="20"/>
        </w:rPr>
        <w:t xml:space="preserve"> form</w:t>
      </w:r>
      <w:r w:rsidR="00177F0A">
        <w:rPr>
          <w:rFonts w:cs="Arial"/>
          <w:szCs w:val="20"/>
        </w:rPr>
        <w:t>,</w:t>
      </w:r>
      <w:r w:rsidRPr="00DE5D68" w:rsidR="003E6384">
        <w:rPr>
          <w:rFonts w:cs="Arial"/>
          <w:szCs w:val="20"/>
        </w:rPr>
        <w:t xml:space="preserve"> it is expected that share certificates will be despatched </w:t>
      </w:r>
      <w:r w:rsidR="00B21F1D">
        <w:rPr>
          <w:rFonts w:cs="Arial"/>
          <w:szCs w:val="20"/>
        </w:rPr>
        <w:t xml:space="preserve">within 10 Business Days of </w:t>
      </w:r>
      <w:r w:rsidRPr="00DE5D68" w:rsidR="00CE27DB">
        <w:rPr>
          <w:rFonts w:cs="Arial"/>
          <w:szCs w:val="20"/>
        </w:rPr>
        <w:t xml:space="preserve">Admission of the </w:t>
      </w:r>
      <w:r>
        <w:rPr>
          <w:rFonts w:cs="Arial"/>
          <w:szCs w:val="20"/>
        </w:rPr>
        <w:t>Ordinary</w:t>
      </w:r>
      <w:r w:rsidRPr="00DE5D68">
        <w:rPr>
          <w:rFonts w:cs="Arial"/>
          <w:szCs w:val="20"/>
        </w:rPr>
        <w:t xml:space="preserve"> </w:t>
      </w:r>
      <w:r w:rsidRPr="00DE5D68" w:rsidR="00140CB9">
        <w:rPr>
          <w:rFonts w:cs="Arial"/>
          <w:szCs w:val="20"/>
        </w:rPr>
        <w:t>Shares</w:t>
      </w:r>
      <w:r w:rsidRPr="00DE5D68" w:rsidR="003E6384">
        <w:rPr>
          <w:rFonts w:cs="Arial"/>
          <w:szCs w:val="20"/>
        </w:rPr>
        <w:t xml:space="preserve">, at the </w:t>
      </w:r>
      <w:r w:rsidRPr="00DE5D68" w:rsidR="00CE27DB">
        <w:rPr>
          <w:rFonts w:cs="Arial"/>
          <w:szCs w:val="20"/>
        </w:rPr>
        <w:t>Shareholder’s own risk.</w:t>
      </w:r>
    </w:p>
    <w:p w:rsidRPr="00DE5D68" w:rsidR="00975BDE" w:rsidP="00F31448" w:rsidRDefault="00975BDE" w14:paraId="515D77B5" w14:textId="1D69A52A">
      <w:pPr>
        <w:rPr>
          <w:rFonts w:cs="Arial"/>
        </w:rPr>
      </w:pPr>
      <w:r w:rsidRPr="00DE5D68">
        <w:rPr>
          <w:rFonts w:cs="Arial"/>
        </w:rPr>
        <w:t xml:space="preserve">The ISIN of the Ordinary Shares is </w:t>
      </w:r>
      <w:r w:rsidRPr="00CC32A8" w:rsidR="00CC32A8">
        <w:rPr>
          <w:rFonts w:cs="Arial"/>
        </w:rPr>
        <w:t>GG00BT3GKD0</w:t>
      </w:r>
      <w:r w:rsidRPr="00DE5D68">
        <w:rPr>
          <w:rFonts w:cs="Arial"/>
        </w:rPr>
        <w:t xml:space="preserve"> and the SEDOL is </w:t>
      </w:r>
      <w:r w:rsidRPr="00CC32A8" w:rsidR="00CC32A8">
        <w:rPr>
          <w:rFonts w:cs="Arial"/>
        </w:rPr>
        <w:t>BT3GKD0</w:t>
      </w:r>
      <w:r w:rsidRPr="00DE5D68">
        <w:rPr>
          <w:rFonts w:cs="Arial"/>
        </w:rPr>
        <w:t xml:space="preserve">. </w:t>
      </w:r>
    </w:p>
    <w:p w:rsidRPr="00DE5D68" w:rsidR="00CE27DB" w:rsidP="00C27D12" w:rsidRDefault="00CE27DB" w14:paraId="7EE9B778" w14:textId="7F985050">
      <w:pPr>
        <w:autoSpaceDE w:val="0"/>
        <w:autoSpaceDN w:val="0"/>
        <w:adjustRightInd w:val="0"/>
        <w:snapToGrid w:val="0"/>
        <w:rPr>
          <w:rFonts w:cs="Arial"/>
          <w:szCs w:val="20"/>
        </w:rPr>
      </w:pPr>
      <w:r w:rsidRPr="00DE5D68">
        <w:rPr>
          <w:rFonts w:cs="Arial"/>
          <w:szCs w:val="20"/>
        </w:rPr>
        <w:t xml:space="preserve">Any </w:t>
      </w:r>
      <w:r w:rsidR="00521B01">
        <w:rPr>
          <w:rFonts w:cs="Arial"/>
          <w:szCs w:val="20"/>
        </w:rPr>
        <w:t xml:space="preserve">Ordinary </w:t>
      </w:r>
      <w:r w:rsidRPr="00DE5D68" w:rsidR="00140CB9">
        <w:rPr>
          <w:rFonts w:cs="Arial"/>
          <w:szCs w:val="20"/>
        </w:rPr>
        <w:t>Shares</w:t>
      </w:r>
      <w:r w:rsidRPr="00DE5D68">
        <w:rPr>
          <w:rFonts w:cs="Arial"/>
          <w:szCs w:val="20"/>
        </w:rPr>
        <w:t xml:space="preserve"> issued pursuant to the Placing Programme will rank </w:t>
      </w:r>
      <w:proofErr w:type="spellStart"/>
      <w:r w:rsidRPr="00DE5D68">
        <w:rPr>
          <w:rFonts w:cs="Arial"/>
          <w:i/>
          <w:szCs w:val="20"/>
        </w:rPr>
        <w:t>pari</w:t>
      </w:r>
      <w:proofErr w:type="spellEnd"/>
      <w:r w:rsidRPr="00DE5D68">
        <w:rPr>
          <w:rFonts w:cs="Arial"/>
          <w:i/>
          <w:szCs w:val="20"/>
        </w:rPr>
        <w:t xml:space="preserve"> passu</w:t>
      </w:r>
      <w:r w:rsidRPr="00DE5D68">
        <w:rPr>
          <w:rFonts w:cs="Arial"/>
          <w:szCs w:val="20"/>
        </w:rPr>
        <w:t xml:space="preserve"> </w:t>
      </w:r>
      <w:r w:rsidRPr="00DE5D68" w:rsidR="003E6384">
        <w:rPr>
          <w:rFonts w:cs="Arial"/>
          <w:szCs w:val="20"/>
        </w:rPr>
        <w:t xml:space="preserve">with the </w:t>
      </w:r>
      <w:r w:rsidR="00521B01">
        <w:rPr>
          <w:rFonts w:cs="Arial"/>
          <w:szCs w:val="20"/>
        </w:rPr>
        <w:t xml:space="preserve">Ordinary </w:t>
      </w:r>
      <w:r w:rsidRPr="00DE5D68" w:rsidR="00140CB9">
        <w:rPr>
          <w:rFonts w:cs="Arial"/>
          <w:szCs w:val="20"/>
        </w:rPr>
        <w:t>Shares</w:t>
      </w:r>
      <w:r w:rsidRPr="00DE5D68">
        <w:rPr>
          <w:rFonts w:cs="Arial"/>
          <w:szCs w:val="20"/>
        </w:rPr>
        <w:t xml:space="preserve"> then in </w:t>
      </w:r>
      <w:r w:rsidRPr="00DE5D68" w:rsidR="00846DD0">
        <w:rPr>
          <w:rFonts w:cs="Arial"/>
          <w:szCs w:val="20"/>
        </w:rPr>
        <w:t>i</w:t>
      </w:r>
      <w:r w:rsidRPr="00DE5D68" w:rsidR="000C0D70">
        <w:rPr>
          <w:rFonts w:cs="Arial"/>
          <w:szCs w:val="20"/>
        </w:rPr>
        <w:t>ssue</w:t>
      </w:r>
      <w:r w:rsidRPr="00DE5D68">
        <w:rPr>
          <w:rFonts w:cs="Arial"/>
          <w:szCs w:val="20"/>
        </w:rPr>
        <w:t xml:space="preserve"> (save for any dividends or other distr</w:t>
      </w:r>
      <w:r w:rsidRPr="00DE5D68" w:rsidR="003E6384">
        <w:rPr>
          <w:rFonts w:cs="Arial"/>
          <w:szCs w:val="20"/>
        </w:rPr>
        <w:t xml:space="preserve">ibutions declared, made or paid </w:t>
      </w:r>
      <w:r w:rsidRPr="00DE5D68">
        <w:rPr>
          <w:rFonts w:cs="Arial"/>
          <w:szCs w:val="20"/>
        </w:rPr>
        <w:t xml:space="preserve">on the </w:t>
      </w:r>
      <w:r w:rsidR="00521B01">
        <w:rPr>
          <w:rFonts w:cs="Arial"/>
          <w:szCs w:val="20"/>
        </w:rPr>
        <w:t xml:space="preserve">Ordinary </w:t>
      </w:r>
      <w:r w:rsidRPr="00DE5D68" w:rsidR="00140CB9">
        <w:rPr>
          <w:rFonts w:cs="Arial"/>
          <w:szCs w:val="20"/>
        </w:rPr>
        <w:t>Shares</w:t>
      </w:r>
      <w:r w:rsidRPr="00DE5D68">
        <w:rPr>
          <w:rFonts w:cs="Arial"/>
          <w:szCs w:val="20"/>
        </w:rPr>
        <w:t xml:space="preserve"> by reference to a record date prior t</w:t>
      </w:r>
      <w:r w:rsidRPr="00DE5D68" w:rsidR="003E6384">
        <w:rPr>
          <w:rFonts w:cs="Arial"/>
          <w:szCs w:val="20"/>
        </w:rPr>
        <w:t xml:space="preserve">o the </w:t>
      </w:r>
      <w:r w:rsidRPr="00DE5D68" w:rsidR="009B2499">
        <w:rPr>
          <w:rFonts w:cs="Arial"/>
          <w:szCs w:val="20"/>
        </w:rPr>
        <w:t xml:space="preserve">issue </w:t>
      </w:r>
      <w:r w:rsidRPr="00DE5D68" w:rsidR="003E6384">
        <w:rPr>
          <w:rFonts w:cs="Arial"/>
          <w:szCs w:val="20"/>
        </w:rPr>
        <w:t xml:space="preserve">of the relevant </w:t>
      </w:r>
      <w:r w:rsidR="00521B01">
        <w:rPr>
          <w:rFonts w:cs="Arial"/>
          <w:szCs w:val="20"/>
        </w:rPr>
        <w:t xml:space="preserve">Ordinary </w:t>
      </w:r>
      <w:r w:rsidRPr="00DE5D68" w:rsidR="00140CB9">
        <w:rPr>
          <w:rFonts w:cs="Arial"/>
          <w:szCs w:val="20"/>
        </w:rPr>
        <w:t>Shares</w:t>
      </w:r>
      <w:r w:rsidRPr="00DE5D68">
        <w:rPr>
          <w:rFonts w:cs="Arial"/>
          <w:szCs w:val="20"/>
        </w:rPr>
        <w:t>).</w:t>
      </w:r>
    </w:p>
    <w:p w:rsidRPr="00DE5D68" w:rsidR="008419F2" w:rsidP="00565AD4" w:rsidRDefault="008419F2" w14:paraId="326D4437" w14:textId="75C449FD">
      <w:pPr>
        <w:pStyle w:val="Heading1"/>
        <w:numPr>
          <w:ilvl w:val="0"/>
          <w:numId w:val="38"/>
        </w:numPr>
        <w:ind w:hanging="720"/>
        <w:rPr>
          <w:rFonts w:cs="Arial"/>
          <w:caps w:val="0"/>
        </w:rPr>
      </w:pPr>
      <w:r w:rsidRPr="00DE5D68">
        <w:rPr>
          <w:rFonts w:cs="Arial"/>
          <w:caps w:val="0"/>
        </w:rPr>
        <w:t>CREST</w:t>
      </w:r>
    </w:p>
    <w:p w:rsidRPr="00DE5D68" w:rsidR="00690F98" w:rsidP="00C27D12" w:rsidRDefault="00690F98" w14:paraId="095A5EF8" w14:textId="66D6AD4A">
      <w:pPr>
        <w:autoSpaceDE w:val="0"/>
        <w:autoSpaceDN w:val="0"/>
        <w:adjustRightInd w:val="0"/>
        <w:snapToGrid w:val="0"/>
        <w:rPr>
          <w:rFonts w:cs="Arial"/>
          <w:szCs w:val="20"/>
        </w:rPr>
      </w:pPr>
      <w:r w:rsidRPr="00DE5D68">
        <w:rPr>
          <w:rFonts w:cs="Arial"/>
          <w:szCs w:val="20"/>
        </w:rPr>
        <w:t xml:space="preserve">CREST is a paperless settlement procedure enabling securities to be evidenced otherwise than by a certificate and transferred otherwise than by written instrument. The Articles permit the holding of </w:t>
      </w:r>
      <w:r w:rsidR="008C26C4">
        <w:rPr>
          <w:rFonts w:cs="Arial"/>
          <w:szCs w:val="20"/>
        </w:rPr>
        <w:t>Ordinary</w:t>
      </w:r>
      <w:r w:rsidRPr="00DE5D68" w:rsidR="008C26C4">
        <w:rPr>
          <w:rFonts w:cs="Arial"/>
          <w:szCs w:val="20"/>
        </w:rPr>
        <w:t xml:space="preserve"> </w:t>
      </w:r>
      <w:r w:rsidRPr="00DE5D68" w:rsidR="00140CB9">
        <w:rPr>
          <w:rFonts w:cs="Arial"/>
          <w:szCs w:val="20"/>
        </w:rPr>
        <w:t>Shares</w:t>
      </w:r>
      <w:r w:rsidRPr="00DE5D68">
        <w:rPr>
          <w:rFonts w:cs="Arial"/>
          <w:szCs w:val="20"/>
        </w:rPr>
        <w:t xml:space="preserve"> under the CREST system. The Company shall apply for the </w:t>
      </w:r>
      <w:r w:rsidR="008C26C4">
        <w:rPr>
          <w:rFonts w:cs="Arial"/>
          <w:szCs w:val="20"/>
        </w:rPr>
        <w:t>Ordinary</w:t>
      </w:r>
      <w:r w:rsidRPr="00DE5D68" w:rsidR="008C26C4">
        <w:rPr>
          <w:rFonts w:cs="Arial"/>
          <w:szCs w:val="20"/>
        </w:rPr>
        <w:t xml:space="preserve"> </w:t>
      </w:r>
      <w:r w:rsidRPr="00DE5D68" w:rsidR="00140CB9">
        <w:rPr>
          <w:rFonts w:cs="Arial"/>
          <w:szCs w:val="20"/>
        </w:rPr>
        <w:t>Shares</w:t>
      </w:r>
      <w:r w:rsidRPr="00DE5D68">
        <w:rPr>
          <w:rFonts w:cs="Arial"/>
          <w:szCs w:val="20"/>
        </w:rPr>
        <w:t xml:space="preserve"> offered under the Placing Programme to be admitted to</w:t>
      </w:r>
      <w:r w:rsidR="009578EE">
        <w:rPr>
          <w:rFonts w:cs="Arial"/>
          <w:szCs w:val="20"/>
        </w:rPr>
        <w:t xml:space="preserve"> </w:t>
      </w:r>
      <w:r w:rsidRPr="00DE5D68">
        <w:rPr>
          <w:rFonts w:cs="Arial"/>
          <w:szCs w:val="20"/>
        </w:rPr>
        <w:t xml:space="preserve">CREST with effect from Admission. Accordingly, settlement of </w:t>
      </w:r>
      <w:r w:rsidRPr="00DE5D68">
        <w:rPr>
          <w:rFonts w:cs="Arial"/>
          <w:szCs w:val="20"/>
        </w:rPr>
        <w:lastRenderedPageBreak/>
        <w:t xml:space="preserve">transactions in the </w:t>
      </w:r>
      <w:r w:rsidR="008C26C4">
        <w:rPr>
          <w:rFonts w:cs="Arial"/>
          <w:szCs w:val="20"/>
        </w:rPr>
        <w:t>Ordinary</w:t>
      </w:r>
      <w:r w:rsidRPr="00DE5D68" w:rsidR="008C26C4">
        <w:rPr>
          <w:rFonts w:cs="Arial"/>
          <w:szCs w:val="20"/>
        </w:rPr>
        <w:t xml:space="preserve"> </w:t>
      </w:r>
      <w:r w:rsidRPr="00DE5D68" w:rsidR="00140CB9">
        <w:rPr>
          <w:rFonts w:cs="Arial"/>
          <w:szCs w:val="20"/>
        </w:rPr>
        <w:t>Shares</w:t>
      </w:r>
      <w:r w:rsidRPr="00DE5D68">
        <w:rPr>
          <w:rFonts w:cs="Arial"/>
          <w:szCs w:val="20"/>
        </w:rPr>
        <w:t xml:space="preserve"> following an Admission may take place within the CREST system if</w:t>
      </w:r>
      <w:r w:rsidRPr="00DE5D68" w:rsidR="00512916">
        <w:rPr>
          <w:rFonts w:cs="Arial"/>
          <w:szCs w:val="20"/>
        </w:rPr>
        <w:t xml:space="preserve"> </w:t>
      </w:r>
      <w:r w:rsidRPr="00DE5D68">
        <w:rPr>
          <w:rFonts w:cs="Arial"/>
          <w:szCs w:val="20"/>
        </w:rPr>
        <w:t>any holder of such</w:t>
      </w:r>
      <w:r w:rsidRPr="00DE5D68" w:rsidR="00351C49">
        <w:rPr>
          <w:rFonts w:cs="Arial"/>
          <w:szCs w:val="20"/>
        </w:rPr>
        <w:t xml:space="preserve"> </w:t>
      </w:r>
      <w:r w:rsidR="008C26C4">
        <w:rPr>
          <w:rFonts w:cs="Arial"/>
          <w:szCs w:val="20"/>
        </w:rPr>
        <w:t>Ordinary</w:t>
      </w:r>
      <w:r w:rsidRPr="00DE5D68" w:rsidR="008C26C4">
        <w:rPr>
          <w:rFonts w:cs="Arial"/>
          <w:szCs w:val="20"/>
        </w:rPr>
        <w:t xml:space="preserve"> </w:t>
      </w:r>
      <w:r w:rsidRPr="00DE5D68" w:rsidR="00140CB9">
        <w:rPr>
          <w:rFonts w:cs="Arial"/>
          <w:szCs w:val="20"/>
        </w:rPr>
        <w:t>Shares</w:t>
      </w:r>
      <w:r w:rsidRPr="00DE5D68">
        <w:rPr>
          <w:rFonts w:cs="Arial"/>
          <w:szCs w:val="20"/>
        </w:rPr>
        <w:t xml:space="preserve"> so wishes.</w:t>
      </w:r>
    </w:p>
    <w:p w:rsidRPr="00DE5D68" w:rsidR="008419F2" w:rsidP="00565AD4" w:rsidRDefault="00F9129E" w14:paraId="272D009D" w14:textId="4E3CBEFD">
      <w:pPr>
        <w:pStyle w:val="Heading1"/>
        <w:numPr>
          <w:ilvl w:val="0"/>
          <w:numId w:val="38"/>
        </w:numPr>
        <w:ind w:hanging="720"/>
        <w:rPr>
          <w:rFonts w:cs="Arial"/>
          <w:caps w:val="0"/>
        </w:rPr>
      </w:pPr>
      <w:r w:rsidRPr="00DE5D68">
        <w:rPr>
          <w:rFonts w:cs="Arial"/>
          <w:caps w:val="0"/>
        </w:rPr>
        <w:t>OVERSEAS PERSONS</w:t>
      </w:r>
    </w:p>
    <w:p w:rsidRPr="00DE5D68" w:rsidR="001648ED" w:rsidP="00C27D12" w:rsidRDefault="001648ED" w14:paraId="44A33C09" w14:textId="4BA09B21">
      <w:pPr>
        <w:autoSpaceDE w:val="0"/>
        <w:autoSpaceDN w:val="0"/>
        <w:adjustRightInd w:val="0"/>
        <w:snapToGrid w:val="0"/>
        <w:rPr>
          <w:rFonts w:cs="Arial"/>
          <w:szCs w:val="20"/>
        </w:rPr>
      </w:pPr>
      <w:r w:rsidRPr="00DE5D68">
        <w:rPr>
          <w:rFonts w:cs="Arial"/>
          <w:szCs w:val="20"/>
        </w:rPr>
        <w:t>The attention of potential investors who are Overseas Persons is drawn to the paragraphs below.</w:t>
      </w:r>
    </w:p>
    <w:p w:rsidRPr="00DE5D68" w:rsidR="001648ED" w:rsidP="00C27D12" w:rsidRDefault="001648ED" w14:paraId="58E9B25E" w14:textId="791A9C08">
      <w:pPr>
        <w:autoSpaceDE w:val="0"/>
        <w:autoSpaceDN w:val="0"/>
        <w:adjustRightInd w:val="0"/>
        <w:snapToGrid w:val="0"/>
        <w:rPr>
          <w:rFonts w:cs="Arial"/>
          <w:szCs w:val="20"/>
        </w:rPr>
      </w:pPr>
      <w:r w:rsidRPr="00DE5D68">
        <w:rPr>
          <w:rFonts w:cs="Arial"/>
          <w:szCs w:val="20"/>
        </w:rPr>
        <w:t xml:space="preserve">The offer of </w:t>
      </w:r>
      <w:r w:rsidR="008C26C4">
        <w:rPr>
          <w:rFonts w:cs="Arial"/>
          <w:szCs w:val="20"/>
        </w:rPr>
        <w:t>Ordinary</w:t>
      </w:r>
      <w:r w:rsidRPr="00DE5D68" w:rsidR="008C26C4">
        <w:rPr>
          <w:rFonts w:cs="Arial"/>
          <w:szCs w:val="20"/>
        </w:rPr>
        <w:t xml:space="preserve"> </w:t>
      </w:r>
      <w:r w:rsidRPr="00DE5D68" w:rsidR="00140CB9">
        <w:rPr>
          <w:rFonts w:cs="Arial"/>
          <w:szCs w:val="20"/>
        </w:rPr>
        <w:t>Shares</w:t>
      </w:r>
      <w:r w:rsidRPr="00DE5D68">
        <w:rPr>
          <w:rFonts w:cs="Arial"/>
          <w:szCs w:val="20"/>
        </w:rPr>
        <w:t xml:space="preserve"> under the Placing Programme to Overseas Persons may be affected by the laws of the relevant jurisdictions. Such persons should consult their professional advisers as to whether they require any government or other consents or need to observe any applicable legal requirements to enable them to obtain </w:t>
      </w:r>
      <w:r w:rsidR="008C26C4">
        <w:rPr>
          <w:rFonts w:cs="Arial"/>
          <w:szCs w:val="20"/>
        </w:rPr>
        <w:t>Ordinary</w:t>
      </w:r>
      <w:r w:rsidRPr="00DE5D68" w:rsidR="008C26C4">
        <w:rPr>
          <w:rFonts w:cs="Arial"/>
          <w:szCs w:val="20"/>
        </w:rPr>
        <w:t xml:space="preserve"> </w:t>
      </w:r>
      <w:r w:rsidRPr="00DE5D68" w:rsidR="00140CB9">
        <w:rPr>
          <w:rFonts w:cs="Arial"/>
          <w:szCs w:val="20"/>
        </w:rPr>
        <w:t>Shares</w:t>
      </w:r>
      <w:r w:rsidRPr="00DE5D68">
        <w:rPr>
          <w:rFonts w:cs="Arial"/>
          <w:szCs w:val="20"/>
        </w:rPr>
        <w:t xml:space="preserve"> under the Placing Programme. It is the responsibility of all Overseas Persons receiving this document and/or wishing to subscribe for </w:t>
      </w:r>
      <w:r w:rsidR="008C26C4">
        <w:rPr>
          <w:rFonts w:cs="Arial"/>
          <w:szCs w:val="20"/>
        </w:rPr>
        <w:t>Ordinary</w:t>
      </w:r>
      <w:r w:rsidRPr="00DE5D68" w:rsidR="008C26C4">
        <w:rPr>
          <w:rFonts w:cs="Arial"/>
          <w:szCs w:val="20"/>
        </w:rPr>
        <w:t xml:space="preserve"> </w:t>
      </w:r>
      <w:r w:rsidRPr="00DE5D68" w:rsidR="00140CB9">
        <w:rPr>
          <w:rFonts w:cs="Arial"/>
          <w:szCs w:val="20"/>
        </w:rPr>
        <w:t>Shares</w:t>
      </w:r>
      <w:r w:rsidRPr="00DE5D68">
        <w:rPr>
          <w:rFonts w:cs="Arial"/>
          <w:szCs w:val="20"/>
        </w:rPr>
        <w:t xml:space="preserve"> under the Placing Programme to satisfy themselves as to full observance of the laws of the relevant territory in connection therewith, including obtaining all necessary governmental or other consents that may be required and observing all other formalities needing to be observed and paying any </w:t>
      </w:r>
      <w:r w:rsidRPr="00DE5D68" w:rsidR="00846DD0">
        <w:rPr>
          <w:rFonts w:cs="Arial"/>
          <w:szCs w:val="20"/>
        </w:rPr>
        <w:t>i</w:t>
      </w:r>
      <w:r w:rsidRPr="00DE5D68" w:rsidR="000C0D70">
        <w:rPr>
          <w:rFonts w:cs="Arial"/>
          <w:szCs w:val="20"/>
        </w:rPr>
        <w:t>ssue</w:t>
      </w:r>
      <w:r w:rsidRPr="00DE5D68">
        <w:rPr>
          <w:rFonts w:cs="Arial"/>
          <w:szCs w:val="20"/>
        </w:rPr>
        <w:t>, transfer or other taxes due in such territory.</w:t>
      </w:r>
    </w:p>
    <w:p w:rsidRPr="00DE5D68" w:rsidR="001648ED" w:rsidP="00C27D12" w:rsidRDefault="001648ED" w14:paraId="79DFF75E" w14:textId="152D3DA7">
      <w:pPr>
        <w:autoSpaceDE w:val="0"/>
        <w:autoSpaceDN w:val="0"/>
        <w:adjustRightInd w:val="0"/>
        <w:snapToGrid w:val="0"/>
        <w:rPr>
          <w:rFonts w:cs="Arial"/>
          <w:szCs w:val="20"/>
        </w:rPr>
      </w:pPr>
      <w:r w:rsidRPr="00DE5D68">
        <w:rPr>
          <w:rFonts w:cs="Arial"/>
          <w:szCs w:val="20"/>
        </w:rPr>
        <w:t>No person receiving a copy of this document in any territory other than the UK may treat the same as constituting an offer or invitation to him/her under the Placing Programme, unless in the relevant territory such an offer can lawfully be made to him/her without compliance with any further registration or other legal requirements.</w:t>
      </w:r>
    </w:p>
    <w:p w:rsidRPr="00DE5D68" w:rsidR="001648ED" w:rsidP="00C27D12" w:rsidRDefault="001648ED" w14:paraId="4F674FA3" w14:textId="6B003078">
      <w:pPr>
        <w:autoSpaceDE w:val="0"/>
        <w:autoSpaceDN w:val="0"/>
        <w:adjustRightInd w:val="0"/>
        <w:snapToGrid w:val="0"/>
        <w:rPr>
          <w:rFonts w:cs="Arial"/>
          <w:szCs w:val="20"/>
        </w:rPr>
      </w:pPr>
      <w:r w:rsidRPr="00DE5D68">
        <w:rPr>
          <w:rFonts w:cs="Arial"/>
          <w:szCs w:val="20"/>
        </w:rPr>
        <w:t xml:space="preserve">Persons (including, without limitation, nominees and trustees) receiving this document may not distribute or send it to any U.S. Person or in or into the United States or any other jurisdiction where to do so would or might contravene local securities laws or regulations. In particular, investors should note that the Company has not, and will not be, registered under the U.S. Investment Company Act and the offer, </w:t>
      </w:r>
      <w:r w:rsidRPr="00DE5D68" w:rsidR="00846DD0">
        <w:rPr>
          <w:rFonts w:cs="Arial"/>
          <w:szCs w:val="20"/>
        </w:rPr>
        <w:t>i</w:t>
      </w:r>
      <w:r w:rsidRPr="00DE5D68" w:rsidR="000C0D70">
        <w:rPr>
          <w:rFonts w:cs="Arial"/>
          <w:szCs w:val="20"/>
        </w:rPr>
        <w:t>ssue</w:t>
      </w:r>
      <w:r w:rsidRPr="00DE5D68">
        <w:rPr>
          <w:rFonts w:cs="Arial"/>
          <w:szCs w:val="20"/>
        </w:rPr>
        <w:t xml:space="preserve"> and sale of the </w:t>
      </w:r>
      <w:r w:rsidR="008C26C4">
        <w:rPr>
          <w:rFonts w:cs="Arial"/>
          <w:szCs w:val="20"/>
        </w:rPr>
        <w:t>Ordinary</w:t>
      </w:r>
      <w:r w:rsidRPr="00DE5D68" w:rsidR="008C26C4">
        <w:rPr>
          <w:rFonts w:cs="Arial"/>
          <w:szCs w:val="20"/>
        </w:rPr>
        <w:t xml:space="preserve"> </w:t>
      </w:r>
      <w:r w:rsidRPr="00DE5D68">
        <w:rPr>
          <w:rFonts w:cs="Arial"/>
          <w:szCs w:val="20"/>
        </w:rPr>
        <w:t xml:space="preserve">Shares have not been, and will not be, registered under the U.S. Securities Act or with any </w:t>
      </w:r>
      <w:proofErr w:type="gramStart"/>
      <w:r w:rsidRPr="00DE5D68">
        <w:rPr>
          <w:rFonts w:cs="Arial"/>
          <w:szCs w:val="20"/>
        </w:rPr>
        <w:t>securities</w:t>
      </w:r>
      <w:proofErr w:type="gramEnd"/>
      <w:r w:rsidRPr="00DE5D68">
        <w:rPr>
          <w:rFonts w:cs="Arial"/>
          <w:szCs w:val="20"/>
        </w:rPr>
        <w:t xml:space="preserve"> regulatory authority of any state or other jurisdiction of the United States. Accordingly, the </w:t>
      </w:r>
      <w:r w:rsidR="008C26C4">
        <w:rPr>
          <w:rFonts w:cs="Arial"/>
          <w:szCs w:val="20"/>
        </w:rPr>
        <w:t>Ordinary</w:t>
      </w:r>
      <w:r w:rsidRPr="00DE5D68" w:rsidR="008C26C4">
        <w:rPr>
          <w:rFonts w:cs="Arial"/>
          <w:szCs w:val="20"/>
        </w:rPr>
        <w:t xml:space="preserve"> </w:t>
      </w:r>
      <w:r w:rsidRPr="00DE5D68" w:rsidR="00140CB9">
        <w:rPr>
          <w:rFonts w:cs="Arial"/>
          <w:szCs w:val="20"/>
        </w:rPr>
        <w:t>Shares</w:t>
      </w:r>
      <w:r w:rsidRPr="00DE5D68">
        <w:rPr>
          <w:rFonts w:cs="Arial"/>
          <w:szCs w:val="20"/>
        </w:rPr>
        <w:t xml:space="preserve"> are only being offered and sold outside the United States to non-U.S. Persons in reliance on the exemption from the registration requirements of the U.S. Securities Act provided by Regulation S thereunder. The </w:t>
      </w:r>
      <w:r w:rsidR="008C26C4">
        <w:rPr>
          <w:rFonts w:cs="Arial"/>
          <w:szCs w:val="20"/>
        </w:rPr>
        <w:t>Ordinary</w:t>
      </w:r>
      <w:r w:rsidRPr="00DE5D68" w:rsidR="008C26C4">
        <w:rPr>
          <w:rFonts w:cs="Arial"/>
          <w:szCs w:val="20"/>
        </w:rPr>
        <w:t xml:space="preserve"> </w:t>
      </w:r>
      <w:r w:rsidRPr="00DE5D68" w:rsidR="00140CB9">
        <w:rPr>
          <w:rFonts w:cs="Arial"/>
          <w:szCs w:val="20"/>
        </w:rPr>
        <w:t>Shares</w:t>
      </w:r>
      <w:r w:rsidRPr="00DE5D68">
        <w:rPr>
          <w:rFonts w:cs="Arial"/>
          <w:szCs w:val="20"/>
        </w:rPr>
        <w:t xml:space="preserve"> may not be offered, sold, pledged or otherwise transferred or delivered, directly or indirectly, within the United States or to, or for the account or benefit of, any U.S. Person, except pursuant to an exemption from, or in a transaction not subject to, the registration requirements of the U.S.</w:t>
      </w:r>
      <w:r w:rsidR="00EE3ACA">
        <w:rPr>
          <w:rFonts w:cs="Arial"/>
          <w:szCs w:val="20"/>
        </w:rPr>
        <w:t xml:space="preserve"> </w:t>
      </w:r>
      <w:r w:rsidRPr="00DE5D68">
        <w:rPr>
          <w:rFonts w:cs="Arial"/>
          <w:szCs w:val="20"/>
        </w:rPr>
        <w:t>Securities Act and in compliance with any applicable securities laws of any state or other jurisdiction in the United States.</w:t>
      </w:r>
    </w:p>
    <w:p w:rsidRPr="00DE5D68" w:rsidR="001648ED" w:rsidP="00C27D12" w:rsidRDefault="001648ED" w14:paraId="338E4708" w14:textId="534E6129">
      <w:pPr>
        <w:autoSpaceDE w:val="0"/>
        <w:autoSpaceDN w:val="0"/>
        <w:adjustRightInd w:val="0"/>
        <w:snapToGrid w:val="0"/>
        <w:rPr>
          <w:rFonts w:cs="Arial"/>
          <w:szCs w:val="20"/>
        </w:rPr>
      </w:pPr>
      <w:r w:rsidRPr="00DE5D68">
        <w:rPr>
          <w:rFonts w:cs="Arial"/>
          <w:szCs w:val="20"/>
        </w:rPr>
        <w:t xml:space="preserve">The Company reserves the right to treat as invalid any agreement to subscribe for </w:t>
      </w:r>
      <w:r w:rsidR="008C26C4">
        <w:rPr>
          <w:rFonts w:cs="Arial"/>
          <w:szCs w:val="20"/>
        </w:rPr>
        <w:t>Ordinary</w:t>
      </w:r>
      <w:r w:rsidRPr="00DE5D68" w:rsidR="008C26C4">
        <w:rPr>
          <w:rFonts w:cs="Arial"/>
          <w:szCs w:val="20"/>
        </w:rPr>
        <w:t xml:space="preserve"> </w:t>
      </w:r>
      <w:r w:rsidRPr="00DE5D68" w:rsidR="00140CB9">
        <w:rPr>
          <w:rFonts w:cs="Arial"/>
          <w:szCs w:val="20"/>
        </w:rPr>
        <w:t>Shares</w:t>
      </w:r>
      <w:r w:rsidRPr="00DE5D68">
        <w:rPr>
          <w:rFonts w:cs="Arial"/>
          <w:szCs w:val="20"/>
        </w:rPr>
        <w:t xml:space="preserve"> under the Placing Programme if it appears to the Company or its agents to have been entered into in a manner that may involve a breach of the securities legislation of any jurisdiction.</w:t>
      </w:r>
    </w:p>
    <w:p w:rsidRPr="00DE5D68" w:rsidR="00F7583B" w:rsidP="00565AD4" w:rsidRDefault="008419F2" w14:paraId="7D3C3A30" w14:textId="5603B39E">
      <w:pPr>
        <w:pStyle w:val="Heading1"/>
        <w:numPr>
          <w:ilvl w:val="0"/>
          <w:numId w:val="38"/>
        </w:numPr>
        <w:ind w:hanging="720"/>
        <w:rPr>
          <w:rFonts w:cs="Arial"/>
          <w:caps w:val="0"/>
        </w:rPr>
      </w:pPr>
      <w:r w:rsidRPr="00DE5D68">
        <w:rPr>
          <w:rFonts w:cs="Arial"/>
          <w:caps w:val="0"/>
        </w:rPr>
        <w:t>PROFILE OF A TYPICAL INVESTOR</w:t>
      </w:r>
    </w:p>
    <w:p w:rsidRPr="00251547" w:rsidR="00507A16" w:rsidP="00507A16" w:rsidRDefault="00507A16" w14:paraId="6E667B6F" w14:textId="77777777">
      <w:pPr>
        <w:pStyle w:val="2style"/>
        <w:jc w:val="both"/>
      </w:pPr>
      <w:r w:rsidRPr="00BA2452">
        <w:rPr>
          <w:color w:val="000000"/>
          <w:lang w:val="x-none"/>
        </w:rPr>
        <w:t>The Specialist Fund Segment is intended for institutional, professional, professionally advised and</w:t>
      </w:r>
      <w:r>
        <w:rPr>
          <w:color w:val="000000"/>
        </w:rPr>
        <w:t xml:space="preserve"> </w:t>
      </w:r>
      <w:r w:rsidRPr="00251547">
        <w:t xml:space="preserve">knowledgeable </w:t>
      </w:r>
      <w:r w:rsidRPr="002368F9">
        <w:t>investors</w:t>
      </w:r>
      <w:r w:rsidRPr="00251547">
        <w:t xml:space="preserve"> who understand, or who have been advised of the potential risk of investing in companies admitted to the Specialist Fund Segment.</w:t>
      </w:r>
    </w:p>
    <w:p w:rsidR="00507A16" w:rsidP="00507A16" w:rsidRDefault="00507A16" w14:paraId="6C9A3B58" w14:textId="77777777">
      <w:pPr>
        <w:pStyle w:val="2style"/>
        <w:jc w:val="both"/>
      </w:pPr>
      <w:r w:rsidRPr="00251547">
        <w:t>The Ordinary Shares are designed to be suitable for institutional investors and private investors. Accordingly, typical investors in the Ordinary Shares are expected to be institutional investors, private clients through their wealth managers, experienced investors, high net worth investors, professionally advised investors and knowledgeable unadvised retail investors who have taken appropriate steps to ensure that they understand the risks involved in investing in the Company and who have sufficient resources to be able to bear any losses (which may equal the whole amount invested) that may result from such an investment.</w:t>
      </w:r>
    </w:p>
    <w:p w:rsidRPr="00251547" w:rsidR="00D56F21" w:rsidP="00D56F21" w:rsidRDefault="00D56F21" w14:paraId="1FBB6192" w14:textId="7BB20098">
      <w:pPr>
        <w:pStyle w:val="2style"/>
        <w:jc w:val="both"/>
      </w:pPr>
      <w:r>
        <w:t>In relation to the Placing Programme, Singer Capital Markets</w:t>
      </w:r>
      <w:r w:rsidRPr="000C0D70">
        <w:t xml:space="preserve"> will only procure investors who meet the criteria of professional clients and eligible counterparties</w:t>
      </w:r>
      <w:r>
        <w:t>.</w:t>
      </w:r>
    </w:p>
    <w:p w:rsidRPr="00507A16" w:rsidR="00002DB6" w:rsidP="00507A16" w:rsidRDefault="00507A16" w14:paraId="06CAA57D" w14:textId="0B9D7AE3">
      <w:pPr>
        <w:spacing w:after="0"/>
        <w:rPr>
          <w:rFonts w:cs="Arial"/>
          <w:color w:val="000000"/>
          <w:lang w:val="en-US"/>
        </w:rPr>
      </w:pPr>
      <w:r w:rsidRPr="00251547">
        <w:t xml:space="preserve">Furthermore, an investment in the Ordinary Shares should constitute part of a diversified investment portfolio. </w:t>
      </w:r>
      <w:r w:rsidRPr="002368F9">
        <w:t>It</w:t>
      </w:r>
      <w:r w:rsidRPr="00251547">
        <w:t xml:space="preserve"> should be remembered that the price of securities and the income from them can</w:t>
      </w:r>
      <w:r w:rsidRPr="00507A16">
        <w:rPr>
          <w:color w:val="000000"/>
          <w:lang w:val="x-none"/>
        </w:rPr>
        <w:t xml:space="preserve"> go down as well as up. </w:t>
      </w:r>
      <w:r w:rsidRPr="00507A16" w:rsidR="00002DB6">
        <w:rPr>
          <w:color w:val="000000"/>
          <w:lang w:val="en-US"/>
        </w:rPr>
        <w:br w:type="page"/>
      </w:r>
    </w:p>
    <w:bookmarkStart w:name="_Ref65764905" w:id="208"/>
    <w:p w:rsidRPr="00DE5D68" w:rsidR="004460B1" w:rsidP="00D73005" w:rsidRDefault="004460B1" w14:paraId="1172E42C" w14:textId="6FE3C817">
      <w:pPr>
        <w:pStyle w:val="Part"/>
        <w:rPr>
          <w:b/>
        </w:rPr>
      </w:pPr>
      <w:r w:rsidRPr="00DE5D68">
        <w:rPr>
          <w:b/>
        </w:rPr>
        <w:lastRenderedPageBreak/>
        <w:fldChar w:fldCharType="begin"/>
      </w:r>
      <w:r w:rsidRPr="00DE5D68">
        <w:instrText xml:space="preserve"> TC </w:instrText>
      </w:r>
      <w:r w:rsidRPr="00DE5D68" w:rsidR="00170F35">
        <w:instrText>"</w:instrText>
      </w:r>
      <w:bookmarkStart w:name="_Toc493520584" w:id="209"/>
      <w:bookmarkStart w:name="_Toc78485977" w:id="210"/>
      <w:bookmarkStart w:name="_Toc190288035" w:id="211"/>
      <w:r w:rsidRPr="00DE5D68">
        <w:instrText xml:space="preserve">PART </w:instrText>
      </w:r>
      <w:r w:rsidR="0030744B">
        <w:instrText>5</w:instrText>
      </w:r>
      <w:r w:rsidRPr="00DE5D68" w:rsidR="00780E1C">
        <w:instrText xml:space="preserve"> </w:instrText>
      </w:r>
      <w:r w:rsidRPr="00DE5D68">
        <w:instrText xml:space="preserve">– </w:instrText>
      </w:r>
      <w:bookmarkEnd w:id="209"/>
      <w:r w:rsidRPr="00DE5D68" w:rsidR="00EB69E3">
        <w:instrText>TAXATION</w:instrText>
      </w:r>
      <w:bookmarkEnd w:id="210"/>
      <w:bookmarkEnd w:id="211"/>
      <w:r w:rsidRPr="00DE5D68" w:rsidR="00170F35">
        <w:instrText>"</w:instrText>
      </w:r>
      <w:r w:rsidRPr="00DE5D68">
        <w:instrText xml:space="preserve"> \f C \l </w:instrText>
      </w:r>
      <w:r w:rsidRPr="00DE5D68" w:rsidR="00170F35">
        <w:instrText>"</w:instrText>
      </w:r>
      <w:r w:rsidRPr="00DE5D68">
        <w:instrText>1</w:instrText>
      </w:r>
      <w:r w:rsidRPr="00DE5D68" w:rsidR="00170F35">
        <w:instrText>"</w:instrText>
      </w:r>
      <w:r w:rsidRPr="00DE5D68">
        <w:instrText xml:space="preserve"> </w:instrText>
      </w:r>
      <w:r w:rsidRPr="00DE5D68">
        <w:rPr>
          <w:b/>
        </w:rPr>
        <w:fldChar w:fldCharType="end"/>
      </w:r>
      <w:bookmarkEnd w:id="208"/>
    </w:p>
    <w:p w:rsidRPr="00DE5D68" w:rsidR="00416E9A" w:rsidP="00C27D12" w:rsidRDefault="00EB69E3" w14:paraId="24947BFF" w14:textId="27E3F0E4">
      <w:pPr>
        <w:jc w:val="center"/>
        <w:rPr>
          <w:rFonts w:cs="Arial"/>
          <w:b/>
        </w:rPr>
      </w:pPr>
      <w:r w:rsidRPr="00DE5D68">
        <w:rPr>
          <w:rFonts w:cs="Arial"/>
          <w:b/>
        </w:rPr>
        <w:t xml:space="preserve">TAXATION </w:t>
      </w:r>
    </w:p>
    <w:p w:rsidRPr="00DE5D68" w:rsidR="007B6A5A" w:rsidP="00C27D12" w:rsidRDefault="003B5E8F" w14:paraId="6AB9110D" w14:textId="6C17004E">
      <w:pPr>
        <w:textAlignment w:val="baseline"/>
        <w:rPr>
          <w:rFonts w:cs="Arial"/>
          <w:b/>
          <w:szCs w:val="20"/>
        </w:rPr>
      </w:pPr>
      <w:r w:rsidRPr="00DE5D68">
        <w:rPr>
          <w:rFonts w:cs="Arial"/>
          <w:b/>
          <w:szCs w:val="20"/>
        </w:rPr>
        <w:t xml:space="preserve">Prospective investors should consult their professional advisers concerning the possible tax consequences of their subscribing for, purchasing, holding or selling </w:t>
      </w:r>
      <w:r w:rsidR="00966322">
        <w:rPr>
          <w:rFonts w:cs="Arial"/>
          <w:b/>
          <w:szCs w:val="20"/>
        </w:rPr>
        <w:t xml:space="preserve">Ordinary </w:t>
      </w:r>
      <w:r w:rsidRPr="00DE5D68" w:rsidR="00140CB9">
        <w:rPr>
          <w:rFonts w:cs="Arial"/>
          <w:b/>
          <w:szCs w:val="20"/>
        </w:rPr>
        <w:t>Shares</w:t>
      </w:r>
      <w:r w:rsidRPr="00DE5D68">
        <w:rPr>
          <w:rFonts w:cs="Arial"/>
          <w:b/>
          <w:szCs w:val="20"/>
        </w:rPr>
        <w:t xml:space="preserve">. The following summary of the principal </w:t>
      </w:r>
      <w:r w:rsidRPr="00DE5D68" w:rsidR="007B6A5A">
        <w:rPr>
          <w:rFonts w:cs="Arial"/>
          <w:b/>
          <w:szCs w:val="20"/>
        </w:rPr>
        <w:t xml:space="preserve">Guernsey and </w:t>
      </w:r>
      <w:r w:rsidRPr="00DE5D68">
        <w:rPr>
          <w:rFonts w:cs="Arial"/>
          <w:b/>
          <w:szCs w:val="20"/>
        </w:rPr>
        <w:t>United Kingdom tax consequences applicable to the Company and its Shareholders is based upon interpretations of existing laws in effect on the date of this document and no assurance can be given that courts or fiscal authorities responsible for the administration of such laws will agree with the int</w:t>
      </w:r>
      <w:r w:rsidRPr="00DE5D68" w:rsidR="007C7DB2">
        <w:rPr>
          <w:rFonts w:cs="Arial"/>
          <w:b/>
          <w:szCs w:val="20"/>
        </w:rPr>
        <w:t xml:space="preserve">erpretations or that changes in </w:t>
      </w:r>
      <w:r w:rsidRPr="00DE5D68">
        <w:rPr>
          <w:rFonts w:cs="Arial"/>
          <w:b/>
          <w:szCs w:val="20"/>
        </w:rPr>
        <w:t>such laws will not occur. The tax and other matters described in this document are not intended as legal or tax advice. Each prosp</w:t>
      </w:r>
      <w:r w:rsidRPr="00DE5D68" w:rsidR="0036784B">
        <w:rPr>
          <w:rFonts w:cs="Arial"/>
          <w:b/>
          <w:szCs w:val="20"/>
        </w:rPr>
        <w:t xml:space="preserve">ective investor must consult </w:t>
      </w:r>
      <w:r w:rsidRPr="00DE5D68" w:rsidR="005273BA">
        <w:rPr>
          <w:rFonts w:cs="Arial"/>
          <w:b/>
          <w:szCs w:val="20"/>
        </w:rPr>
        <w:t>its</w:t>
      </w:r>
      <w:r w:rsidRPr="00DE5D68">
        <w:rPr>
          <w:rFonts w:cs="Arial"/>
          <w:b/>
          <w:szCs w:val="20"/>
        </w:rPr>
        <w:t xml:space="preserve"> own advisers with regard to the tax consequences of an investment in</w:t>
      </w:r>
      <w:r w:rsidRPr="00DE5D68" w:rsidR="00B75899">
        <w:rPr>
          <w:rFonts w:cs="Arial"/>
          <w:b/>
          <w:szCs w:val="20"/>
        </w:rPr>
        <w:t xml:space="preserve"> </w:t>
      </w:r>
      <w:r w:rsidR="00966322">
        <w:rPr>
          <w:rFonts w:cs="Arial"/>
          <w:b/>
          <w:szCs w:val="20"/>
        </w:rPr>
        <w:t xml:space="preserve">Ordinary </w:t>
      </w:r>
      <w:r w:rsidRPr="00DE5D68" w:rsidR="00140CB9">
        <w:rPr>
          <w:rFonts w:cs="Arial"/>
          <w:b/>
          <w:szCs w:val="20"/>
        </w:rPr>
        <w:t>Shares</w:t>
      </w:r>
      <w:r w:rsidRPr="00DE5D68">
        <w:rPr>
          <w:rFonts w:cs="Arial"/>
          <w:b/>
          <w:szCs w:val="20"/>
        </w:rPr>
        <w:t>. None of the</w:t>
      </w:r>
      <w:r w:rsidRPr="00DE5D68" w:rsidR="00BF14A1">
        <w:rPr>
          <w:rFonts w:cs="Arial"/>
          <w:b/>
          <w:szCs w:val="20"/>
        </w:rPr>
        <w:t xml:space="preserve"> Company,</w:t>
      </w:r>
      <w:r w:rsidRPr="00DE5D68">
        <w:rPr>
          <w:rFonts w:cs="Arial"/>
          <w:b/>
          <w:szCs w:val="20"/>
        </w:rPr>
        <w:t xml:space="preserve"> </w:t>
      </w:r>
      <w:r w:rsidRPr="00DE5D68" w:rsidR="00C413F8">
        <w:rPr>
          <w:rFonts w:cs="Arial"/>
          <w:b/>
          <w:szCs w:val="20"/>
        </w:rPr>
        <w:t xml:space="preserve">the </w:t>
      </w:r>
      <w:r w:rsidRPr="00DE5D68">
        <w:rPr>
          <w:rFonts w:cs="Arial"/>
          <w:b/>
          <w:szCs w:val="20"/>
        </w:rPr>
        <w:t>Dir</w:t>
      </w:r>
      <w:r w:rsidRPr="00DE5D68" w:rsidR="00D7789B">
        <w:rPr>
          <w:rFonts w:cs="Arial"/>
          <w:b/>
          <w:szCs w:val="20"/>
        </w:rPr>
        <w:t xml:space="preserve">ectors, </w:t>
      </w:r>
      <w:r w:rsidR="00966322">
        <w:rPr>
          <w:rFonts w:cs="Arial"/>
          <w:b/>
          <w:szCs w:val="20"/>
        </w:rPr>
        <w:t>Singer Capital Markets</w:t>
      </w:r>
      <w:r w:rsidRPr="00DE5D68" w:rsidR="006E5C16">
        <w:rPr>
          <w:rFonts w:cs="Arial"/>
          <w:b/>
          <w:szCs w:val="20"/>
        </w:rPr>
        <w:t>,</w:t>
      </w:r>
      <w:r w:rsidRPr="00DE5D68" w:rsidR="00631C3F">
        <w:rPr>
          <w:rFonts w:cs="Arial"/>
          <w:b/>
          <w:szCs w:val="20"/>
        </w:rPr>
        <w:t xml:space="preserve"> </w:t>
      </w:r>
      <w:r w:rsidRPr="00DE5D68" w:rsidR="007C7DB2">
        <w:rPr>
          <w:rFonts w:cs="Arial"/>
          <w:b/>
          <w:szCs w:val="20"/>
        </w:rPr>
        <w:t xml:space="preserve">the </w:t>
      </w:r>
      <w:r w:rsidRPr="00DE5D68" w:rsidR="005273BA">
        <w:rPr>
          <w:rFonts w:cs="Arial"/>
          <w:b/>
          <w:szCs w:val="20"/>
        </w:rPr>
        <w:t>Investment</w:t>
      </w:r>
      <w:r w:rsidRPr="00DE5D68" w:rsidR="004C1E81">
        <w:rPr>
          <w:rFonts w:cs="Arial"/>
          <w:b/>
          <w:szCs w:val="20"/>
        </w:rPr>
        <w:t xml:space="preserve"> Manager</w:t>
      </w:r>
      <w:r w:rsidRPr="00DE5D68" w:rsidR="00A76B24">
        <w:rPr>
          <w:rFonts w:cs="Arial"/>
          <w:b/>
          <w:szCs w:val="20"/>
        </w:rPr>
        <w:t xml:space="preserve"> </w:t>
      </w:r>
      <w:r w:rsidRPr="00DE5D68">
        <w:rPr>
          <w:rFonts w:cs="Arial"/>
          <w:b/>
          <w:szCs w:val="20"/>
        </w:rPr>
        <w:t>or any of their respect</w:t>
      </w:r>
      <w:r w:rsidRPr="00DE5D68" w:rsidR="00D7789B">
        <w:rPr>
          <w:rFonts w:cs="Arial"/>
          <w:b/>
          <w:szCs w:val="20"/>
        </w:rPr>
        <w:t>ive affiliates or agents accept</w:t>
      </w:r>
      <w:r w:rsidRPr="00DE5D68">
        <w:rPr>
          <w:rFonts w:cs="Arial"/>
          <w:b/>
          <w:szCs w:val="20"/>
        </w:rPr>
        <w:t xml:space="preserve"> any responsibility for providing tax advice</w:t>
      </w:r>
      <w:r w:rsidRPr="00DE5D68" w:rsidR="0036784B">
        <w:rPr>
          <w:rFonts w:cs="Arial"/>
          <w:b/>
          <w:szCs w:val="20"/>
        </w:rPr>
        <w:t xml:space="preserve"> to any prospective investor</w:t>
      </w:r>
      <w:r w:rsidRPr="00DE5D68" w:rsidR="00E86836">
        <w:rPr>
          <w:rFonts w:cs="Arial"/>
          <w:b/>
          <w:szCs w:val="20"/>
        </w:rPr>
        <w:t>.</w:t>
      </w:r>
    </w:p>
    <w:p w:rsidRPr="00DE5D68" w:rsidR="007B6A5A" w:rsidP="00C27D12" w:rsidRDefault="007B6A5A" w14:paraId="2F3C01DF" w14:textId="6E674C02">
      <w:pPr>
        <w:textAlignment w:val="baseline"/>
        <w:rPr>
          <w:rFonts w:cs="Arial"/>
          <w:b/>
          <w:szCs w:val="20"/>
        </w:rPr>
      </w:pPr>
      <w:r w:rsidRPr="00DE5D68">
        <w:rPr>
          <w:rFonts w:cs="Arial"/>
          <w:b/>
          <w:szCs w:val="20"/>
        </w:rPr>
        <w:t xml:space="preserve">GUERNSEY TAXATION </w:t>
      </w:r>
    </w:p>
    <w:p w:rsidRPr="00DE5D68" w:rsidR="007C7DB2" w:rsidP="00C27D12" w:rsidRDefault="007B6A5A" w14:paraId="72A5E2B0" w14:textId="2549C360">
      <w:pPr>
        <w:keepNext/>
        <w:textAlignment w:val="baseline"/>
        <w:rPr>
          <w:rFonts w:cs="Arial"/>
          <w:b/>
          <w:i/>
          <w:szCs w:val="20"/>
        </w:rPr>
      </w:pPr>
      <w:r w:rsidRPr="00DE5D68">
        <w:rPr>
          <w:rFonts w:cs="Arial"/>
          <w:b/>
          <w:i/>
          <w:szCs w:val="20"/>
        </w:rPr>
        <w:t>The Company</w:t>
      </w:r>
    </w:p>
    <w:p w:rsidRPr="00DE5D68" w:rsidR="007B6A5A" w:rsidP="00C27D12" w:rsidRDefault="007B6A5A" w14:paraId="30004E92" w14:textId="2CA2F6F2">
      <w:pPr>
        <w:autoSpaceDE w:val="0"/>
        <w:autoSpaceDN w:val="0"/>
        <w:adjustRightInd w:val="0"/>
        <w:snapToGrid w:val="0"/>
        <w:rPr>
          <w:rFonts w:cs="Arial"/>
          <w:szCs w:val="20"/>
        </w:rPr>
      </w:pPr>
      <w:r w:rsidRPr="00DE5D68">
        <w:rPr>
          <w:rFonts w:cs="Arial"/>
          <w:szCs w:val="20"/>
        </w:rPr>
        <w:t>The Company intends to apply for exempt company status under the Income Tax (Exempt Bodies) (Guernsey) Ordinance, 1989 (as amended) (the "</w:t>
      </w:r>
      <w:r w:rsidRPr="00DE5D68">
        <w:rPr>
          <w:rFonts w:cs="Arial"/>
          <w:b/>
          <w:szCs w:val="20"/>
        </w:rPr>
        <w:t>Ordinance</w:t>
      </w:r>
      <w:r w:rsidRPr="00DE5D68">
        <w:rPr>
          <w:rFonts w:cs="Arial"/>
          <w:szCs w:val="20"/>
        </w:rPr>
        <w:t xml:space="preserve">") for the current calendar year. A </w:t>
      </w:r>
      <w:r w:rsidRPr="00DE5D68" w:rsidR="00852CD1">
        <w:rPr>
          <w:rFonts w:cs="Arial"/>
          <w:szCs w:val="20"/>
        </w:rPr>
        <w:t>c</w:t>
      </w:r>
      <w:r w:rsidRPr="00DE5D68">
        <w:rPr>
          <w:rFonts w:cs="Arial"/>
          <w:szCs w:val="20"/>
        </w:rPr>
        <w:t xml:space="preserve">ompany with exempt company status is treated as non-resident for the purposes of </w:t>
      </w:r>
      <w:r w:rsidR="00441EE5">
        <w:rPr>
          <w:rFonts w:cs="Arial"/>
          <w:szCs w:val="20"/>
        </w:rPr>
        <w:t xml:space="preserve">Guernsey </w:t>
      </w:r>
      <w:r w:rsidRPr="00DE5D68">
        <w:rPr>
          <w:rFonts w:cs="Arial"/>
          <w:szCs w:val="20"/>
        </w:rPr>
        <w:t>income tax. Exemption will be applied for annually and is granted on payment o</w:t>
      </w:r>
      <w:r w:rsidR="00441EE5">
        <w:rPr>
          <w:rFonts w:cs="Arial"/>
          <w:szCs w:val="20"/>
        </w:rPr>
        <w:t>f a fee, currently fixed at £1,6</w:t>
      </w:r>
      <w:r w:rsidRPr="00DE5D68">
        <w:rPr>
          <w:rFonts w:cs="Arial"/>
          <w:szCs w:val="20"/>
        </w:rPr>
        <w:t xml:space="preserve">00 per annum, provided that the Guernsey </w:t>
      </w:r>
      <w:r w:rsidRPr="00DE5D68" w:rsidR="00852CD1">
        <w:rPr>
          <w:rFonts w:cs="Arial"/>
          <w:szCs w:val="20"/>
        </w:rPr>
        <w:t xml:space="preserve">Revenue Service </w:t>
      </w:r>
      <w:r w:rsidRPr="00DE5D68">
        <w:rPr>
          <w:rFonts w:cs="Arial"/>
          <w:szCs w:val="20"/>
        </w:rPr>
        <w:t>is satisfied that the Company complies, and will continue to comply, with the provisions of the Ordinance. The Directors intend to manage the Company in such a way as to ensure that the Company at all times complies with the requirements of the Ordinance. As the Company should have no Guernsey source income other than relevant bank deposit income (which is not considered to be Guernsey source income), it will not be liable to income tax in Guernsey.</w:t>
      </w:r>
    </w:p>
    <w:p w:rsidRPr="00DE5D68" w:rsidR="00CD4B4B" w:rsidP="00C27D12" w:rsidRDefault="007B6A5A" w14:paraId="6E5B228D" w14:textId="77777777">
      <w:pPr>
        <w:autoSpaceDE w:val="0"/>
        <w:autoSpaceDN w:val="0"/>
        <w:adjustRightInd w:val="0"/>
        <w:snapToGrid w:val="0"/>
        <w:rPr>
          <w:rFonts w:cs="Arial"/>
          <w:szCs w:val="20"/>
        </w:rPr>
      </w:pPr>
      <w:r w:rsidRPr="00DE5D68">
        <w:rPr>
          <w:rFonts w:cs="Arial"/>
          <w:szCs w:val="20"/>
        </w:rPr>
        <w:t xml:space="preserve">The Company is incorporated in Guernsey. The Directors intend </w:t>
      </w:r>
      <w:r w:rsidRPr="00DE5D68" w:rsidR="00CD4B4B">
        <w:rPr>
          <w:rFonts w:cs="Arial"/>
          <w:szCs w:val="20"/>
        </w:rPr>
        <w:t xml:space="preserve">to manage the operations of the </w:t>
      </w:r>
      <w:r w:rsidRPr="00DE5D68">
        <w:rPr>
          <w:rFonts w:cs="Arial"/>
          <w:szCs w:val="20"/>
        </w:rPr>
        <w:t>Company so that it does not become tax resi</w:t>
      </w:r>
      <w:r w:rsidRPr="00DE5D68" w:rsidR="00CD4B4B">
        <w:rPr>
          <w:rFonts w:cs="Arial"/>
          <w:szCs w:val="20"/>
        </w:rPr>
        <w:t xml:space="preserve">dent in any other jurisdiction. </w:t>
      </w:r>
    </w:p>
    <w:p w:rsidRPr="00DE5D68" w:rsidR="007B6A5A" w:rsidP="00C27D12" w:rsidRDefault="007B6A5A" w14:paraId="283E3402" w14:textId="57073B4B">
      <w:pPr>
        <w:autoSpaceDE w:val="0"/>
        <w:autoSpaceDN w:val="0"/>
        <w:adjustRightInd w:val="0"/>
        <w:snapToGrid w:val="0"/>
        <w:rPr>
          <w:rFonts w:cs="Arial"/>
          <w:szCs w:val="20"/>
        </w:rPr>
      </w:pPr>
      <w:r w:rsidRPr="00DE5D68">
        <w:rPr>
          <w:rFonts w:cs="Arial"/>
          <w:szCs w:val="20"/>
        </w:rPr>
        <w:t xml:space="preserve">Under current Guernsey tax law there is no liability to </w:t>
      </w:r>
      <w:r w:rsidR="00966322">
        <w:rPr>
          <w:rFonts w:cs="Arial"/>
          <w:szCs w:val="20"/>
        </w:rPr>
        <w:t>c</w:t>
      </w:r>
      <w:r w:rsidRPr="00DE5D68" w:rsidR="000C0D70">
        <w:rPr>
          <w:rFonts w:cs="Arial"/>
          <w:szCs w:val="20"/>
        </w:rPr>
        <w:t>apital gains tax</w:t>
      </w:r>
      <w:r w:rsidRPr="00DE5D68" w:rsidR="00CD4B4B">
        <w:rPr>
          <w:rFonts w:cs="Arial"/>
          <w:szCs w:val="20"/>
        </w:rPr>
        <w:t xml:space="preserve">, wealth tax, capital transfer </w:t>
      </w:r>
      <w:r w:rsidRPr="00DE5D68">
        <w:rPr>
          <w:rFonts w:cs="Arial"/>
          <w:szCs w:val="20"/>
        </w:rPr>
        <w:t xml:space="preserve">tax or estate or inheritance tax on the </w:t>
      </w:r>
      <w:r w:rsidRPr="00DE5D68" w:rsidR="00846DD0">
        <w:rPr>
          <w:rFonts w:cs="Arial"/>
          <w:szCs w:val="20"/>
        </w:rPr>
        <w:t>i</w:t>
      </w:r>
      <w:r w:rsidRPr="00DE5D68" w:rsidR="000C0D70">
        <w:rPr>
          <w:rFonts w:cs="Arial"/>
          <w:szCs w:val="20"/>
        </w:rPr>
        <w:t>ssue</w:t>
      </w:r>
      <w:r w:rsidRPr="00DE5D68">
        <w:rPr>
          <w:rFonts w:cs="Arial"/>
          <w:szCs w:val="20"/>
        </w:rPr>
        <w:t>, transfer or realisation of the</w:t>
      </w:r>
      <w:r w:rsidRPr="00DE5D68" w:rsidR="00CD4B4B">
        <w:rPr>
          <w:rFonts w:cs="Arial"/>
          <w:szCs w:val="20"/>
        </w:rPr>
        <w:t xml:space="preserve"> </w:t>
      </w:r>
      <w:r w:rsidR="00966322">
        <w:rPr>
          <w:rFonts w:cs="Arial"/>
          <w:szCs w:val="20"/>
        </w:rPr>
        <w:t xml:space="preserve">Ordinary </w:t>
      </w:r>
      <w:r w:rsidRPr="00DE5D68" w:rsidR="00CD4B4B">
        <w:rPr>
          <w:rFonts w:cs="Arial"/>
          <w:szCs w:val="20"/>
        </w:rPr>
        <w:t xml:space="preserve">Shares (save for </w:t>
      </w:r>
      <w:r w:rsidRPr="00DE5D68">
        <w:rPr>
          <w:rFonts w:cs="Arial"/>
          <w:szCs w:val="20"/>
        </w:rPr>
        <w:t xml:space="preserve">registration fees and </w:t>
      </w:r>
      <w:r w:rsidRPr="00DE5D68">
        <w:rPr>
          <w:rFonts w:cs="Arial"/>
          <w:i/>
          <w:szCs w:val="20"/>
        </w:rPr>
        <w:t>ad valorem</w:t>
      </w:r>
      <w:r w:rsidRPr="00DE5D68">
        <w:rPr>
          <w:rFonts w:cs="Arial"/>
          <w:szCs w:val="20"/>
        </w:rPr>
        <w:t xml:space="preserve"> duty for a Guernsey grant of r</w:t>
      </w:r>
      <w:r w:rsidRPr="00DE5D68" w:rsidR="00CD4B4B">
        <w:rPr>
          <w:rFonts w:cs="Arial"/>
          <w:szCs w:val="20"/>
        </w:rPr>
        <w:t xml:space="preserve">epresentation when the deceased </w:t>
      </w:r>
      <w:r w:rsidRPr="00DE5D68">
        <w:rPr>
          <w:rFonts w:cs="Arial"/>
          <w:szCs w:val="20"/>
        </w:rPr>
        <w:t>dies leaving assets in Guernsey which require presentation of such a grant).</w:t>
      </w:r>
    </w:p>
    <w:p w:rsidRPr="00DE5D68" w:rsidR="00441EE5" w:rsidP="00441EE5" w:rsidRDefault="00441EE5" w14:paraId="19A96945" w14:textId="79116469">
      <w:pPr>
        <w:autoSpaceDE w:val="0"/>
        <w:autoSpaceDN w:val="0"/>
        <w:adjustRightInd w:val="0"/>
        <w:snapToGrid w:val="0"/>
        <w:rPr>
          <w:rFonts w:cs="Arial"/>
          <w:szCs w:val="20"/>
        </w:rPr>
      </w:pPr>
      <w:r w:rsidRPr="00DE5D68">
        <w:rPr>
          <w:rFonts w:cs="Arial"/>
          <w:szCs w:val="20"/>
        </w:rPr>
        <w:t>Dividends made by companies</w:t>
      </w:r>
      <w:r>
        <w:rPr>
          <w:rFonts w:cs="Arial"/>
          <w:szCs w:val="20"/>
        </w:rPr>
        <w:t xml:space="preserve"> with exempt status</w:t>
      </w:r>
      <w:r w:rsidRPr="00DE5D68">
        <w:rPr>
          <w:rFonts w:cs="Arial"/>
          <w:szCs w:val="20"/>
        </w:rPr>
        <w:t xml:space="preserve"> to non-Guernsey residents will be free of Guernsey withholding tax and reporting requirements. Where a company</w:t>
      </w:r>
      <w:r>
        <w:rPr>
          <w:rFonts w:cs="Arial"/>
          <w:szCs w:val="20"/>
        </w:rPr>
        <w:t xml:space="preserve"> with exempt status</w:t>
      </w:r>
      <w:r w:rsidRPr="00DE5D68">
        <w:rPr>
          <w:rFonts w:cs="Arial"/>
          <w:szCs w:val="20"/>
        </w:rPr>
        <w:t xml:space="preserve"> makes a dividend to shareholders that are Guernsey tax resident individuals</w:t>
      </w:r>
      <w:r>
        <w:rPr>
          <w:rFonts w:cs="Arial"/>
          <w:szCs w:val="20"/>
        </w:rPr>
        <w:t>,</w:t>
      </w:r>
      <w:r w:rsidRPr="00DE5D68">
        <w:rPr>
          <w:rFonts w:cs="Arial"/>
          <w:szCs w:val="20"/>
        </w:rPr>
        <w:t xml:space="preserve"> the company will only need to report the relevant details of those dividends.</w:t>
      </w:r>
    </w:p>
    <w:p w:rsidRPr="00DE5D68" w:rsidR="00441EE5" w:rsidP="00441EE5" w:rsidRDefault="00441EE5" w14:paraId="1338316B" w14:textId="77777777">
      <w:pPr>
        <w:autoSpaceDE w:val="0"/>
        <w:autoSpaceDN w:val="0"/>
        <w:adjustRightInd w:val="0"/>
        <w:snapToGrid w:val="0"/>
        <w:rPr>
          <w:rFonts w:cs="Arial"/>
          <w:szCs w:val="20"/>
        </w:rPr>
      </w:pPr>
      <w:r w:rsidRPr="00DE5D68">
        <w:rPr>
          <w:rFonts w:cs="Arial"/>
          <w:szCs w:val="20"/>
        </w:rPr>
        <w:t xml:space="preserve">In the absence of tax exempt status, the Company would be Guernsey tax resident and </w:t>
      </w:r>
      <w:r>
        <w:rPr>
          <w:rFonts w:cs="Arial"/>
          <w:szCs w:val="20"/>
        </w:rPr>
        <w:t>subject to Guernsey income tax. T</w:t>
      </w:r>
      <w:r w:rsidRPr="00DE5D68">
        <w:rPr>
          <w:rFonts w:cs="Arial"/>
          <w:szCs w:val="20"/>
        </w:rPr>
        <w:t xml:space="preserve">he Guernsey standard rate of company income tax, </w:t>
      </w:r>
      <w:r>
        <w:rPr>
          <w:rFonts w:cs="Arial"/>
          <w:szCs w:val="20"/>
        </w:rPr>
        <w:t>applicable to profits from investment activities</w:t>
      </w:r>
      <w:r w:rsidRPr="00DE5D68">
        <w:rPr>
          <w:rFonts w:cs="Arial"/>
          <w:szCs w:val="20"/>
        </w:rPr>
        <w:t xml:space="preserve"> is currently zero per cent.</w:t>
      </w:r>
    </w:p>
    <w:p w:rsidRPr="00DE5D68" w:rsidR="00441EE5" w:rsidP="00441EE5" w:rsidRDefault="00441EE5" w14:paraId="6DCC95EF" w14:textId="77777777">
      <w:pPr>
        <w:keepNext/>
        <w:autoSpaceDE w:val="0"/>
        <w:autoSpaceDN w:val="0"/>
        <w:adjustRightInd w:val="0"/>
        <w:snapToGrid w:val="0"/>
        <w:jc w:val="left"/>
        <w:rPr>
          <w:rFonts w:cs="Arial"/>
          <w:i/>
          <w:szCs w:val="20"/>
        </w:rPr>
      </w:pPr>
      <w:r w:rsidRPr="00DE5D68">
        <w:rPr>
          <w:rFonts w:cs="Arial"/>
          <w:i/>
          <w:szCs w:val="20"/>
        </w:rPr>
        <w:t>Withholding tax</w:t>
      </w:r>
    </w:p>
    <w:p w:rsidRPr="00DE5D68" w:rsidR="00441EE5" w:rsidP="00441EE5" w:rsidRDefault="00441EE5" w14:paraId="5CA0D747" w14:textId="77777777">
      <w:pPr>
        <w:autoSpaceDE w:val="0"/>
        <w:autoSpaceDN w:val="0"/>
        <w:adjustRightInd w:val="0"/>
        <w:snapToGrid w:val="0"/>
        <w:rPr>
          <w:rFonts w:cs="Arial"/>
          <w:szCs w:val="20"/>
        </w:rPr>
      </w:pPr>
      <w:r w:rsidRPr="00DE5D68">
        <w:rPr>
          <w:rFonts w:cs="Arial"/>
          <w:szCs w:val="20"/>
        </w:rPr>
        <w:t>Provided the Company obtains and maintains its exempt</w:t>
      </w:r>
      <w:r>
        <w:rPr>
          <w:rFonts w:cs="Arial"/>
          <w:szCs w:val="20"/>
        </w:rPr>
        <w:t xml:space="preserve"> company</w:t>
      </w:r>
      <w:r w:rsidRPr="00DE5D68">
        <w:rPr>
          <w:rFonts w:cs="Arial"/>
          <w:szCs w:val="20"/>
        </w:rPr>
        <w:t xml:space="preserve"> status, there would currently be no requirement for the Company to withhold tax from the payment of a distribution.</w:t>
      </w:r>
    </w:p>
    <w:p w:rsidRPr="00DE5D68" w:rsidR="00441EE5" w:rsidP="00441EE5" w:rsidRDefault="00441EE5" w14:paraId="216F9689" w14:textId="0234CF67">
      <w:pPr>
        <w:autoSpaceDE w:val="0"/>
        <w:autoSpaceDN w:val="0"/>
        <w:adjustRightInd w:val="0"/>
        <w:snapToGrid w:val="0"/>
        <w:rPr>
          <w:rFonts w:cs="Arial"/>
          <w:szCs w:val="20"/>
        </w:rPr>
      </w:pPr>
      <w:r w:rsidRPr="00DE5D68">
        <w:rPr>
          <w:rFonts w:cs="Arial"/>
          <w:szCs w:val="20"/>
        </w:rPr>
        <w:t>In the event that the Company does not have tax exempt status at the time a distribution is made</w:t>
      </w:r>
      <w:r>
        <w:rPr>
          <w:rFonts w:cs="Arial"/>
          <w:szCs w:val="20"/>
        </w:rPr>
        <w:t>,</w:t>
      </w:r>
      <w:r w:rsidRPr="00DE5D68">
        <w:rPr>
          <w:rFonts w:cs="Arial"/>
          <w:szCs w:val="20"/>
        </w:rPr>
        <w:t xml:space="preserve"> it may be required to withhold tax at the applicable rate </w:t>
      </w:r>
      <w:r>
        <w:rPr>
          <w:rFonts w:cs="Arial"/>
          <w:szCs w:val="20"/>
        </w:rPr>
        <w:t xml:space="preserve">(of up to 20 per cent.) </w:t>
      </w:r>
      <w:r w:rsidRPr="00DE5D68">
        <w:rPr>
          <w:rFonts w:cs="Arial"/>
          <w:szCs w:val="20"/>
        </w:rPr>
        <w:t>in respect of any distributions made (or deemed to have been made) to Shareholders who are Guernsey resident individuals.</w:t>
      </w:r>
    </w:p>
    <w:p w:rsidRPr="00DE5D68" w:rsidR="00441EE5" w:rsidP="00441EE5" w:rsidRDefault="00441EE5" w14:paraId="50EED425" w14:textId="77777777">
      <w:pPr>
        <w:keepNext/>
        <w:autoSpaceDE w:val="0"/>
        <w:autoSpaceDN w:val="0"/>
        <w:adjustRightInd w:val="0"/>
        <w:snapToGrid w:val="0"/>
        <w:rPr>
          <w:rFonts w:cs="Arial"/>
          <w:i/>
          <w:szCs w:val="20"/>
        </w:rPr>
      </w:pPr>
      <w:r w:rsidRPr="00DE5D68">
        <w:rPr>
          <w:rFonts w:cs="Arial"/>
          <w:i/>
          <w:szCs w:val="20"/>
        </w:rPr>
        <w:t>Stamp Duty</w:t>
      </w:r>
    </w:p>
    <w:p w:rsidRPr="00DE5D68" w:rsidR="00441EE5" w:rsidP="00441EE5" w:rsidRDefault="00441EE5" w14:paraId="754D6921" w14:textId="3AD05881">
      <w:pPr>
        <w:autoSpaceDE w:val="0"/>
        <w:autoSpaceDN w:val="0"/>
        <w:adjustRightInd w:val="0"/>
        <w:snapToGrid w:val="0"/>
        <w:rPr>
          <w:rFonts w:cs="Arial"/>
          <w:szCs w:val="20"/>
        </w:rPr>
      </w:pPr>
      <w:r w:rsidRPr="00DE5D68">
        <w:rPr>
          <w:rFonts w:cs="Arial"/>
          <w:szCs w:val="20"/>
        </w:rPr>
        <w:t xml:space="preserve">There is also no stamp duty or equivalent tax payable in Guernsey on the issue, transfer or redemption of the </w:t>
      </w:r>
      <w:r w:rsidR="008F0B72">
        <w:rPr>
          <w:rFonts w:cs="Arial"/>
          <w:szCs w:val="20"/>
        </w:rPr>
        <w:t xml:space="preserve">Ordinary </w:t>
      </w:r>
      <w:r w:rsidRPr="00DE5D68">
        <w:rPr>
          <w:rFonts w:cs="Arial"/>
          <w:szCs w:val="20"/>
        </w:rPr>
        <w:t xml:space="preserve">Shares. In addition, no stamp duty is chargeable in Guernsey on the issue, transfer, disposal </w:t>
      </w:r>
      <w:r w:rsidRPr="00DE5D68">
        <w:rPr>
          <w:rFonts w:cs="Arial"/>
          <w:szCs w:val="20"/>
        </w:rPr>
        <w:lastRenderedPageBreak/>
        <w:t xml:space="preserve">or redemption of shares other than Document Duty which can apply in some instances where a </w:t>
      </w:r>
      <w:r>
        <w:rPr>
          <w:rFonts w:cs="Arial"/>
          <w:szCs w:val="20"/>
        </w:rPr>
        <w:t>transfer</w:t>
      </w:r>
      <w:r w:rsidR="00FC383D">
        <w:rPr>
          <w:rFonts w:cs="Arial"/>
          <w:szCs w:val="20"/>
        </w:rPr>
        <w:t xml:space="preserve"> of shares results in an indirect transfer of a significant interest in</w:t>
      </w:r>
      <w:r w:rsidRPr="00DE5D68">
        <w:rPr>
          <w:rFonts w:cs="Arial"/>
          <w:szCs w:val="20"/>
        </w:rPr>
        <w:t xml:space="preserve"> Guernsey situated real estate.</w:t>
      </w:r>
    </w:p>
    <w:p w:rsidRPr="00DE5D68" w:rsidR="00441EE5" w:rsidP="00441EE5" w:rsidRDefault="00441EE5" w14:paraId="35C70116" w14:textId="77777777">
      <w:pPr>
        <w:keepNext/>
        <w:autoSpaceDE w:val="0"/>
        <w:autoSpaceDN w:val="0"/>
        <w:adjustRightInd w:val="0"/>
        <w:snapToGrid w:val="0"/>
        <w:rPr>
          <w:rFonts w:cs="Arial"/>
          <w:i/>
          <w:szCs w:val="20"/>
        </w:rPr>
      </w:pPr>
      <w:r w:rsidRPr="00DE5D68">
        <w:rPr>
          <w:rFonts w:cs="Arial"/>
          <w:i/>
          <w:szCs w:val="20"/>
        </w:rPr>
        <w:t>Goods and Services Tax</w:t>
      </w:r>
    </w:p>
    <w:p w:rsidRPr="00DE5D68" w:rsidR="007B6A5A" w:rsidP="00C27D12" w:rsidRDefault="00441EE5" w14:paraId="641D0639" w14:textId="4608BD8F">
      <w:pPr>
        <w:autoSpaceDE w:val="0"/>
        <w:autoSpaceDN w:val="0"/>
        <w:adjustRightInd w:val="0"/>
        <w:snapToGrid w:val="0"/>
        <w:rPr>
          <w:rFonts w:cs="Arial"/>
          <w:szCs w:val="20"/>
        </w:rPr>
      </w:pPr>
      <w:r w:rsidRPr="00DE5D68">
        <w:rPr>
          <w:rFonts w:cs="Arial"/>
          <w:szCs w:val="20"/>
        </w:rPr>
        <w:t>The States of Guernsey has passed enabling legislation for the introduction of a system of goods and services tax ("</w:t>
      </w:r>
      <w:r w:rsidRPr="00DE5D68">
        <w:rPr>
          <w:rFonts w:cs="Arial"/>
          <w:b/>
          <w:szCs w:val="20"/>
        </w:rPr>
        <w:t>GST</w:t>
      </w:r>
      <w:r w:rsidRPr="00966322">
        <w:rPr>
          <w:rFonts w:cs="Arial"/>
          <w:szCs w:val="20"/>
        </w:rPr>
        <w:t>")</w:t>
      </w:r>
      <w:r>
        <w:rPr>
          <w:rFonts w:cs="Arial"/>
          <w:b/>
          <w:szCs w:val="20"/>
        </w:rPr>
        <w:t xml:space="preserve">. </w:t>
      </w:r>
      <w:r>
        <w:t>The States of Guernsey is currently considering tax reform options including the introduction of a system of goods and services tax (“GST”), but at this point no decision to introduce GST has been made</w:t>
      </w:r>
      <w:r w:rsidRPr="00DE5D68">
        <w:rPr>
          <w:rFonts w:cs="Arial"/>
          <w:szCs w:val="20"/>
        </w:rPr>
        <w:t>.</w:t>
      </w:r>
    </w:p>
    <w:p w:rsidRPr="00DE5D68" w:rsidR="007B6A5A" w:rsidP="00C27D12" w:rsidRDefault="007B6A5A" w14:paraId="48849924" w14:textId="5D0E6BB7">
      <w:pPr>
        <w:keepNext/>
        <w:autoSpaceDE w:val="0"/>
        <w:autoSpaceDN w:val="0"/>
        <w:adjustRightInd w:val="0"/>
        <w:snapToGrid w:val="0"/>
        <w:rPr>
          <w:rFonts w:cs="Arial"/>
          <w:i/>
          <w:szCs w:val="20"/>
        </w:rPr>
      </w:pPr>
      <w:r w:rsidRPr="00DE5D68">
        <w:rPr>
          <w:rFonts w:cs="Arial"/>
          <w:i/>
          <w:szCs w:val="20"/>
        </w:rPr>
        <w:t>FATCA and the Common Reporting Standard</w:t>
      </w:r>
    </w:p>
    <w:p w:rsidRPr="00DE5D68" w:rsidR="0007307E" w:rsidP="0007307E" w:rsidRDefault="0007307E" w14:paraId="17533E30" w14:textId="2673D3FA">
      <w:pPr>
        <w:autoSpaceDE w:val="0"/>
        <w:autoSpaceDN w:val="0"/>
        <w:adjustRightInd w:val="0"/>
        <w:snapToGrid w:val="0"/>
        <w:rPr>
          <w:rFonts w:cs="Arial"/>
          <w:szCs w:val="20"/>
        </w:rPr>
      </w:pPr>
      <w:r w:rsidRPr="00DE5D68">
        <w:rPr>
          <w:rFonts w:cs="Arial"/>
          <w:szCs w:val="20"/>
        </w:rPr>
        <w:t>On 13 December 2013 the Chief Minister of Guernsey signed an intergover</w:t>
      </w:r>
      <w:r w:rsidR="00FF6CB6">
        <w:rPr>
          <w:rFonts w:cs="Arial"/>
          <w:szCs w:val="20"/>
        </w:rPr>
        <w:t>nmental agreement with the US ("</w:t>
      </w:r>
      <w:r w:rsidRPr="00DE5D68" w:rsidR="00F719A6">
        <w:rPr>
          <w:rFonts w:cs="Arial"/>
          <w:b/>
          <w:szCs w:val="20"/>
        </w:rPr>
        <w:t>US-Guernsey</w:t>
      </w:r>
      <w:r w:rsidRPr="00DE5D68" w:rsidR="00F719A6">
        <w:rPr>
          <w:rFonts w:cs="Arial"/>
          <w:szCs w:val="20"/>
        </w:rPr>
        <w:t xml:space="preserve"> </w:t>
      </w:r>
      <w:r w:rsidRPr="00DE5D68">
        <w:rPr>
          <w:rFonts w:cs="Arial"/>
          <w:b/>
          <w:szCs w:val="20"/>
        </w:rPr>
        <w:t>IGA</w:t>
      </w:r>
      <w:r w:rsidR="00FF6CB6">
        <w:rPr>
          <w:rFonts w:cs="Arial"/>
          <w:szCs w:val="20"/>
        </w:rPr>
        <w:t>"</w:t>
      </w:r>
      <w:r w:rsidRPr="00DE5D68">
        <w:rPr>
          <w:rFonts w:cs="Arial"/>
          <w:szCs w:val="20"/>
        </w:rPr>
        <w:t>) regarding the implementation of the US Forei</w:t>
      </w:r>
      <w:r w:rsidR="00FF6CB6">
        <w:rPr>
          <w:rFonts w:cs="Arial"/>
          <w:szCs w:val="20"/>
        </w:rPr>
        <w:t>gn Account Tax Compliance Act ("</w:t>
      </w:r>
      <w:r w:rsidRPr="00DE5D68">
        <w:rPr>
          <w:rFonts w:cs="Arial"/>
          <w:b/>
          <w:szCs w:val="20"/>
        </w:rPr>
        <w:t>FATCA</w:t>
      </w:r>
      <w:r w:rsidR="00FF6CB6">
        <w:rPr>
          <w:rFonts w:cs="Arial"/>
          <w:szCs w:val="20"/>
        </w:rPr>
        <w:t>"</w:t>
      </w:r>
      <w:r w:rsidRPr="00DE5D68">
        <w:rPr>
          <w:rFonts w:cs="Arial"/>
          <w:szCs w:val="20"/>
        </w:rPr>
        <w:t>). Under the legislation enacted in Guernsey to implement the US-Guernsey IGA, certain disclosure requirements will be imposed in respect of certain investors in the Company who are, or are entities that are controlled by one or more natural persons who are, residents or citizens of the US unless a relevant exemption applies. Certain due diligence obligations will also be imposed. Where applicable, information that will need to be disclosed will include certain information about investors, their ultimate beneficial owners and/or controllers, and their investment in and returns from the Company. The Company will be required to report this information each year in the prescribed format and manner as per local guidance.</w:t>
      </w:r>
    </w:p>
    <w:p w:rsidRPr="00DE5D68" w:rsidR="007B6A5A" w:rsidP="00C27D12" w:rsidRDefault="007B6A5A" w14:paraId="356CD820" w14:textId="4019CFF9">
      <w:pPr>
        <w:autoSpaceDE w:val="0"/>
        <w:autoSpaceDN w:val="0"/>
        <w:adjustRightInd w:val="0"/>
        <w:snapToGrid w:val="0"/>
        <w:rPr>
          <w:rFonts w:cs="Arial"/>
          <w:szCs w:val="20"/>
        </w:rPr>
      </w:pPr>
      <w:r w:rsidRPr="00DE5D68">
        <w:rPr>
          <w:rFonts w:cs="Arial"/>
          <w:szCs w:val="20"/>
        </w:rPr>
        <w:t>Sections 1471 through 1474 of the U.S. Tax Code impose a reporting a</w:t>
      </w:r>
      <w:r w:rsidRPr="00DE5D68" w:rsidR="00CD4B4B">
        <w:rPr>
          <w:rFonts w:cs="Arial"/>
          <w:szCs w:val="20"/>
        </w:rPr>
        <w:t xml:space="preserve">nd 30 per cent. withholding </w:t>
      </w:r>
      <w:r w:rsidRPr="00DE5D68">
        <w:rPr>
          <w:rFonts w:cs="Arial"/>
          <w:szCs w:val="20"/>
        </w:rPr>
        <w:t>tax regime with respect to certain payments including certain non</w:t>
      </w:r>
      <w:r w:rsidRPr="00DE5D68" w:rsidR="00CD4B4B">
        <w:rPr>
          <w:rFonts w:cs="Arial"/>
          <w:szCs w:val="20"/>
        </w:rPr>
        <w:t xml:space="preserve">-U.S. source payments (referred to as "foreign </w:t>
      </w:r>
      <w:proofErr w:type="spellStart"/>
      <w:r w:rsidRPr="00DE5D68" w:rsidR="00CD4B4B">
        <w:rPr>
          <w:rFonts w:cs="Arial"/>
          <w:szCs w:val="20"/>
        </w:rPr>
        <w:t>passthru</w:t>
      </w:r>
      <w:proofErr w:type="spellEnd"/>
      <w:r w:rsidRPr="00DE5D68" w:rsidR="00CD4B4B">
        <w:rPr>
          <w:rFonts w:cs="Arial"/>
          <w:szCs w:val="20"/>
        </w:rPr>
        <w:t xml:space="preserve"> payments"</w:t>
      </w:r>
      <w:r w:rsidRPr="00DE5D68">
        <w:rPr>
          <w:rFonts w:cs="Arial"/>
          <w:szCs w:val="20"/>
        </w:rPr>
        <w:t>) made by non-U.S. financial institu</w:t>
      </w:r>
      <w:r w:rsidRPr="00DE5D68" w:rsidR="00CD4B4B">
        <w:rPr>
          <w:rFonts w:cs="Arial"/>
          <w:szCs w:val="20"/>
        </w:rPr>
        <w:t xml:space="preserve">tions acting in the capacity of </w:t>
      </w:r>
      <w:r w:rsidRPr="00DE5D68">
        <w:rPr>
          <w:rFonts w:cs="Arial"/>
          <w:szCs w:val="20"/>
        </w:rPr>
        <w:t xml:space="preserve">withholding agents pursuant to procedures established under </w:t>
      </w:r>
      <w:r w:rsidRPr="00DE5D68" w:rsidR="00CD4B4B">
        <w:rPr>
          <w:rFonts w:cs="Arial"/>
          <w:szCs w:val="20"/>
        </w:rPr>
        <w:t xml:space="preserve">FATCA beginning on the later of </w:t>
      </w:r>
      <w:r w:rsidRPr="00DE5D68">
        <w:rPr>
          <w:rFonts w:cs="Arial"/>
          <w:szCs w:val="20"/>
        </w:rPr>
        <w:t xml:space="preserve">January 1, </w:t>
      </w:r>
      <w:proofErr w:type="gramStart"/>
      <w:r w:rsidRPr="00DE5D68">
        <w:rPr>
          <w:rFonts w:cs="Arial"/>
          <w:szCs w:val="20"/>
        </w:rPr>
        <w:t>2019</w:t>
      </w:r>
      <w:proofErr w:type="gramEnd"/>
      <w:r w:rsidRPr="00DE5D68">
        <w:rPr>
          <w:rFonts w:cs="Arial"/>
          <w:szCs w:val="20"/>
        </w:rPr>
        <w:t xml:space="preserve"> or the date of publication of final regulations defining foreign </w:t>
      </w:r>
      <w:proofErr w:type="spellStart"/>
      <w:r w:rsidRPr="00DE5D68">
        <w:rPr>
          <w:rFonts w:cs="Arial"/>
          <w:szCs w:val="20"/>
        </w:rPr>
        <w:t>passthru</w:t>
      </w:r>
      <w:proofErr w:type="spellEnd"/>
      <w:r w:rsidRPr="00DE5D68">
        <w:rPr>
          <w:rFonts w:cs="Arial"/>
          <w:szCs w:val="20"/>
        </w:rPr>
        <w:t xml:space="preserve"> payment.</w:t>
      </w:r>
    </w:p>
    <w:p w:rsidRPr="00DE5D68" w:rsidR="007B6A5A" w:rsidP="00C27D12" w:rsidRDefault="007B6A5A" w14:paraId="209137C7" w14:textId="58782EE9">
      <w:pPr>
        <w:autoSpaceDE w:val="0"/>
        <w:autoSpaceDN w:val="0"/>
        <w:adjustRightInd w:val="0"/>
        <w:snapToGrid w:val="0"/>
        <w:rPr>
          <w:rFonts w:cs="Arial"/>
          <w:szCs w:val="20"/>
        </w:rPr>
      </w:pPr>
      <w:r w:rsidRPr="00DE5D68">
        <w:rPr>
          <w:rFonts w:cs="Arial"/>
          <w:szCs w:val="20"/>
        </w:rPr>
        <w:t xml:space="preserve">Guernsey resident financial institutions that comply with the </w:t>
      </w:r>
      <w:r w:rsidRPr="00DE5D68" w:rsidR="0007307E">
        <w:rPr>
          <w:rFonts w:cs="Arial"/>
          <w:szCs w:val="20"/>
        </w:rPr>
        <w:t xml:space="preserve">due diligence and reporting </w:t>
      </w:r>
      <w:r w:rsidRPr="00DE5D68">
        <w:rPr>
          <w:rFonts w:cs="Arial"/>
          <w:szCs w:val="20"/>
        </w:rPr>
        <w:t>requir</w:t>
      </w:r>
      <w:r w:rsidRPr="00DE5D68" w:rsidR="00CD4B4B">
        <w:rPr>
          <w:rFonts w:cs="Arial"/>
          <w:szCs w:val="20"/>
        </w:rPr>
        <w:t xml:space="preserve">ements of </w:t>
      </w:r>
      <w:r w:rsidRPr="00DE5D68" w:rsidR="0007307E">
        <w:rPr>
          <w:rFonts w:cs="Arial"/>
          <w:szCs w:val="20"/>
        </w:rPr>
        <w:t xml:space="preserve">Guernsey’s domestic legislation </w:t>
      </w:r>
      <w:r w:rsidRPr="00DE5D68">
        <w:rPr>
          <w:rFonts w:cs="Arial"/>
          <w:szCs w:val="20"/>
        </w:rPr>
        <w:t xml:space="preserve">will be treated as compliant with FATCA and, as a result, </w:t>
      </w:r>
      <w:r w:rsidRPr="00DE5D68" w:rsidR="0007307E">
        <w:rPr>
          <w:rFonts w:cs="Arial"/>
          <w:szCs w:val="20"/>
        </w:rPr>
        <w:t xml:space="preserve">should </w:t>
      </w:r>
      <w:r w:rsidRPr="00DE5D68">
        <w:rPr>
          <w:rFonts w:cs="Arial"/>
          <w:szCs w:val="20"/>
        </w:rPr>
        <w:t>no</w:t>
      </w:r>
      <w:r w:rsidRPr="00DE5D68" w:rsidR="00CD4B4B">
        <w:rPr>
          <w:rFonts w:cs="Arial"/>
          <w:szCs w:val="20"/>
        </w:rPr>
        <w:t xml:space="preserve">t be subject to withholding tax </w:t>
      </w:r>
      <w:r w:rsidRPr="00DE5D68">
        <w:rPr>
          <w:rFonts w:cs="Arial"/>
          <w:szCs w:val="20"/>
        </w:rPr>
        <w:t xml:space="preserve">under FATCA on payments they receive and </w:t>
      </w:r>
      <w:r w:rsidRPr="00DE5D68" w:rsidR="0007307E">
        <w:rPr>
          <w:rFonts w:cs="Arial"/>
          <w:szCs w:val="20"/>
        </w:rPr>
        <w:t xml:space="preserve">should </w:t>
      </w:r>
      <w:r w:rsidRPr="00DE5D68">
        <w:rPr>
          <w:rFonts w:cs="Arial"/>
          <w:szCs w:val="20"/>
        </w:rPr>
        <w:t>not be requ</w:t>
      </w:r>
      <w:r w:rsidRPr="00DE5D68" w:rsidR="00CD4B4B">
        <w:rPr>
          <w:rFonts w:cs="Arial"/>
          <w:szCs w:val="20"/>
        </w:rPr>
        <w:t xml:space="preserve">ired to withhold under FATCA on </w:t>
      </w:r>
      <w:r w:rsidRPr="00DE5D68">
        <w:rPr>
          <w:rFonts w:cs="Arial"/>
          <w:szCs w:val="20"/>
        </w:rPr>
        <w:t xml:space="preserve">payments </w:t>
      </w:r>
      <w:r w:rsidRPr="00DE5D68" w:rsidR="0007307E">
        <w:rPr>
          <w:rFonts w:cs="Arial"/>
          <w:szCs w:val="20"/>
        </w:rPr>
        <w:t>they make</w:t>
      </w:r>
      <w:r w:rsidRPr="00DE5D68">
        <w:rPr>
          <w:rFonts w:cs="Arial"/>
          <w:szCs w:val="20"/>
        </w:rPr>
        <w:t>. The Company expects tha</w:t>
      </w:r>
      <w:r w:rsidRPr="00DE5D68" w:rsidR="00CD4B4B">
        <w:rPr>
          <w:rFonts w:cs="Arial"/>
          <w:szCs w:val="20"/>
        </w:rPr>
        <w:t xml:space="preserve">t it will be considered to be a </w:t>
      </w:r>
      <w:r w:rsidRPr="00DE5D68">
        <w:rPr>
          <w:rFonts w:cs="Arial"/>
          <w:szCs w:val="20"/>
        </w:rPr>
        <w:t>Guernsey resident financial institution that will need to comply wit</w:t>
      </w:r>
      <w:r w:rsidRPr="00DE5D68" w:rsidR="00CD4B4B">
        <w:rPr>
          <w:rFonts w:cs="Arial"/>
          <w:szCs w:val="20"/>
        </w:rPr>
        <w:t>h the requirements of the U.S.-</w:t>
      </w:r>
      <w:r w:rsidRPr="00DE5D68">
        <w:rPr>
          <w:rFonts w:cs="Arial"/>
          <w:szCs w:val="20"/>
        </w:rPr>
        <w:t>Guernsey IGA (as implemented through Guernsey’s domestic legisl</w:t>
      </w:r>
      <w:r w:rsidRPr="00DE5D68" w:rsidR="00CD4B4B">
        <w:rPr>
          <w:rFonts w:cs="Arial"/>
          <w:szCs w:val="20"/>
        </w:rPr>
        <w:t xml:space="preserve">ation) and, as a result of such </w:t>
      </w:r>
      <w:r w:rsidRPr="00DE5D68">
        <w:rPr>
          <w:rFonts w:cs="Arial"/>
          <w:szCs w:val="20"/>
        </w:rPr>
        <w:t>compliance, the Company should not be subject to FATCA with</w:t>
      </w:r>
      <w:r w:rsidRPr="00DE5D68" w:rsidR="003508A7">
        <w:rPr>
          <w:rFonts w:cs="Arial"/>
          <w:szCs w:val="20"/>
        </w:rPr>
        <w:t>h</w:t>
      </w:r>
      <w:r w:rsidRPr="00DE5D68">
        <w:rPr>
          <w:rFonts w:cs="Arial"/>
          <w:szCs w:val="20"/>
        </w:rPr>
        <w:t>ol</w:t>
      </w:r>
      <w:r w:rsidRPr="00DE5D68" w:rsidR="00CD4B4B">
        <w:rPr>
          <w:rFonts w:cs="Arial"/>
          <w:szCs w:val="20"/>
        </w:rPr>
        <w:t xml:space="preserve">ding or be required to withhold </w:t>
      </w:r>
      <w:r w:rsidRPr="00DE5D68">
        <w:rPr>
          <w:rFonts w:cs="Arial"/>
          <w:szCs w:val="20"/>
        </w:rPr>
        <w:t xml:space="preserve">under FATCA on payments </w:t>
      </w:r>
      <w:r w:rsidRPr="00DE5D68" w:rsidR="0007307E">
        <w:rPr>
          <w:rFonts w:cs="Arial"/>
          <w:szCs w:val="20"/>
        </w:rPr>
        <w:t>it makes</w:t>
      </w:r>
      <w:r w:rsidRPr="00DE5D68">
        <w:rPr>
          <w:rFonts w:cs="Arial"/>
          <w:szCs w:val="20"/>
        </w:rPr>
        <w:t>.</w:t>
      </w:r>
      <w:r w:rsidRPr="00DE5D68" w:rsidR="0007307E">
        <w:rPr>
          <w:rFonts w:cs="Arial"/>
          <w:szCs w:val="20"/>
        </w:rPr>
        <w:t xml:space="preserve"> If the Company does not comply with these obligations, it may be subject to a FATCA deduction on certain payments to it of US source income (including interest and dividends) and (from 1 January 2019) proceeds from the sale of property that could give rise to US source interest or dividends.</w:t>
      </w:r>
    </w:p>
    <w:p w:rsidRPr="00DE5D68" w:rsidR="00852CD1" w:rsidP="00C27D12" w:rsidRDefault="00852CD1" w14:paraId="2DBFD7E8" w14:textId="380B412E">
      <w:pPr>
        <w:autoSpaceDE w:val="0"/>
        <w:autoSpaceDN w:val="0"/>
        <w:adjustRightInd w:val="0"/>
        <w:snapToGrid w:val="0"/>
        <w:rPr>
          <w:rFonts w:cs="Arial"/>
          <w:szCs w:val="20"/>
        </w:rPr>
      </w:pPr>
      <w:r w:rsidRPr="00DE5D68">
        <w:rPr>
          <w:rFonts w:cs="Arial"/>
          <w:szCs w:val="20"/>
        </w:rPr>
        <w:t xml:space="preserve">Under the US-Guernsey IGA and Guernsey's implementation of that agreement, securities that are "regularly traded" on an established securities market, such as Specialist Fund Segment of the Main Market, are not considered financial accounts and are not subject to reporting. For these purposes, the </w:t>
      </w:r>
      <w:r w:rsidR="00966322">
        <w:rPr>
          <w:rFonts w:cs="Arial"/>
          <w:szCs w:val="20"/>
        </w:rPr>
        <w:t xml:space="preserve">Ordinary </w:t>
      </w:r>
      <w:r w:rsidRPr="00DE5D68">
        <w:rPr>
          <w:rFonts w:cs="Arial"/>
          <w:szCs w:val="20"/>
        </w:rPr>
        <w:t xml:space="preserve">Shares will be considered "regularly traded" if there is a meaningful volume of trading with respect to the </w:t>
      </w:r>
      <w:r w:rsidR="00966322">
        <w:rPr>
          <w:rFonts w:cs="Arial"/>
          <w:szCs w:val="20"/>
        </w:rPr>
        <w:t>Ordinary</w:t>
      </w:r>
      <w:r w:rsidRPr="00DE5D68" w:rsidR="00966322">
        <w:rPr>
          <w:rFonts w:cs="Arial"/>
          <w:szCs w:val="20"/>
        </w:rPr>
        <w:t xml:space="preserve"> </w:t>
      </w:r>
      <w:r w:rsidRPr="00DE5D68">
        <w:rPr>
          <w:rFonts w:cs="Arial"/>
          <w:szCs w:val="20"/>
        </w:rPr>
        <w:t>Shares on an ongoing basis. Notwithstanding the foregoing, a</w:t>
      </w:r>
      <w:r w:rsidR="00966322">
        <w:rPr>
          <w:rFonts w:cs="Arial"/>
          <w:szCs w:val="20"/>
        </w:rPr>
        <w:t>n</w:t>
      </w:r>
      <w:r w:rsidRPr="00DE5D68">
        <w:rPr>
          <w:rFonts w:cs="Arial"/>
          <w:szCs w:val="20"/>
        </w:rPr>
        <w:t xml:space="preserve"> </w:t>
      </w:r>
      <w:r w:rsidR="00966322">
        <w:rPr>
          <w:rFonts w:cs="Arial"/>
          <w:szCs w:val="20"/>
        </w:rPr>
        <w:t>Ordinary</w:t>
      </w:r>
      <w:r w:rsidRPr="00DE5D68" w:rsidR="00966322">
        <w:rPr>
          <w:rFonts w:cs="Arial"/>
          <w:szCs w:val="20"/>
        </w:rPr>
        <w:t xml:space="preserve"> </w:t>
      </w:r>
      <w:r w:rsidRPr="00DE5D68">
        <w:rPr>
          <w:rFonts w:cs="Arial"/>
          <w:szCs w:val="20"/>
        </w:rPr>
        <w:t xml:space="preserve">Share will not be considered "regularly traded" and will be considered a </w:t>
      </w:r>
      <w:r w:rsidR="00966322">
        <w:rPr>
          <w:rFonts w:cs="Arial"/>
          <w:szCs w:val="20"/>
        </w:rPr>
        <w:t xml:space="preserve">financial account if the holder </w:t>
      </w:r>
      <w:r w:rsidRPr="00DE5D68">
        <w:rPr>
          <w:rFonts w:cs="Arial"/>
          <w:szCs w:val="20"/>
        </w:rPr>
        <w:t xml:space="preserve">of the </w:t>
      </w:r>
      <w:r w:rsidR="00966322">
        <w:rPr>
          <w:rFonts w:cs="Arial"/>
          <w:szCs w:val="20"/>
        </w:rPr>
        <w:t>Ordinary</w:t>
      </w:r>
      <w:r w:rsidRPr="00DE5D68" w:rsidR="00966322">
        <w:rPr>
          <w:rFonts w:cs="Arial"/>
          <w:szCs w:val="20"/>
        </w:rPr>
        <w:t xml:space="preserve"> </w:t>
      </w:r>
      <w:r w:rsidRPr="00DE5D68">
        <w:rPr>
          <w:rFonts w:cs="Arial"/>
          <w:szCs w:val="20"/>
        </w:rPr>
        <w:t xml:space="preserve">Share (other than a financial institution acting as an intermediary) is registered as the holder of the </w:t>
      </w:r>
      <w:r w:rsidR="00966322">
        <w:rPr>
          <w:rFonts w:cs="Arial"/>
          <w:szCs w:val="20"/>
        </w:rPr>
        <w:t>Ordinary</w:t>
      </w:r>
      <w:r w:rsidRPr="00DE5D68" w:rsidR="00966322">
        <w:rPr>
          <w:rFonts w:cs="Arial"/>
          <w:szCs w:val="20"/>
        </w:rPr>
        <w:t xml:space="preserve"> </w:t>
      </w:r>
      <w:r w:rsidRPr="00DE5D68">
        <w:rPr>
          <w:rFonts w:cs="Arial"/>
          <w:szCs w:val="20"/>
        </w:rPr>
        <w:t xml:space="preserve">Share on the Company’s share register. Such Shareholders will be required to provide information to the Company to allow the Company to satisfy its obligations under FATCA, although it is expected that whilst a Share is held in uncertificated form through CREST, the holder of that Share will likely be a financial institution acting as an intermediary. Additionally, even if the </w:t>
      </w:r>
      <w:r w:rsidR="00966322">
        <w:rPr>
          <w:rFonts w:cs="Arial"/>
          <w:szCs w:val="20"/>
        </w:rPr>
        <w:t>Ordinary</w:t>
      </w:r>
      <w:r w:rsidRPr="00DE5D68" w:rsidR="00966322">
        <w:rPr>
          <w:rFonts w:cs="Arial"/>
          <w:szCs w:val="20"/>
        </w:rPr>
        <w:t xml:space="preserve"> </w:t>
      </w:r>
      <w:r w:rsidRPr="00DE5D68">
        <w:rPr>
          <w:rFonts w:cs="Arial"/>
          <w:szCs w:val="20"/>
        </w:rPr>
        <w:t>Shares are considered regularly traded on an established securitie</w:t>
      </w:r>
      <w:r w:rsidR="00966322">
        <w:rPr>
          <w:rFonts w:cs="Arial"/>
          <w:szCs w:val="20"/>
        </w:rPr>
        <w:t xml:space="preserve">s market, Shareholders that own </w:t>
      </w:r>
      <w:r w:rsidRPr="00DE5D68">
        <w:rPr>
          <w:rFonts w:cs="Arial"/>
          <w:szCs w:val="20"/>
        </w:rPr>
        <w:t xml:space="preserve">the </w:t>
      </w:r>
      <w:r w:rsidR="00966322">
        <w:rPr>
          <w:rFonts w:cs="Arial"/>
          <w:szCs w:val="20"/>
        </w:rPr>
        <w:t>Ordinary</w:t>
      </w:r>
      <w:r w:rsidRPr="00DE5D68" w:rsidR="00966322">
        <w:rPr>
          <w:rFonts w:cs="Arial"/>
          <w:szCs w:val="20"/>
        </w:rPr>
        <w:t xml:space="preserve"> </w:t>
      </w:r>
      <w:r w:rsidRPr="00DE5D68">
        <w:rPr>
          <w:rFonts w:cs="Arial"/>
          <w:szCs w:val="20"/>
        </w:rPr>
        <w:t xml:space="preserve">Shares through financial intermediaries may be required to provide information to such financial intermediaries in order to allow the financial intermediaries to satisfy their obligations under FATCA. Notwithstanding the foregoing, the relevant rules under FATCA may change and, even if the </w:t>
      </w:r>
      <w:r w:rsidR="00966322">
        <w:rPr>
          <w:rFonts w:cs="Arial"/>
          <w:szCs w:val="20"/>
        </w:rPr>
        <w:t>Ordinary</w:t>
      </w:r>
      <w:r w:rsidRPr="00DE5D68" w:rsidR="00966322">
        <w:rPr>
          <w:rFonts w:cs="Arial"/>
          <w:szCs w:val="20"/>
        </w:rPr>
        <w:t xml:space="preserve"> </w:t>
      </w:r>
      <w:r w:rsidRPr="00DE5D68">
        <w:rPr>
          <w:rFonts w:cs="Arial"/>
          <w:szCs w:val="20"/>
        </w:rPr>
        <w:t>Shares are considered regularly traded on an established securities market, Shareholders may, in the future, be required to provide information to the Company in order to allow the Company to satisfy its obligations under FATCA.</w:t>
      </w:r>
    </w:p>
    <w:p w:rsidRPr="00DE5D68" w:rsidR="007B6A5A" w:rsidP="00C27D12" w:rsidRDefault="007B6A5A" w14:paraId="60359860" w14:textId="3D76DE71">
      <w:pPr>
        <w:autoSpaceDE w:val="0"/>
        <w:autoSpaceDN w:val="0"/>
        <w:adjustRightInd w:val="0"/>
        <w:snapToGrid w:val="0"/>
        <w:rPr>
          <w:rFonts w:cs="Arial"/>
          <w:szCs w:val="20"/>
        </w:rPr>
      </w:pPr>
      <w:r w:rsidRPr="00DE5D68">
        <w:rPr>
          <w:rFonts w:cs="Arial"/>
          <w:szCs w:val="20"/>
        </w:rPr>
        <w:t>Guernsey has also implemented the</w:t>
      </w:r>
      <w:r w:rsidRPr="00DE5D68" w:rsidR="00CD4B4B">
        <w:rPr>
          <w:rFonts w:cs="Arial"/>
          <w:szCs w:val="20"/>
        </w:rPr>
        <w:t xml:space="preserve"> "CRS" regime with effect </w:t>
      </w:r>
      <w:r w:rsidRPr="00DE5D68">
        <w:rPr>
          <w:rFonts w:cs="Arial"/>
          <w:szCs w:val="20"/>
        </w:rPr>
        <w:t>from 1 January 2016. Accordingly, reporting in respect of periods c</w:t>
      </w:r>
      <w:r w:rsidRPr="00DE5D68" w:rsidR="00CD4B4B">
        <w:rPr>
          <w:rFonts w:cs="Arial"/>
          <w:szCs w:val="20"/>
        </w:rPr>
        <w:t xml:space="preserve">ommencing on or after 1 January </w:t>
      </w:r>
      <w:r w:rsidRPr="00DE5D68">
        <w:rPr>
          <w:rFonts w:cs="Arial"/>
          <w:szCs w:val="20"/>
        </w:rPr>
        <w:t>2016 is required in accordance with the CRS (as implemented in Guernsey).</w:t>
      </w:r>
    </w:p>
    <w:p w:rsidRPr="00DE5D68" w:rsidR="007B6A5A" w:rsidP="00C27D12" w:rsidRDefault="00441EE5" w14:paraId="6EE60F85" w14:textId="6BF4A2FC">
      <w:pPr>
        <w:autoSpaceDE w:val="0"/>
        <w:autoSpaceDN w:val="0"/>
        <w:adjustRightInd w:val="0"/>
        <w:snapToGrid w:val="0"/>
        <w:rPr>
          <w:rFonts w:cs="Arial"/>
          <w:szCs w:val="20"/>
        </w:rPr>
      </w:pPr>
      <w:r w:rsidRPr="00DE5D68">
        <w:rPr>
          <w:rFonts w:cs="Arial"/>
          <w:szCs w:val="20"/>
        </w:rPr>
        <w:lastRenderedPageBreak/>
        <w:t xml:space="preserve">Under the CRS and legislation enacted in Guernsey to implement the CRS, certain disclosure requirements have been imposed in respect of certain investors who are, or are entities that are controlled by one or more natural persons who are, residents of </w:t>
      </w:r>
      <w:r>
        <w:rPr>
          <w:rFonts w:cs="Arial"/>
          <w:szCs w:val="20"/>
        </w:rPr>
        <w:t>other CRS Reportable Jurisdictions</w:t>
      </w:r>
      <w:r w:rsidRPr="00DE5D68">
        <w:rPr>
          <w:rFonts w:cs="Arial"/>
          <w:szCs w:val="20"/>
        </w:rPr>
        <w:t>, unless a relevant exemption applies. Certain due diligence obligations have also been imposed.  Where applicable, information to be disclosed includes certain information about investors, their ultimate beneficial owners and/or controllers, and their investment in and returns from the Company. The CRS has been implemented through Guernsey’s domestic legislation in accordance with guidance issued by the Organisation for Economic Cooperation and Development ("</w:t>
      </w:r>
      <w:r w:rsidRPr="00DE5D68">
        <w:rPr>
          <w:rFonts w:cs="Arial"/>
          <w:b/>
          <w:szCs w:val="20"/>
        </w:rPr>
        <w:t>OECD</w:t>
      </w:r>
      <w:r w:rsidRPr="00FF6CB6">
        <w:rPr>
          <w:rFonts w:cs="Arial"/>
          <w:szCs w:val="20"/>
        </w:rPr>
        <w:t>")</w:t>
      </w:r>
      <w:r w:rsidRPr="00DE5D68">
        <w:rPr>
          <w:rFonts w:cs="Arial"/>
          <w:szCs w:val="20"/>
        </w:rPr>
        <w:t xml:space="preserve"> as supplemented by guidance notes in Guernsey.</w:t>
      </w:r>
    </w:p>
    <w:p w:rsidRPr="00DE5D68" w:rsidR="007B6A5A" w:rsidP="00C27D12" w:rsidRDefault="007B6A5A" w14:paraId="76DAD494" w14:textId="0889FE90">
      <w:pPr>
        <w:autoSpaceDE w:val="0"/>
        <w:autoSpaceDN w:val="0"/>
        <w:adjustRightInd w:val="0"/>
        <w:snapToGrid w:val="0"/>
        <w:rPr>
          <w:rFonts w:cs="Arial"/>
          <w:szCs w:val="20"/>
        </w:rPr>
      </w:pPr>
      <w:r w:rsidRPr="00DE5D68">
        <w:rPr>
          <w:rFonts w:cs="Arial"/>
          <w:szCs w:val="20"/>
        </w:rPr>
        <w:t xml:space="preserve">Under the CRS, disclosure of information will be made to </w:t>
      </w:r>
      <w:r w:rsidRPr="00DE5D68" w:rsidR="00CD4B4B">
        <w:rPr>
          <w:rFonts w:cs="Arial"/>
          <w:szCs w:val="20"/>
        </w:rPr>
        <w:t xml:space="preserve">Guernsey </w:t>
      </w:r>
      <w:r w:rsidRPr="00DE5D68" w:rsidR="00694368">
        <w:rPr>
          <w:rFonts w:cs="Arial"/>
          <w:szCs w:val="20"/>
        </w:rPr>
        <w:t xml:space="preserve">Revenue Service </w:t>
      </w:r>
      <w:r w:rsidRPr="00DE5D68">
        <w:rPr>
          <w:rFonts w:cs="Arial"/>
          <w:szCs w:val="20"/>
        </w:rPr>
        <w:t>for transmission to the tax authorities in other participating jurisdictions.</w:t>
      </w:r>
    </w:p>
    <w:p w:rsidRPr="00DE5D68" w:rsidR="00694368" w:rsidP="00694368" w:rsidRDefault="00694368" w14:paraId="0CE5673F" w14:textId="5854406A">
      <w:pPr>
        <w:autoSpaceDE w:val="0"/>
        <w:autoSpaceDN w:val="0"/>
        <w:adjustRightInd w:val="0"/>
        <w:snapToGrid w:val="0"/>
        <w:rPr>
          <w:rFonts w:cs="Arial"/>
          <w:szCs w:val="20"/>
        </w:rPr>
      </w:pPr>
      <w:r w:rsidRPr="00DE5D68">
        <w:rPr>
          <w:rFonts w:cs="Arial"/>
          <w:szCs w:val="20"/>
        </w:rPr>
        <w:t>Under the CRS, there is currently no reporting exemption for securities that are “regularly traded” on an established securities market, although it is expected that whilst a</w:t>
      </w:r>
      <w:r w:rsidR="00966322">
        <w:rPr>
          <w:rFonts w:cs="Arial"/>
          <w:szCs w:val="20"/>
        </w:rPr>
        <w:t>n Ordinary</w:t>
      </w:r>
      <w:r w:rsidRPr="00DE5D68">
        <w:rPr>
          <w:rFonts w:cs="Arial"/>
          <w:szCs w:val="20"/>
        </w:rPr>
        <w:t xml:space="preserve"> Share is held in uncertificated form through CREST, the holder of the </w:t>
      </w:r>
      <w:r w:rsidR="00966322">
        <w:rPr>
          <w:rFonts w:cs="Arial"/>
          <w:szCs w:val="20"/>
        </w:rPr>
        <w:t>Ordinary</w:t>
      </w:r>
      <w:r w:rsidRPr="00DE5D68" w:rsidR="00966322">
        <w:rPr>
          <w:rFonts w:cs="Arial"/>
          <w:szCs w:val="20"/>
        </w:rPr>
        <w:t xml:space="preserve"> </w:t>
      </w:r>
      <w:r w:rsidRPr="00DE5D68">
        <w:rPr>
          <w:rFonts w:cs="Arial"/>
          <w:szCs w:val="20"/>
        </w:rPr>
        <w:t xml:space="preserve">Share will likely be a financial institution acting as an intermediary. Shareholders that own the </w:t>
      </w:r>
      <w:r w:rsidR="00966322">
        <w:rPr>
          <w:rFonts w:cs="Arial"/>
          <w:szCs w:val="20"/>
        </w:rPr>
        <w:t>Ordinary</w:t>
      </w:r>
      <w:r w:rsidRPr="00DE5D68" w:rsidR="00966322">
        <w:rPr>
          <w:rFonts w:cs="Arial"/>
          <w:szCs w:val="20"/>
        </w:rPr>
        <w:t xml:space="preserve"> </w:t>
      </w:r>
      <w:r w:rsidRPr="00DE5D68">
        <w:rPr>
          <w:rFonts w:cs="Arial"/>
          <w:szCs w:val="20"/>
        </w:rPr>
        <w:t>Shares through a financial intermediary may be required to provide information to such financial intermediary in order to allow the financial intermediary to satisfy its obligations under the CRS.</w:t>
      </w:r>
    </w:p>
    <w:p w:rsidRPr="00DE5D68" w:rsidR="00694368" w:rsidP="00694368" w:rsidRDefault="00694368" w14:paraId="57B680E6" w14:textId="2978D157">
      <w:pPr>
        <w:autoSpaceDE w:val="0"/>
        <w:autoSpaceDN w:val="0"/>
        <w:adjustRightInd w:val="0"/>
        <w:snapToGrid w:val="0"/>
        <w:rPr>
          <w:rFonts w:cs="Arial"/>
          <w:szCs w:val="20"/>
        </w:rPr>
      </w:pPr>
      <w:r w:rsidRPr="00DE5D68">
        <w:rPr>
          <w:rFonts w:cs="Arial"/>
          <w:szCs w:val="20"/>
        </w:rPr>
        <w:t>If the Company fails to comply with any due diligence and/or reporting requirements under Guernsey legislation implementing the US-Guernsey IGA and/or the CRS</w:t>
      </w:r>
      <w:r w:rsidR="00441EE5">
        <w:rPr>
          <w:rFonts w:cs="Arial"/>
          <w:szCs w:val="20"/>
        </w:rPr>
        <w:t>,</w:t>
      </w:r>
      <w:r w:rsidRPr="00DE5D68">
        <w:rPr>
          <w:rFonts w:cs="Arial"/>
          <w:szCs w:val="20"/>
        </w:rPr>
        <w:t xml:space="preserve"> then the Company could be subject to (in the case of the US-Guernsey IGA) US withholding tax on certain US source payments, and (in all cases) the imposition of financial penalties introduced pursuant to the relevant implementing regulations in Guernsey. Whilst the Company will seek to satisfy its obligations under the US-Guernsey IGA and the CRS and associated implementing legislation in Guernsey to avoid the imposition of any financial penalties under Guernsey law, the ability of the Company to satisfy such obligations will depend on receiving relevant information and/or documentation about each Shareholder and the direct and indirect beneficial owners and/or controllers of the Shareholders (if any). There can be no assurance that the Company will be able to satisfy such obligations.</w:t>
      </w:r>
    </w:p>
    <w:p w:rsidRPr="00DE5D68" w:rsidR="007B6A5A" w:rsidP="00C27D12" w:rsidRDefault="007B6A5A" w14:paraId="5793B9D5" w14:textId="6C9A3011">
      <w:pPr>
        <w:autoSpaceDE w:val="0"/>
        <w:autoSpaceDN w:val="0"/>
        <w:adjustRightInd w:val="0"/>
        <w:snapToGrid w:val="0"/>
        <w:rPr>
          <w:rFonts w:cs="Arial"/>
          <w:szCs w:val="20"/>
        </w:rPr>
      </w:pPr>
      <w:r w:rsidRPr="00DE5D68">
        <w:rPr>
          <w:rFonts w:cs="Arial"/>
          <w:szCs w:val="20"/>
        </w:rPr>
        <w:t xml:space="preserve">In subscribing for or acquiring </w:t>
      </w:r>
      <w:r w:rsidR="00ED26CA">
        <w:rPr>
          <w:rFonts w:cs="Arial"/>
          <w:szCs w:val="20"/>
        </w:rPr>
        <w:t xml:space="preserve">Ordinary </w:t>
      </w:r>
      <w:r w:rsidRPr="00DE5D68" w:rsidR="00140CB9">
        <w:rPr>
          <w:rFonts w:cs="Arial"/>
          <w:szCs w:val="20"/>
        </w:rPr>
        <w:t>Shares</w:t>
      </w:r>
      <w:r w:rsidRPr="00DE5D68">
        <w:rPr>
          <w:rFonts w:cs="Arial"/>
          <w:szCs w:val="20"/>
        </w:rPr>
        <w:t>, each Shareholder is agreeing, upon the req</w:t>
      </w:r>
      <w:r w:rsidRPr="00DE5D68" w:rsidR="00CD4B4B">
        <w:rPr>
          <w:rFonts w:cs="Arial"/>
          <w:szCs w:val="20"/>
        </w:rPr>
        <w:t xml:space="preserve">uest of the </w:t>
      </w:r>
      <w:r w:rsidRPr="00DE5D68">
        <w:rPr>
          <w:rFonts w:cs="Arial"/>
          <w:szCs w:val="20"/>
        </w:rPr>
        <w:t>Company or its delegate, to provide such information as is nece</w:t>
      </w:r>
      <w:r w:rsidRPr="00DE5D68" w:rsidR="00CD4B4B">
        <w:rPr>
          <w:rFonts w:cs="Arial"/>
          <w:szCs w:val="20"/>
        </w:rPr>
        <w:t xml:space="preserve">ssary to comply with FATCA, the </w:t>
      </w:r>
      <w:r w:rsidRPr="00DE5D68">
        <w:rPr>
          <w:rFonts w:cs="Arial"/>
          <w:szCs w:val="20"/>
        </w:rPr>
        <w:t>Common Reporting Standard and other similar regim</w:t>
      </w:r>
      <w:r w:rsidRPr="00DE5D68" w:rsidR="00CD4B4B">
        <w:rPr>
          <w:rFonts w:cs="Arial"/>
          <w:szCs w:val="20"/>
        </w:rPr>
        <w:t xml:space="preserve">es and any related legislation, </w:t>
      </w:r>
      <w:r w:rsidRPr="00DE5D68">
        <w:rPr>
          <w:rFonts w:cs="Arial"/>
          <w:szCs w:val="20"/>
        </w:rPr>
        <w:t>intergovernmental agreements and/or regulations.</w:t>
      </w:r>
    </w:p>
    <w:p w:rsidRPr="00521B01" w:rsidR="00DA316B" w:rsidP="00DA316B" w:rsidRDefault="00DA316B" w14:paraId="0AF3ACC3" w14:textId="7BE5C839">
      <w:pPr>
        <w:autoSpaceDE w:val="0"/>
        <w:autoSpaceDN w:val="0"/>
        <w:adjustRightInd w:val="0"/>
        <w:snapToGrid w:val="0"/>
        <w:rPr>
          <w:rFonts w:cs="Arial"/>
          <w:b/>
          <w:szCs w:val="20"/>
        </w:rPr>
      </w:pPr>
      <w:r w:rsidRPr="00521B01">
        <w:rPr>
          <w:rFonts w:cs="Arial"/>
          <w:b/>
          <w:szCs w:val="20"/>
        </w:rPr>
        <w:t xml:space="preserve">FATCA / CRS AND SIMILAR MEASURES FOR THE AUTOMATIC EXCHANGE OF INFORMATION ARE PARTICULARLY COMPLEX AND THEIR APPLICATION TO THE COMPANY, THE </w:t>
      </w:r>
      <w:r w:rsidR="00ED26CA">
        <w:rPr>
          <w:rFonts w:cs="Arial"/>
          <w:b/>
          <w:szCs w:val="20"/>
        </w:rPr>
        <w:t xml:space="preserve">ORDINARY </w:t>
      </w:r>
      <w:r w:rsidRPr="00521B01">
        <w:rPr>
          <w:rFonts w:cs="Arial"/>
          <w:b/>
          <w:szCs w:val="20"/>
        </w:rPr>
        <w:t xml:space="preserve">SHARES AND THE SHAREHOLDERS IS SUBJECT TO CHANGE. EACH SHAREHOLDER OF </w:t>
      </w:r>
      <w:r w:rsidR="00ED26CA">
        <w:rPr>
          <w:rFonts w:cs="Arial"/>
          <w:b/>
          <w:szCs w:val="20"/>
        </w:rPr>
        <w:t xml:space="preserve">ORDINARY </w:t>
      </w:r>
      <w:r w:rsidRPr="00521B01">
        <w:rPr>
          <w:rFonts w:cs="Arial"/>
          <w:b/>
          <w:szCs w:val="20"/>
        </w:rPr>
        <w:t>SHARES SHOULD CONSULT ITS OWN TAX ADVISER TO OBTAIN A MORE DETAILED EXPLANATION OF FATCA / CRS AND TO LEARN HOW FATCA MIGHT AFFECT EACH SHAREHOLDER IN ITS PARTICULAR CIRCUMSTANCE.</w:t>
      </w:r>
    </w:p>
    <w:p w:rsidRPr="00DE5D68" w:rsidR="00852CD1" w:rsidP="00C27D12" w:rsidRDefault="00852CD1" w14:paraId="64B7A489" w14:textId="712B0709">
      <w:pPr>
        <w:autoSpaceDE w:val="0"/>
        <w:autoSpaceDN w:val="0"/>
        <w:adjustRightInd w:val="0"/>
        <w:snapToGrid w:val="0"/>
        <w:rPr>
          <w:rFonts w:cs="Arial"/>
          <w:szCs w:val="20"/>
        </w:rPr>
      </w:pPr>
      <w:r w:rsidRPr="00DE5D68">
        <w:rPr>
          <w:rFonts w:cs="Arial"/>
          <w:szCs w:val="20"/>
        </w:rPr>
        <w:t xml:space="preserve">Any person whose holding or beneficial ownership of </w:t>
      </w:r>
      <w:r w:rsidR="00ED26CA">
        <w:rPr>
          <w:rFonts w:cs="Arial"/>
          <w:szCs w:val="20"/>
        </w:rPr>
        <w:t>Ordinary</w:t>
      </w:r>
      <w:r w:rsidRPr="00DE5D68" w:rsidR="00ED26CA">
        <w:rPr>
          <w:rFonts w:cs="Arial"/>
          <w:szCs w:val="20"/>
        </w:rPr>
        <w:t xml:space="preserve"> </w:t>
      </w:r>
      <w:r w:rsidRPr="00DE5D68">
        <w:rPr>
          <w:rFonts w:cs="Arial"/>
          <w:szCs w:val="20"/>
        </w:rPr>
        <w:t xml:space="preserve">Shares may result in the Company having or being subject to withholding obligations under, or being in violation of, FATCA or measures similar to FATCA will be considered a Non-Qualified Holder. Accordingly, the Board has the power to require the sale or transfer of </w:t>
      </w:r>
      <w:r w:rsidR="00ED26CA">
        <w:rPr>
          <w:rFonts w:cs="Arial"/>
          <w:szCs w:val="20"/>
        </w:rPr>
        <w:t>Ordinary</w:t>
      </w:r>
      <w:r w:rsidRPr="00DE5D68" w:rsidR="00ED26CA">
        <w:rPr>
          <w:rFonts w:cs="Arial"/>
          <w:szCs w:val="20"/>
        </w:rPr>
        <w:t xml:space="preserve"> </w:t>
      </w:r>
      <w:r w:rsidRPr="00DE5D68">
        <w:rPr>
          <w:rFonts w:cs="Arial"/>
          <w:szCs w:val="20"/>
        </w:rPr>
        <w:t>Shares held by such person.</w:t>
      </w:r>
    </w:p>
    <w:p w:rsidRPr="00DE5D68" w:rsidR="007B6A5A" w:rsidP="00C27D12" w:rsidRDefault="007B6A5A" w14:paraId="10DA55FB" w14:textId="74AFE91C">
      <w:pPr>
        <w:autoSpaceDE w:val="0"/>
        <w:autoSpaceDN w:val="0"/>
        <w:adjustRightInd w:val="0"/>
        <w:snapToGrid w:val="0"/>
        <w:rPr>
          <w:rFonts w:cs="Arial"/>
          <w:szCs w:val="20"/>
        </w:rPr>
      </w:pPr>
      <w:r w:rsidRPr="00DE5D68">
        <w:rPr>
          <w:rFonts w:cs="Arial"/>
          <w:szCs w:val="20"/>
        </w:rPr>
        <w:t>Investors should consult with their respective tax advisers regardi</w:t>
      </w:r>
      <w:r w:rsidRPr="00DE5D68" w:rsidR="00CD4B4B">
        <w:rPr>
          <w:rFonts w:cs="Arial"/>
          <w:szCs w:val="20"/>
        </w:rPr>
        <w:t xml:space="preserve">ng the possible implications of </w:t>
      </w:r>
      <w:r w:rsidRPr="00DE5D68">
        <w:rPr>
          <w:rFonts w:cs="Arial"/>
          <w:szCs w:val="20"/>
        </w:rPr>
        <w:t>FATCA, the CRS and any similar regimes concerning the automat</w:t>
      </w:r>
      <w:r w:rsidRPr="00DE5D68" w:rsidR="00CD4B4B">
        <w:rPr>
          <w:rFonts w:cs="Arial"/>
          <w:szCs w:val="20"/>
        </w:rPr>
        <w:t xml:space="preserve">ic exchange of information, any </w:t>
      </w:r>
      <w:r w:rsidRPr="00DE5D68">
        <w:rPr>
          <w:rFonts w:cs="Arial"/>
          <w:szCs w:val="20"/>
        </w:rPr>
        <w:t>other related legislation, intergovernmental agreements and/or regulations on their</w:t>
      </w:r>
      <w:r w:rsidRPr="00DE5D68" w:rsidR="00CD4B4B">
        <w:rPr>
          <w:rFonts w:cs="Arial"/>
          <w:szCs w:val="20"/>
        </w:rPr>
        <w:t xml:space="preserve"> investment in the </w:t>
      </w:r>
      <w:r w:rsidRPr="00DE5D68">
        <w:rPr>
          <w:rFonts w:cs="Arial"/>
          <w:szCs w:val="20"/>
        </w:rPr>
        <w:t>Company.</w:t>
      </w:r>
      <w:r w:rsidRPr="00DE5D68" w:rsidR="00852CD1">
        <w:rPr>
          <w:rFonts w:cs="Arial"/>
          <w:szCs w:val="20"/>
        </w:rPr>
        <w:t xml:space="preserve"> If a Shareholder fails to provide the Company or the Administrator with information that is required by any of them to allow them to comply with any of the above reporting requirements, or any similar reporting requirements, adverse consequences may apply.</w:t>
      </w:r>
    </w:p>
    <w:p w:rsidRPr="00DE5D68" w:rsidR="007B6A5A" w:rsidP="00C27D12" w:rsidRDefault="007B6A5A" w14:paraId="23213C60" w14:textId="28151792">
      <w:pPr>
        <w:keepNext/>
        <w:autoSpaceDE w:val="0"/>
        <w:autoSpaceDN w:val="0"/>
        <w:adjustRightInd w:val="0"/>
        <w:snapToGrid w:val="0"/>
        <w:rPr>
          <w:rFonts w:cs="Arial"/>
          <w:b/>
          <w:i/>
          <w:szCs w:val="20"/>
        </w:rPr>
      </w:pPr>
      <w:r w:rsidRPr="00DE5D68">
        <w:rPr>
          <w:rFonts w:cs="Arial"/>
          <w:b/>
          <w:i/>
          <w:szCs w:val="20"/>
        </w:rPr>
        <w:t>Shareholders</w:t>
      </w:r>
    </w:p>
    <w:p w:rsidRPr="00DE5D68" w:rsidR="005478AF" w:rsidP="005478AF" w:rsidRDefault="005478AF" w14:paraId="6385C9E9" w14:textId="09A16C36">
      <w:pPr>
        <w:autoSpaceDE w:val="0"/>
        <w:autoSpaceDN w:val="0"/>
        <w:adjustRightInd w:val="0"/>
        <w:snapToGrid w:val="0"/>
        <w:rPr>
          <w:rFonts w:cs="Arial"/>
          <w:szCs w:val="20"/>
        </w:rPr>
      </w:pPr>
      <w:r w:rsidRPr="00DE5D68">
        <w:rPr>
          <w:rFonts w:cs="Arial"/>
          <w:szCs w:val="20"/>
        </w:rPr>
        <w:t>Shareholders who are not resident in Guernsey for tax purposes can receive distributions without deduction of Guernsey income tax.</w:t>
      </w:r>
    </w:p>
    <w:p w:rsidRPr="00DE5D68" w:rsidR="005478AF" w:rsidP="005478AF" w:rsidRDefault="00441EE5" w14:paraId="10C11BED" w14:textId="1CF37F84">
      <w:pPr>
        <w:autoSpaceDE w:val="0"/>
        <w:autoSpaceDN w:val="0"/>
        <w:adjustRightInd w:val="0"/>
        <w:snapToGrid w:val="0"/>
        <w:rPr>
          <w:rFonts w:cs="Arial"/>
          <w:szCs w:val="20"/>
        </w:rPr>
      </w:pPr>
      <w:r w:rsidRPr="00DE5D68">
        <w:rPr>
          <w:rFonts w:cs="Arial"/>
          <w:szCs w:val="20"/>
        </w:rPr>
        <w:t xml:space="preserve">Shareholders who are resident for tax purposes in Guernsey (which includes Alderney and Herm) will incur Guernsey income tax at the applicable rate on a distribution paid to them (subject to their own </w:t>
      </w:r>
      <w:r w:rsidRPr="00DE5D68">
        <w:rPr>
          <w:rFonts w:cs="Arial"/>
          <w:szCs w:val="20"/>
        </w:rPr>
        <w:lastRenderedPageBreak/>
        <w:t xml:space="preserve">circumstances). </w:t>
      </w:r>
      <w:r>
        <w:rPr>
          <w:rFonts w:cs="Arial"/>
          <w:szCs w:val="20"/>
        </w:rPr>
        <w:t>Provided the Company maintains its exempt status, it will have no obligation to withhold any Guernsey tax, however, t</w:t>
      </w:r>
      <w:r w:rsidRPr="00DE5D68">
        <w:rPr>
          <w:rFonts w:cs="Arial"/>
          <w:szCs w:val="20"/>
        </w:rPr>
        <w:t>he Company will be required to provide the Guernsey Revenue Service such particulars relating to any distribution paid to Guernsey resident Shareholders as the Revenue Service may require, including the names and addresses of the Guernsey resident Shareholders, the gross amount of any distribution paid and the date of the payment.</w:t>
      </w:r>
    </w:p>
    <w:p w:rsidRPr="00DE5D68" w:rsidR="00CE6420" w:rsidP="00CE6420" w:rsidRDefault="00CE6420" w14:paraId="71C19650" w14:textId="77777777">
      <w:pPr>
        <w:autoSpaceDE w:val="0"/>
        <w:autoSpaceDN w:val="0"/>
        <w:adjustRightInd w:val="0"/>
        <w:snapToGrid w:val="0"/>
        <w:rPr>
          <w:rFonts w:cs="Arial"/>
          <w:szCs w:val="20"/>
          <w:lang w:val="x-none"/>
        </w:rPr>
      </w:pPr>
      <w:r w:rsidRPr="00DE5D68">
        <w:rPr>
          <w:rFonts w:cs="Arial"/>
          <w:szCs w:val="20"/>
          <w:lang w:val="x-none"/>
        </w:rPr>
        <w:t>Distributions made by the Company to non-Guernsey resident Shareholders, whether made during</w:t>
      </w:r>
      <w:r w:rsidRPr="00DE5D68">
        <w:rPr>
          <w:rFonts w:cs="Arial"/>
          <w:szCs w:val="20"/>
        </w:rPr>
        <w:t xml:space="preserve"> </w:t>
      </w:r>
      <w:r w:rsidRPr="00DE5D68">
        <w:rPr>
          <w:rFonts w:cs="Arial"/>
          <w:szCs w:val="20"/>
          <w:lang w:val="x-none"/>
        </w:rPr>
        <w:t>the life of the Company or by distribution on liquidation, will not be subject to Guernsey tax</w:t>
      </w:r>
      <w:r w:rsidRPr="00DE5D68">
        <w:rPr>
          <w:rFonts w:cs="Arial"/>
          <w:szCs w:val="20"/>
        </w:rPr>
        <w:t xml:space="preserve"> </w:t>
      </w:r>
      <w:r w:rsidRPr="00DE5D68">
        <w:rPr>
          <w:rFonts w:cs="Arial"/>
          <w:szCs w:val="20"/>
          <w:lang w:val="x-none"/>
        </w:rPr>
        <w:t>provided such payments are not taken into account in computing the profits of any permanent</w:t>
      </w:r>
      <w:r w:rsidRPr="00DE5D68">
        <w:rPr>
          <w:rFonts w:cs="Arial"/>
          <w:szCs w:val="20"/>
        </w:rPr>
        <w:t xml:space="preserve"> </w:t>
      </w:r>
      <w:r w:rsidRPr="00DE5D68">
        <w:rPr>
          <w:rFonts w:cs="Arial"/>
          <w:szCs w:val="20"/>
          <w:lang w:val="x-none"/>
        </w:rPr>
        <w:t>establishment situate</w:t>
      </w:r>
      <w:r w:rsidRPr="00DE5D68">
        <w:rPr>
          <w:rFonts w:cs="Arial"/>
          <w:szCs w:val="20"/>
        </w:rPr>
        <w:t>d</w:t>
      </w:r>
      <w:r w:rsidRPr="00DE5D68">
        <w:rPr>
          <w:rFonts w:cs="Arial"/>
          <w:szCs w:val="20"/>
          <w:lang w:val="x-none"/>
        </w:rPr>
        <w:t xml:space="preserve"> in Guernsey through which such Shareholder carries on a business in</w:t>
      </w:r>
      <w:r w:rsidRPr="00DE5D68">
        <w:rPr>
          <w:rFonts w:cs="Arial"/>
          <w:szCs w:val="20"/>
        </w:rPr>
        <w:t xml:space="preserve"> </w:t>
      </w:r>
      <w:r w:rsidRPr="00DE5D68">
        <w:rPr>
          <w:rFonts w:cs="Arial"/>
          <w:szCs w:val="20"/>
          <w:lang w:val="x-none"/>
        </w:rPr>
        <w:t>Guernsey.</w:t>
      </w:r>
    </w:p>
    <w:p w:rsidRPr="00DE5D68" w:rsidR="00CE6420" w:rsidP="00852CD1" w:rsidRDefault="00CE6420" w14:paraId="349BF8CD" w14:textId="07CA68E2">
      <w:pPr>
        <w:keepNext/>
        <w:autoSpaceDE w:val="0"/>
        <w:autoSpaceDN w:val="0"/>
        <w:adjustRightInd w:val="0"/>
        <w:snapToGrid w:val="0"/>
        <w:rPr>
          <w:rFonts w:cs="Arial"/>
          <w:szCs w:val="20"/>
        </w:rPr>
      </w:pPr>
      <w:r w:rsidRPr="00DE5D68">
        <w:rPr>
          <w:rFonts w:cs="Arial"/>
          <w:szCs w:val="20"/>
          <w:lang w:val="x-none"/>
        </w:rPr>
        <w:t>Shareholders, whether or not Guernsey resident, should not be liable to Guernsey tax on disposal</w:t>
      </w:r>
      <w:r w:rsidRPr="00DE5D68">
        <w:rPr>
          <w:rFonts w:cs="Arial"/>
          <w:szCs w:val="20"/>
        </w:rPr>
        <w:t xml:space="preserve"> </w:t>
      </w:r>
      <w:r w:rsidRPr="00DE5D68">
        <w:rPr>
          <w:rFonts w:cs="Arial"/>
          <w:szCs w:val="20"/>
          <w:lang w:val="x-none"/>
        </w:rPr>
        <w:t>of</w:t>
      </w:r>
      <w:r w:rsidRPr="00DE5D68">
        <w:rPr>
          <w:rFonts w:cs="Arial"/>
          <w:szCs w:val="20"/>
        </w:rPr>
        <w:t xml:space="preserve"> </w:t>
      </w:r>
      <w:r w:rsidR="00ED26CA">
        <w:rPr>
          <w:rFonts w:cs="Arial"/>
          <w:szCs w:val="20"/>
        </w:rPr>
        <w:t>Ordinary</w:t>
      </w:r>
      <w:r w:rsidRPr="00DE5D68" w:rsidR="00ED26CA">
        <w:rPr>
          <w:rFonts w:cs="Arial"/>
          <w:szCs w:val="20"/>
        </w:rPr>
        <w:t xml:space="preserve"> </w:t>
      </w:r>
      <w:r w:rsidRPr="00DE5D68">
        <w:rPr>
          <w:rFonts w:cs="Arial"/>
          <w:szCs w:val="20"/>
        </w:rPr>
        <w:t>Shares</w:t>
      </w:r>
      <w:r w:rsidRPr="00DE5D68">
        <w:rPr>
          <w:rFonts w:cs="Arial"/>
          <w:szCs w:val="20"/>
          <w:lang w:val="x-none"/>
        </w:rPr>
        <w:t xml:space="preserve"> in the Company if those</w:t>
      </w:r>
      <w:r w:rsidRPr="00DE5D68">
        <w:rPr>
          <w:rFonts w:cs="Arial"/>
          <w:szCs w:val="20"/>
        </w:rPr>
        <w:t xml:space="preserve"> </w:t>
      </w:r>
      <w:r w:rsidR="00ED26CA">
        <w:rPr>
          <w:rFonts w:cs="Arial"/>
          <w:szCs w:val="20"/>
        </w:rPr>
        <w:t>Ordinary</w:t>
      </w:r>
      <w:r w:rsidRPr="00DE5D68" w:rsidR="00ED26CA">
        <w:rPr>
          <w:rFonts w:cs="Arial"/>
          <w:szCs w:val="20"/>
        </w:rPr>
        <w:t xml:space="preserve"> </w:t>
      </w:r>
      <w:r w:rsidRPr="00DE5D68">
        <w:rPr>
          <w:rFonts w:cs="Arial"/>
          <w:szCs w:val="20"/>
        </w:rPr>
        <w:t>Shares</w:t>
      </w:r>
      <w:r w:rsidRPr="00DE5D68">
        <w:rPr>
          <w:rFonts w:cs="Arial"/>
          <w:szCs w:val="20"/>
          <w:lang w:val="x-none"/>
        </w:rPr>
        <w:t xml:space="preserve"> are held for investment purposes.</w:t>
      </w:r>
      <w:r w:rsidRPr="00DE5D68">
        <w:rPr>
          <w:rFonts w:cs="Arial"/>
          <w:szCs w:val="20"/>
        </w:rPr>
        <w:t xml:space="preserve"> </w:t>
      </w:r>
      <w:r w:rsidRPr="00DE5D68">
        <w:rPr>
          <w:rFonts w:cs="Arial"/>
          <w:szCs w:val="20"/>
          <w:lang w:val="x-none"/>
        </w:rPr>
        <w:t xml:space="preserve">The Director of </w:t>
      </w:r>
      <w:r w:rsidRPr="00DE5D68">
        <w:rPr>
          <w:rFonts w:cs="Arial"/>
          <w:szCs w:val="20"/>
        </w:rPr>
        <w:t>the Revenue Service</w:t>
      </w:r>
      <w:r w:rsidRPr="00DE5D68">
        <w:rPr>
          <w:rFonts w:cs="Arial"/>
          <w:szCs w:val="20"/>
          <w:lang w:val="x-none"/>
        </w:rPr>
        <w:t xml:space="preserve"> can require the Company to provide the name and address of every</w:t>
      </w:r>
      <w:r w:rsidRPr="00DE5D68">
        <w:rPr>
          <w:rFonts w:cs="Arial"/>
          <w:szCs w:val="20"/>
        </w:rPr>
        <w:t xml:space="preserve"> </w:t>
      </w:r>
      <w:r w:rsidRPr="00DE5D68">
        <w:rPr>
          <w:rFonts w:cs="Arial"/>
          <w:szCs w:val="20"/>
          <w:lang w:val="x-none"/>
        </w:rPr>
        <w:t xml:space="preserve">Guernsey resident who, on a specified date, has a beneficial interest in the </w:t>
      </w:r>
      <w:r w:rsidR="00ED26CA">
        <w:rPr>
          <w:rFonts w:cs="Arial"/>
          <w:szCs w:val="20"/>
        </w:rPr>
        <w:t>Ordinary</w:t>
      </w:r>
      <w:r w:rsidRPr="00DE5D68" w:rsidR="00ED26CA">
        <w:rPr>
          <w:rFonts w:cs="Arial"/>
          <w:szCs w:val="20"/>
          <w:lang w:val="x-none"/>
        </w:rPr>
        <w:t xml:space="preserve"> </w:t>
      </w:r>
      <w:r w:rsidRPr="00DE5D68">
        <w:rPr>
          <w:rFonts w:cs="Arial"/>
          <w:szCs w:val="20"/>
          <w:lang w:val="x-none"/>
        </w:rPr>
        <w:t>Shares, with details of</w:t>
      </w:r>
      <w:r w:rsidRPr="00DE5D68">
        <w:rPr>
          <w:rFonts w:cs="Arial"/>
          <w:szCs w:val="20"/>
        </w:rPr>
        <w:t xml:space="preserve"> </w:t>
      </w:r>
      <w:r w:rsidRPr="00DE5D68">
        <w:rPr>
          <w:rFonts w:cs="Arial"/>
          <w:szCs w:val="20"/>
          <w:lang w:val="x-none"/>
        </w:rPr>
        <w:t>the interest.</w:t>
      </w:r>
    </w:p>
    <w:p w:rsidRPr="00DE5D68" w:rsidR="00852CD1" w:rsidP="00852CD1" w:rsidRDefault="00852CD1" w14:paraId="57E2A019" w14:textId="77777777">
      <w:pPr>
        <w:keepNext/>
        <w:autoSpaceDE w:val="0"/>
        <w:autoSpaceDN w:val="0"/>
        <w:adjustRightInd w:val="0"/>
        <w:snapToGrid w:val="0"/>
        <w:rPr>
          <w:rFonts w:cs="Arial"/>
          <w:szCs w:val="20"/>
        </w:rPr>
      </w:pPr>
      <w:r w:rsidRPr="00DE5D68">
        <w:rPr>
          <w:rFonts w:cs="Arial"/>
          <w:szCs w:val="20"/>
        </w:rPr>
        <w:t>As already referred to above, Guernsey currently does not levy taxes upon capital inheritances, capital gains, gifts, sales or turnover, nor are there any estate duties (save for registration fees and ad valorem duty for a Guernsey Grant of Representation where the deceased dies leaving assets in Guernsey which require presentation of such a Grant).</w:t>
      </w:r>
    </w:p>
    <w:p w:rsidRPr="00DE5D68" w:rsidR="00852CD1" w:rsidP="00852CD1" w:rsidRDefault="00852CD1" w14:paraId="2C24D34C" w14:textId="77777777">
      <w:pPr>
        <w:keepNext/>
        <w:autoSpaceDE w:val="0"/>
        <w:autoSpaceDN w:val="0"/>
        <w:adjustRightInd w:val="0"/>
        <w:snapToGrid w:val="0"/>
        <w:rPr>
          <w:rFonts w:cs="Arial"/>
          <w:szCs w:val="20"/>
        </w:rPr>
      </w:pPr>
      <w:r w:rsidRPr="00DE5D68">
        <w:rPr>
          <w:rFonts w:cs="Arial"/>
          <w:szCs w:val="20"/>
        </w:rPr>
        <w:t>No stamp duty or similar tax is chargeable in Guernsey on the issue, transfer or redemption of shares in the Company.</w:t>
      </w:r>
    </w:p>
    <w:p w:rsidRPr="00DE5D68" w:rsidR="007B6A5A" w:rsidP="00C27D12" w:rsidRDefault="007B6A5A" w14:paraId="533F7491" w14:textId="77777777">
      <w:pPr>
        <w:keepNext/>
        <w:autoSpaceDE w:val="0"/>
        <w:autoSpaceDN w:val="0"/>
        <w:adjustRightInd w:val="0"/>
        <w:snapToGrid w:val="0"/>
        <w:rPr>
          <w:rFonts w:cs="Arial"/>
          <w:i/>
          <w:szCs w:val="20"/>
        </w:rPr>
      </w:pPr>
      <w:r w:rsidRPr="00DE5D68">
        <w:rPr>
          <w:rFonts w:cs="Arial"/>
          <w:i/>
          <w:szCs w:val="20"/>
        </w:rPr>
        <w:t>Anti-Avoidance</w:t>
      </w:r>
    </w:p>
    <w:p w:rsidRPr="00DE5D68" w:rsidR="007B6A5A" w:rsidP="00C27D12" w:rsidRDefault="007B6A5A" w14:paraId="4FFC529A" w14:textId="4EC44B9C">
      <w:pPr>
        <w:autoSpaceDE w:val="0"/>
        <w:autoSpaceDN w:val="0"/>
        <w:adjustRightInd w:val="0"/>
        <w:snapToGrid w:val="0"/>
        <w:rPr>
          <w:rFonts w:cs="Arial"/>
          <w:szCs w:val="20"/>
        </w:rPr>
      </w:pPr>
      <w:r w:rsidRPr="00DE5D68">
        <w:rPr>
          <w:rFonts w:cs="Arial"/>
          <w:szCs w:val="20"/>
        </w:rPr>
        <w:t>Guernsey has a wide-ranging anti-avoidance provision. This provi</w:t>
      </w:r>
      <w:r w:rsidRPr="00DE5D68" w:rsidR="00CD4B4B">
        <w:rPr>
          <w:rFonts w:cs="Arial"/>
          <w:szCs w:val="20"/>
        </w:rPr>
        <w:t xml:space="preserve">sion targets transactions where </w:t>
      </w:r>
      <w:r w:rsidRPr="00DE5D68">
        <w:rPr>
          <w:rFonts w:cs="Arial"/>
          <w:szCs w:val="20"/>
        </w:rPr>
        <w:t>the effect of the transaction or series of transactions is the avoida</w:t>
      </w:r>
      <w:r w:rsidRPr="00DE5D68" w:rsidR="00CD4B4B">
        <w:rPr>
          <w:rFonts w:cs="Arial"/>
          <w:szCs w:val="20"/>
        </w:rPr>
        <w:t xml:space="preserve">nce, reduction or deferral of a </w:t>
      </w:r>
      <w:r w:rsidRPr="00DE5D68" w:rsidR="005478AF">
        <w:rPr>
          <w:rFonts w:cs="Arial"/>
          <w:szCs w:val="20"/>
        </w:rPr>
        <w:t xml:space="preserve">Guernsey </w:t>
      </w:r>
      <w:r w:rsidRPr="00DE5D68">
        <w:rPr>
          <w:rFonts w:cs="Arial"/>
          <w:szCs w:val="20"/>
        </w:rPr>
        <w:t>tax liability. At his</w:t>
      </w:r>
      <w:r w:rsidR="00B43818">
        <w:rPr>
          <w:rFonts w:cs="Arial"/>
          <w:szCs w:val="20"/>
        </w:rPr>
        <w:t xml:space="preserve"> or her</w:t>
      </w:r>
      <w:r w:rsidRPr="00DE5D68">
        <w:rPr>
          <w:rFonts w:cs="Arial"/>
          <w:szCs w:val="20"/>
        </w:rPr>
        <w:t xml:space="preserve"> discretion, the Director of </w:t>
      </w:r>
      <w:r w:rsidRPr="00DE5D68" w:rsidR="005478AF">
        <w:rPr>
          <w:rFonts w:cs="Arial"/>
          <w:szCs w:val="20"/>
        </w:rPr>
        <w:t xml:space="preserve">the Revenue Service </w:t>
      </w:r>
      <w:r w:rsidRPr="00DE5D68">
        <w:rPr>
          <w:rFonts w:cs="Arial"/>
          <w:szCs w:val="20"/>
        </w:rPr>
        <w:t>will m</w:t>
      </w:r>
      <w:r w:rsidRPr="00DE5D68" w:rsidR="00CD4B4B">
        <w:rPr>
          <w:rFonts w:cs="Arial"/>
          <w:szCs w:val="20"/>
        </w:rPr>
        <w:t xml:space="preserve">ake such adjustments to the tax </w:t>
      </w:r>
      <w:r w:rsidRPr="00DE5D68">
        <w:rPr>
          <w:rFonts w:cs="Arial"/>
          <w:szCs w:val="20"/>
        </w:rPr>
        <w:t>liability to counteract the effect of the avoidance, reduction or deferral of the tax liability.</w:t>
      </w:r>
    </w:p>
    <w:p w:rsidRPr="00DE5D68" w:rsidR="007B6A5A" w:rsidP="00C27D12" w:rsidRDefault="007B6A5A" w14:paraId="1DF9C26D" w14:textId="13B96E11">
      <w:pPr>
        <w:keepNext/>
        <w:autoSpaceDE w:val="0"/>
        <w:autoSpaceDN w:val="0"/>
        <w:adjustRightInd w:val="0"/>
        <w:snapToGrid w:val="0"/>
        <w:rPr>
          <w:rFonts w:cs="Arial"/>
          <w:i/>
          <w:szCs w:val="20"/>
        </w:rPr>
      </w:pPr>
      <w:r w:rsidRPr="00DE5D68">
        <w:rPr>
          <w:rFonts w:cs="Arial"/>
          <w:i/>
          <w:szCs w:val="20"/>
        </w:rPr>
        <w:t>Request for Information</w:t>
      </w:r>
    </w:p>
    <w:p w:rsidRPr="00DE5D68" w:rsidR="007B6A5A" w:rsidP="00C27D12" w:rsidRDefault="007B6A5A" w14:paraId="1CDF928C" w14:textId="5F74543A">
      <w:pPr>
        <w:autoSpaceDE w:val="0"/>
        <w:autoSpaceDN w:val="0"/>
        <w:adjustRightInd w:val="0"/>
        <w:snapToGrid w:val="0"/>
        <w:rPr>
          <w:rFonts w:cs="Arial"/>
          <w:szCs w:val="20"/>
        </w:rPr>
      </w:pPr>
      <w:r w:rsidRPr="00DE5D68">
        <w:rPr>
          <w:rFonts w:cs="Arial"/>
          <w:szCs w:val="20"/>
        </w:rPr>
        <w:t>The Company reserves the right to request from any Shareholder or potential inve</w:t>
      </w:r>
      <w:r w:rsidRPr="00DE5D68" w:rsidR="00CD4B4B">
        <w:rPr>
          <w:rFonts w:cs="Arial"/>
          <w:szCs w:val="20"/>
        </w:rPr>
        <w:t xml:space="preserve">stor such </w:t>
      </w:r>
      <w:r w:rsidRPr="00DE5D68">
        <w:rPr>
          <w:rFonts w:cs="Arial"/>
          <w:szCs w:val="20"/>
        </w:rPr>
        <w:t>information as the Company deems necessary to comply wit</w:t>
      </w:r>
      <w:r w:rsidRPr="00DE5D68" w:rsidR="00CD4B4B">
        <w:rPr>
          <w:rFonts w:cs="Arial"/>
          <w:szCs w:val="20"/>
        </w:rPr>
        <w:t xml:space="preserve">h FATCA, any agreement with the </w:t>
      </w:r>
      <w:r w:rsidRPr="00DE5D68">
        <w:rPr>
          <w:rFonts w:cs="Arial"/>
          <w:szCs w:val="20"/>
        </w:rPr>
        <w:t>U.S. Internal Revenue Service in relation to FATCA from time to t</w:t>
      </w:r>
      <w:r w:rsidRPr="00DE5D68" w:rsidR="00CD4B4B">
        <w:rPr>
          <w:rFonts w:cs="Arial"/>
          <w:szCs w:val="20"/>
        </w:rPr>
        <w:t xml:space="preserve">ime in force, or any obligation </w:t>
      </w:r>
      <w:r w:rsidRPr="00DE5D68">
        <w:rPr>
          <w:rFonts w:cs="Arial"/>
          <w:szCs w:val="20"/>
        </w:rPr>
        <w:t>arising under the implementation of any applicable regime, inclu</w:t>
      </w:r>
      <w:r w:rsidRPr="00DE5D68" w:rsidR="00CD4B4B">
        <w:rPr>
          <w:rFonts w:cs="Arial"/>
          <w:szCs w:val="20"/>
        </w:rPr>
        <w:t xml:space="preserve">ding the CRS, relating to FATCA </w:t>
      </w:r>
      <w:r w:rsidRPr="00DE5D68">
        <w:rPr>
          <w:rFonts w:cs="Arial"/>
          <w:szCs w:val="20"/>
        </w:rPr>
        <w:t>and the automatic exchange of information with any relevant competent authority.</w:t>
      </w:r>
    </w:p>
    <w:p w:rsidRPr="00DE5D68" w:rsidR="007B6A5A" w:rsidP="00C27D12" w:rsidRDefault="00CD4B4B" w14:paraId="19D907A7" w14:textId="7241F564">
      <w:pPr>
        <w:keepNext/>
        <w:textAlignment w:val="baseline"/>
        <w:rPr>
          <w:rFonts w:cs="Arial"/>
          <w:b/>
          <w:szCs w:val="20"/>
        </w:rPr>
      </w:pPr>
      <w:r w:rsidRPr="00DE5D68">
        <w:rPr>
          <w:rFonts w:cs="Arial"/>
          <w:b/>
          <w:szCs w:val="20"/>
        </w:rPr>
        <w:t>UNITED KINGDOM TAXATION</w:t>
      </w:r>
    </w:p>
    <w:p w:rsidRPr="00DE5D68" w:rsidR="004070BD" w:rsidP="00C27D12" w:rsidRDefault="004070BD" w14:paraId="60F66EC0" w14:textId="5D2A6911">
      <w:pPr>
        <w:keepNext/>
        <w:textAlignment w:val="baseline"/>
        <w:rPr>
          <w:rFonts w:cs="Arial"/>
          <w:b/>
          <w:szCs w:val="20"/>
        </w:rPr>
      </w:pPr>
      <w:r w:rsidRPr="00DE5D68">
        <w:rPr>
          <w:rFonts w:eastAsia="Arial" w:cs="Arial"/>
          <w:b/>
          <w:i/>
          <w:szCs w:val="20"/>
        </w:rPr>
        <w:t>Introduction</w:t>
      </w:r>
    </w:p>
    <w:p w:rsidRPr="00DE5D68" w:rsidR="007C35B1" w:rsidP="00C27D12" w:rsidRDefault="00BA2BBD" w14:paraId="69AD9025" w14:textId="3E4A8EB4">
      <w:pPr>
        <w:autoSpaceDE w:val="0"/>
        <w:autoSpaceDN w:val="0"/>
        <w:adjustRightInd w:val="0"/>
        <w:snapToGrid w:val="0"/>
        <w:rPr>
          <w:rFonts w:cs="Arial"/>
          <w:szCs w:val="20"/>
        </w:rPr>
      </w:pPr>
      <w:r w:rsidRPr="00DE5D68">
        <w:rPr>
          <w:rFonts w:cs="Arial"/>
          <w:szCs w:val="20"/>
        </w:rPr>
        <w:t xml:space="preserve">The following statements are intended only as a general guide to certain UK tax considerations and do not purport to be a complete analysis of all potential UK tax consequences of acquiring, holding or disposing of </w:t>
      </w:r>
      <w:r>
        <w:rPr>
          <w:rFonts w:cs="Arial"/>
          <w:szCs w:val="20"/>
        </w:rPr>
        <w:t>Ordinary</w:t>
      </w:r>
      <w:r w:rsidRPr="00DE5D68">
        <w:rPr>
          <w:rFonts w:cs="Arial"/>
          <w:szCs w:val="20"/>
        </w:rPr>
        <w:t xml:space="preserve"> Shares. The following statements are based on current UK legislation and what is understood to be the current practice of HMRC as at the date of this document, both of which may change, possibly with </w:t>
      </w:r>
      <w:r>
        <w:rPr>
          <w:rFonts w:cs="Arial"/>
          <w:szCs w:val="20"/>
        </w:rPr>
        <w:t>retrospective</w:t>
      </w:r>
      <w:r w:rsidRPr="00DE5D68">
        <w:rPr>
          <w:rFonts w:cs="Arial"/>
          <w:szCs w:val="20"/>
        </w:rPr>
        <w:t xml:space="preserve"> effect. They apply only to Shareholders who are resident (and in the case of individual Shareholders domiciled) for UK tax purposes in (and only in) the UK, who hold their </w:t>
      </w:r>
      <w:r>
        <w:rPr>
          <w:rFonts w:cs="Arial"/>
          <w:szCs w:val="20"/>
        </w:rPr>
        <w:t>Ordinary</w:t>
      </w:r>
      <w:r w:rsidRPr="00DE5D68">
        <w:rPr>
          <w:rFonts w:cs="Arial"/>
          <w:szCs w:val="20"/>
        </w:rPr>
        <w:t xml:space="preserve"> Shares as an investment</w:t>
      </w:r>
      <w:r>
        <w:rPr>
          <w:rFonts w:cs="Arial"/>
          <w:szCs w:val="20"/>
        </w:rPr>
        <w:t xml:space="preserve"> (not as trading stock or for any other purpose)</w:t>
      </w:r>
      <w:r w:rsidRPr="00DE5D68">
        <w:rPr>
          <w:rFonts w:cs="Arial"/>
          <w:szCs w:val="20"/>
        </w:rPr>
        <w:t xml:space="preserve">, and who are the absolute beneficial owners of both their </w:t>
      </w:r>
      <w:r>
        <w:rPr>
          <w:rFonts w:cs="Arial"/>
          <w:szCs w:val="20"/>
        </w:rPr>
        <w:t>Ordinary</w:t>
      </w:r>
      <w:r w:rsidRPr="00DE5D68">
        <w:rPr>
          <w:rFonts w:cs="Arial"/>
          <w:szCs w:val="20"/>
        </w:rPr>
        <w:t xml:space="preserve"> Shares and any dividends paid on them (for these purposes, such Shareholders being in the case of an individual, a "</w:t>
      </w:r>
      <w:r w:rsidRPr="00DE5D68">
        <w:rPr>
          <w:rFonts w:cs="Arial"/>
          <w:b/>
          <w:szCs w:val="20"/>
        </w:rPr>
        <w:t>UK Individual Shareholder</w:t>
      </w:r>
      <w:r w:rsidRPr="00DE5D68">
        <w:rPr>
          <w:rFonts w:cs="Arial"/>
          <w:szCs w:val="20"/>
        </w:rPr>
        <w:t>" and in the case of a Shareholder within the charge to UK corporation tax, a "</w:t>
      </w:r>
      <w:r w:rsidRPr="00DE5D68">
        <w:rPr>
          <w:rFonts w:cs="Arial"/>
          <w:b/>
          <w:szCs w:val="20"/>
        </w:rPr>
        <w:t>UK Corporate Shareholder’</w:t>
      </w:r>
      <w:r w:rsidRPr="00DE5D68">
        <w:rPr>
          <w:rFonts w:cs="Arial"/>
          <w:szCs w:val="20"/>
        </w:rPr>
        <w:t>").</w:t>
      </w:r>
      <w:r>
        <w:rPr>
          <w:rFonts w:cs="Arial"/>
          <w:szCs w:val="20"/>
        </w:rPr>
        <w:t xml:space="preserve"> The statements do not deal with the position of certain classes of Shareholders, such as dealers in securities, insurance companies, trusts, individuals who have acquired their Ordinary Shares by reason of their or any other person's employment, or any Shareholders which are tax exempt or subject to special tax regimes.</w:t>
      </w:r>
    </w:p>
    <w:p w:rsidRPr="00DE5D68" w:rsidR="004070BD" w:rsidP="00C27D12" w:rsidRDefault="004070BD" w14:paraId="1F0C8960" w14:textId="0686E8BA">
      <w:pPr>
        <w:keepNext/>
        <w:textAlignment w:val="baseline"/>
        <w:rPr>
          <w:rFonts w:eastAsia="Arial" w:cs="Arial"/>
          <w:b/>
          <w:i/>
          <w:szCs w:val="20"/>
        </w:rPr>
      </w:pPr>
      <w:r w:rsidRPr="00DE5D68">
        <w:rPr>
          <w:rFonts w:eastAsia="Arial" w:cs="Arial"/>
          <w:b/>
          <w:i/>
          <w:szCs w:val="20"/>
        </w:rPr>
        <w:lastRenderedPageBreak/>
        <w:t>The Company</w:t>
      </w:r>
    </w:p>
    <w:p w:rsidRPr="00DE5D68" w:rsidR="00F16AC4" w:rsidP="00C27D12" w:rsidRDefault="00F16AC4" w14:paraId="009AE9E3" w14:textId="2A9CE17A">
      <w:pPr>
        <w:keepNext/>
        <w:textAlignment w:val="baseline"/>
        <w:rPr>
          <w:rFonts w:eastAsia="Arial" w:cs="Arial"/>
          <w:i/>
          <w:szCs w:val="20"/>
        </w:rPr>
      </w:pPr>
      <w:r w:rsidRPr="00DE5D68">
        <w:rPr>
          <w:rFonts w:eastAsia="Arial" w:cs="Arial"/>
          <w:i/>
          <w:szCs w:val="20"/>
        </w:rPr>
        <w:t>Tax residence</w:t>
      </w:r>
    </w:p>
    <w:p w:rsidRPr="00DE5D68" w:rsidR="00BA2BBD" w:rsidP="00BA2BBD" w:rsidRDefault="00F16AC4" w14:paraId="4377A211" w14:textId="77777777">
      <w:pPr>
        <w:autoSpaceDE w:val="0"/>
        <w:autoSpaceDN w:val="0"/>
        <w:adjustRightInd w:val="0"/>
        <w:snapToGrid w:val="0"/>
        <w:rPr>
          <w:rFonts w:cs="Arial"/>
          <w:szCs w:val="20"/>
        </w:rPr>
      </w:pPr>
      <w:r w:rsidRPr="00DE5D68">
        <w:rPr>
          <w:rFonts w:cs="Arial"/>
          <w:szCs w:val="20"/>
        </w:rPr>
        <w:t xml:space="preserve">The Directors intend to conduct the management and control of the affairs of the Company in such a way that it should not be resident in the UK for UK tax purposes. Additionally, for so long as the Company is an </w:t>
      </w:r>
      <w:r w:rsidRPr="00DE5D68" w:rsidR="00BA2BBD">
        <w:rPr>
          <w:rFonts w:cs="Arial"/>
          <w:szCs w:val="20"/>
        </w:rPr>
        <w:t xml:space="preserve">"AIF" within the meaning given in </w:t>
      </w:r>
      <w:r w:rsidR="00BA2BBD">
        <w:rPr>
          <w:rFonts w:cs="Arial"/>
          <w:szCs w:val="20"/>
        </w:rPr>
        <w:fldChar w:fldCharType="begin">
          <w:fldData xml:space="preserve">dgAxAHwAMQAwADAAMwAwAHwAcgBlAGcAdQBsAGEAdABpAG8AbgAgADMAIABvAGYAIAB0AGgAZQAg
AEEAbAB0AGUAcgBuAGEAdABpAHYAZQAgAEkAbgB2AGUAcwB0AG0AZQBuAHQAIABGAHUAbgBkACAA
TQBhAG4AYQBnAGUAbQBlAG4AdAAgAFIAZQBnAHUAbABhAHQAaQBvAG4AcwAgADIAMAAxADMAfABB
AG0AYgBpAGcALQAxADAAMAAzADAAfAB8AA==
</w:fldData>
        </w:fldChar>
      </w:r>
      <w:r w:rsidR="00BA2BBD">
        <w:rPr>
          <w:rFonts w:cs="Arial"/>
          <w:szCs w:val="20"/>
        </w:rPr>
        <w:instrText xml:space="preserve"> ADDIN CiteCheck Marker </w:instrText>
      </w:r>
      <w:r w:rsidR="00BA2BBD">
        <w:rPr>
          <w:rFonts w:cs="Arial"/>
          <w:szCs w:val="20"/>
        </w:rPr>
      </w:r>
      <w:r w:rsidR="00BA2BBD">
        <w:rPr>
          <w:rFonts w:cs="Arial"/>
          <w:szCs w:val="20"/>
        </w:rPr>
        <w:fldChar w:fldCharType="end"/>
      </w:r>
      <w:r w:rsidRPr="00DE5D68" w:rsidR="00BA2BBD">
        <w:rPr>
          <w:rFonts w:cs="Arial"/>
          <w:szCs w:val="20"/>
        </w:rPr>
        <w:t xml:space="preserve">regulation 3 of the Alternative Investment Fund Management Regulations 2013 and is authorised or registered in Guernsey or has its registered office in Guernsey, then in accordance with </w:t>
      </w:r>
      <w:r w:rsidR="00BA2BBD">
        <w:rPr>
          <w:rFonts w:cs="Arial"/>
          <w:szCs w:val="20"/>
        </w:rPr>
        <w:fldChar w:fldCharType="begin">
          <w:fldData xml:space="preserve">dgAxAHwAMQAwADAAMwAxAHwAcwBlAGMAdABpAG8AbgAgADMANgAzAEEAIABvAGYAIAB0AGgAZQAg
AFQAYQB4AGEAdABpAG8AbgAgACgASQBuAHQAZQByAG4AYQB0AGkAbwBuAGEAbAAgAGEAbgBkACAA
TwB0AGgAZQByACAAUAByAG8AdgBpAHMAaQBvAG4AcwApACAAQQBjAHQAIAAyADAAMQAwAHwAQgBF
AFMAVABCAEwAUwBFAEMAVABJAE8ATgA4ADMAOQA2ADEAMwB8AHwA
</w:fldData>
        </w:fldChar>
      </w:r>
      <w:r w:rsidR="00BA2BBD">
        <w:rPr>
          <w:rFonts w:cs="Arial"/>
          <w:szCs w:val="20"/>
        </w:rPr>
        <w:instrText xml:space="preserve"> ADDIN CiteCheck Marker </w:instrText>
      </w:r>
      <w:r w:rsidR="00BA2BBD">
        <w:rPr>
          <w:rFonts w:cs="Arial"/>
          <w:szCs w:val="20"/>
        </w:rPr>
      </w:r>
      <w:r w:rsidR="00BA2BBD">
        <w:rPr>
          <w:rFonts w:cs="Arial"/>
          <w:szCs w:val="20"/>
        </w:rPr>
        <w:fldChar w:fldCharType="end"/>
      </w:r>
      <w:r w:rsidRPr="00DE5D68" w:rsidR="00BA2BBD">
        <w:rPr>
          <w:rFonts w:cs="Arial"/>
          <w:szCs w:val="20"/>
        </w:rPr>
        <w:t xml:space="preserve">section 363A of the Taxation (International and Other Provisions) Act 2010, the Company should not be regarded as resident in the UK for </w:t>
      </w:r>
      <w:r w:rsidR="00BA2BBD">
        <w:rPr>
          <w:rFonts w:cs="Arial"/>
          <w:szCs w:val="20"/>
        </w:rPr>
        <w:t>the</w:t>
      </w:r>
      <w:r w:rsidRPr="00DE5D68" w:rsidR="00BA2BBD">
        <w:rPr>
          <w:rFonts w:cs="Arial"/>
          <w:szCs w:val="20"/>
        </w:rPr>
        <w:t xml:space="preserve"> purposes </w:t>
      </w:r>
      <w:r w:rsidR="00BA2BBD">
        <w:rPr>
          <w:rFonts w:cs="Arial"/>
          <w:szCs w:val="20"/>
        </w:rPr>
        <w:t>of</w:t>
      </w:r>
      <w:r w:rsidRPr="00DE5D68" w:rsidR="00BA2BBD">
        <w:rPr>
          <w:rFonts w:cs="Arial"/>
          <w:szCs w:val="20"/>
        </w:rPr>
        <w:t xml:space="preserve"> income tax, corporation tax </w:t>
      </w:r>
      <w:r w:rsidR="00BA2BBD">
        <w:rPr>
          <w:rFonts w:cs="Arial"/>
          <w:szCs w:val="20"/>
        </w:rPr>
        <w:t>or</w:t>
      </w:r>
      <w:r w:rsidRPr="00DE5D68" w:rsidR="00BA2BBD">
        <w:rPr>
          <w:rFonts w:cs="Arial"/>
          <w:szCs w:val="20"/>
        </w:rPr>
        <w:t xml:space="preserve"> </w:t>
      </w:r>
      <w:r w:rsidR="00BA2BBD">
        <w:rPr>
          <w:rFonts w:cs="Arial"/>
          <w:szCs w:val="20"/>
        </w:rPr>
        <w:t>c</w:t>
      </w:r>
      <w:r w:rsidRPr="00DE5D68" w:rsidR="00BA2BBD">
        <w:rPr>
          <w:rFonts w:cs="Arial"/>
          <w:szCs w:val="20"/>
        </w:rPr>
        <w:t>apital gains tax.</w:t>
      </w:r>
    </w:p>
    <w:p w:rsidRPr="00DE5D68" w:rsidR="004070BD" w:rsidP="00C27D12" w:rsidRDefault="00BA2BBD" w14:paraId="068730B9" w14:textId="6CC66C1B">
      <w:pPr>
        <w:autoSpaceDE w:val="0"/>
        <w:autoSpaceDN w:val="0"/>
        <w:adjustRightInd w:val="0"/>
        <w:snapToGrid w:val="0"/>
        <w:rPr>
          <w:rFonts w:cs="Arial"/>
          <w:szCs w:val="20"/>
        </w:rPr>
      </w:pPr>
      <w:r w:rsidRPr="00DE5D68">
        <w:rPr>
          <w:rFonts w:cs="Arial"/>
          <w:szCs w:val="20"/>
        </w:rPr>
        <w:t xml:space="preserve">Accordingly, on the basis that the Company is not resident in the UK and provided that the Company does not carry on a trade in the UK (whether or not through a branch, agency or permanent establishment situated therein), the Company </w:t>
      </w:r>
      <w:r>
        <w:rPr>
          <w:rFonts w:cs="Arial"/>
          <w:szCs w:val="20"/>
        </w:rPr>
        <w:t>should</w:t>
      </w:r>
      <w:r w:rsidRPr="00DE5D68">
        <w:rPr>
          <w:rFonts w:cs="Arial"/>
          <w:szCs w:val="20"/>
        </w:rPr>
        <w:t xml:space="preserve"> not be subject to corporation tax, nor </w:t>
      </w:r>
      <w:r>
        <w:rPr>
          <w:rFonts w:cs="Arial"/>
          <w:szCs w:val="20"/>
        </w:rPr>
        <w:t>should</w:t>
      </w:r>
      <w:r w:rsidRPr="00DE5D68">
        <w:rPr>
          <w:rFonts w:cs="Arial"/>
          <w:szCs w:val="20"/>
        </w:rPr>
        <w:t xml:space="preserve"> it be subject to income tax other than on any UK source income.</w:t>
      </w:r>
    </w:p>
    <w:p w:rsidRPr="00377B01" w:rsidR="00377B01" w:rsidP="00C27D12" w:rsidRDefault="00377B01" w14:paraId="5819812A" w14:textId="212DAED9">
      <w:pPr>
        <w:keepNext/>
        <w:rPr>
          <w:rFonts w:cs="Arial"/>
          <w:b/>
        </w:rPr>
      </w:pPr>
      <w:r>
        <w:rPr>
          <w:rFonts w:cs="Arial"/>
          <w:b/>
        </w:rPr>
        <w:t xml:space="preserve">Shareholders </w:t>
      </w:r>
    </w:p>
    <w:p w:rsidRPr="00DE5D68" w:rsidR="00285AA0" w:rsidP="00C27D12" w:rsidRDefault="00285AA0" w14:paraId="2F35F756" w14:textId="4FA99A1B">
      <w:pPr>
        <w:keepNext/>
        <w:rPr>
          <w:rFonts w:cs="Arial"/>
          <w:b/>
          <w:i/>
        </w:rPr>
      </w:pPr>
      <w:r w:rsidRPr="00DE5D68">
        <w:rPr>
          <w:rFonts w:cs="Arial"/>
          <w:b/>
          <w:i/>
        </w:rPr>
        <w:t xml:space="preserve">Taxation of capital gains </w:t>
      </w:r>
    </w:p>
    <w:p w:rsidRPr="00102B59" w:rsidR="00BA2BBD" w:rsidP="00BA2BBD" w:rsidRDefault="00BA2BBD" w14:paraId="360AE4A1" w14:textId="77777777">
      <w:pPr>
        <w:rPr>
          <w:rFonts w:cs="Arial"/>
          <w:i/>
        </w:rPr>
      </w:pPr>
      <w:r>
        <w:rPr>
          <w:rFonts w:cs="Arial"/>
          <w:i/>
        </w:rPr>
        <w:t>UK I</w:t>
      </w:r>
      <w:r w:rsidRPr="00102B59">
        <w:rPr>
          <w:rFonts w:cs="Arial"/>
          <w:i/>
        </w:rPr>
        <w:t>ndividual Shareholders</w:t>
      </w:r>
    </w:p>
    <w:p w:rsidRPr="00391D23" w:rsidR="00E209C9" w:rsidP="00E209C9" w:rsidRDefault="006757CE" w14:paraId="0A96273D" w14:textId="3ABCC794">
      <w:pPr>
        <w:rPr>
          <w:rFonts w:cs="Arial"/>
        </w:rPr>
      </w:pPr>
      <w:r w:rsidRPr="00391D23">
        <w:rPr>
          <w:rFonts w:cs="Arial"/>
        </w:rPr>
        <w:t xml:space="preserve">Individual Shareholders who are resident in the UK for tax purposes will generally be subject to capital gains tax in respect of any gain arising on a disposal of their </w:t>
      </w:r>
      <w:r>
        <w:rPr>
          <w:rFonts w:cs="Arial"/>
        </w:rPr>
        <w:t xml:space="preserve">Ordinary </w:t>
      </w:r>
      <w:r w:rsidRPr="00391D23">
        <w:rPr>
          <w:rFonts w:cs="Arial"/>
        </w:rPr>
        <w:t>Shares</w:t>
      </w:r>
      <w:r>
        <w:rPr>
          <w:rFonts w:cs="Arial"/>
        </w:rPr>
        <w:t xml:space="preserve"> (including on a redemption of Ordinary Shares)</w:t>
      </w:r>
      <w:r w:rsidRPr="00391D23">
        <w:rPr>
          <w:rFonts w:cs="Arial"/>
        </w:rPr>
        <w:t>. Each such individual has an annual exemption, such that capital gains tax is chargeable only on gains arising from all sources during the tax year in excess of this figure. The annual exemption is £</w:t>
      </w:r>
      <w:r>
        <w:rPr>
          <w:rFonts w:cs="Arial"/>
        </w:rPr>
        <w:t>3,000 for the tax year 2024</w:t>
      </w:r>
      <w:r w:rsidRPr="00391D23">
        <w:rPr>
          <w:rFonts w:cs="Arial"/>
        </w:rPr>
        <w:t>–202</w:t>
      </w:r>
      <w:r>
        <w:rPr>
          <w:rFonts w:cs="Arial"/>
        </w:rPr>
        <w:t>5</w:t>
      </w:r>
      <w:r w:rsidRPr="00391D23">
        <w:rPr>
          <w:rFonts w:cs="Arial"/>
        </w:rPr>
        <w:t xml:space="preserve">. Capital gains tax chargeable will be at the current rate of </w:t>
      </w:r>
      <w:r>
        <w:rPr>
          <w:rFonts w:cs="Arial"/>
        </w:rPr>
        <w:t>18</w:t>
      </w:r>
      <w:r w:rsidRPr="00391D23">
        <w:rPr>
          <w:rFonts w:cs="Arial"/>
        </w:rPr>
        <w:t xml:space="preserve"> per cent. (</w:t>
      </w:r>
      <w:r>
        <w:rPr>
          <w:rFonts w:cs="Arial"/>
        </w:rPr>
        <w:t>to the extent the individual's taxable earnings for the tax year fall within the</w:t>
      </w:r>
      <w:r w:rsidRPr="00391D23">
        <w:rPr>
          <w:rFonts w:cs="Arial"/>
        </w:rPr>
        <w:t xml:space="preserve"> basic </w:t>
      </w:r>
      <w:r>
        <w:rPr>
          <w:rFonts w:cs="Arial"/>
        </w:rPr>
        <w:t>income tax band, which for the tax year 2024-2025 is £12,571 to £50,270</w:t>
      </w:r>
      <w:r w:rsidRPr="00391D23">
        <w:rPr>
          <w:rFonts w:cs="Arial"/>
        </w:rPr>
        <w:t xml:space="preserve">) and </w:t>
      </w:r>
      <w:r>
        <w:rPr>
          <w:rFonts w:cs="Arial"/>
        </w:rPr>
        <w:t>24</w:t>
      </w:r>
      <w:r w:rsidRPr="00391D23">
        <w:rPr>
          <w:rFonts w:cs="Arial"/>
        </w:rPr>
        <w:t xml:space="preserve"> per cent. (</w:t>
      </w:r>
      <w:r>
        <w:rPr>
          <w:rFonts w:cs="Arial"/>
        </w:rPr>
        <w:t>to the extent the individual's taxable earnings for the tax year fall within the</w:t>
      </w:r>
      <w:r w:rsidRPr="00391D23">
        <w:rPr>
          <w:rFonts w:cs="Arial"/>
        </w:rPr>
        <w:t xml:space="preserve"> higher and</w:t>
      </w:r>
      <w:r>
        <w:rPr>
          <w:rFonts w:cs="Arial"/>
        </w:rPr>
        <w:t>/or</w:t>
      </w:r>
      <w:r w:rsidRPr="00391D23">
        <w:rPr>
          <w:rFonts w:cs="Arial"/>
        </w:rPr>
        <w:t xml:space="preserve"> additional rate</w:t>
      </w:r>
      <w:r>
        <w:rPr>
          <w:rFonts w:cs="Arial"/>
        </w:rPr>
        <w:t xml:space="preserve"> bands of income tax,</w:t>
      </w:r>
      <w:r w:rsidRPr="00391D23">
        <w:rPr>
          <w:rFonts w:cs="Arial"/>
        </w:rPr>
        <w:t xml:space="preserve"> </w:t>
      </w:r>
      <w:r>
        <w:rPr>
          <w:rFonts w:cs="Arial"/>
        </w:rPr>
        <w:t>which for the tax year 2024-2025 are £50,271 to £125,140 and over £125,140 respectively</w:t>
      </w:r>
      <w:r w:rsidRPr="00391D23">
        <w:rPr>
          <w:rFonts w:cs="Arial"/>
        </w:rPr>
        <w:t>) for the tax year 202</w:t>
      </w:r>
      <w:r>
        <w:rPr>
          <w:rFonts w:cs="Arial"/>
        </w:rPr>
        <w:t>4</w:t>
      </w:r>
      <w:r w:rsidRPr="00391D23">
        <w:rPr>
          <w:rFonts w:cs="Arial"/>
        </w:rPr>
        <w:t>–202</w:t>
      </w:r>
      <w:r>
        <w:rPr>
          <w:rFonts w:cs="Arial"/>
        </w:rPr>
        <w:t>5</w:t>
      </w:r>
      <w:r w:rsidRPr="00391D23">
        <w:rPr>
          <w:rFonts w:cs="Arial"/>
        </w:rPr>
        <w:t xml:space="preserve">. </w:t>
      </w:r>
    </w:p>
    <w:p w:rsidRPr="00E209C9" w:rsidR="00BA2BBD" w:rsidP="00E209C9" w:rsidRDefault="00E209C9" w14:paraId="06662225" w14:textId="59D5AD69">
      <w:pPr>
        <w:rPr>
          <w:rFonts w:cs="Arial"/>
        </w:rPr>
      </w:pPr>
      <w:r w:rsidRPr="00391D23">
        <w:rPr>
          <w:rFonts w:cs="Arial"/>
        </w:rPr>
        <w:t xml:space="preserve">Shareholders who are individuals and who are temporarily non-resident in the UK may, under anti-avoidance legislation, still be liable to UK tax on any capital gain realised (subject to any available exemption or relief). </w:t>
      </w:r>
    </w:p>
    <w:p w:rsidRPr="00102B59" w:rsidR="00102B59" w:rsidP="00C27D12" w:rsidRDefault="00102B59" w14:paraId="664887AE" w14:textId="4DFCBBE2">
      <w:pPr>
        <w:rPr>
          <w:rFonts w:cs="Arial"/>
          <w:i/>
        </w:rPr>
      </w:pPr>
      <w:r>
        <w:rPr>
          <w:rFonts w:cs="Arial"/>
          <w:i/>
        </w:rPr>
        <w:t>Corporate Shareholders</w:t>
      </w:r>
    </w:p>
    <w:p w:rsidRPr="00DE5D68" w:rsidR="00285AA0" w:rsidP="00C27D12" w:rsidRDefault="00285AA0" w14:paraId="1B70B747" w14:textId="112157DB">
      <w:pPr>
        <w:rPr>
          <w:rFonts w:cs="Arial"/>
        </w:rPr>
      </w:pPr>
      <w:r w:rsidRPr="00DE5D68">
        <w:rPr>
          <w:rFonts w:cs="Arial"/>
        </w:rPr>
        <w:t xml:space="preserve">Corporate Shareholders who are resident in the UK for tax purposes will generally be subject to corporation tax on chargeable gains arising on a disposal of their </w:t>
      </w:r>
      <w:r w:rsidR="00377B01">
        <w:rPr>
          <w:rFonts w:cs="Arial"/>
          <w:szCs w:val="20"/>
        </w:rPr>
        <w:t>Ordinary</w:t>
      </w:r>
      <w:r w:rsidRPr="00DE5D68" w:rsidR="00377B01">
        <w:rPr>
          <w:rFonts w:cs="Arial"/>
        </w:rPr>
        <w:t xml:space="preserve"> </w:t>
      </w:r>
      <w:r w:rsidRPr="00DE5D68" w:rsidR="00140CB9">
        <w:rPr>
          <w:rFonts w:cs="Arial"/>
        </w:rPr>
        <w:t>Shares</w:t>
      </w:r>
      <w:r w:rsidR="00102B59">
        <w:rPr>
          <w:rFonts w:cs="Arial"/>
        </w:rPr>
        <w:t xml:space="preserve"> (including on the redemption of Ordinary Shares)</w:t>
      </w:r>
      <w:r w:rsidRPr="00DE5D68">
        <w:rPr>
          <w:rFonts w:cs="Arial"/>
        </w:rPr>
        <w:t xml:space="preserve">. </w:t>
      </w:r>
      <w:r w:rsidRPr="00DE5D68" w:rsidR="00102B59">
        <w:rPr>
          <w:rFonts w:cs="Arial"/>
        </w:rPr>
        <w:t xml:space="preserve">Capital losses realised on a disposal </w:t>
      </w:r>
      <w:r w:rsidR="00102B59">
        <w:rPr>
          <w:rFonts w:cs="Arial"/>
        </w:rPr>
        <w:t xml:space="preserve">or redemption </w:t>
      </w:r>
      <w:r w:rsidRPr="00DE5D68" w:rsidR="00102B59">
        <w:rPr>
          <w:rFonts w:cs="Arial"/>
        </w:rPr>
        <w:t xml:space="preserve">of </w:t>
      </w:r>
      <w:r w:rsidR="00102B59">
        <w:rPr>
          <w:rFonts w:cs="Arial"/>
          <w:szCs w:val="20"/>
        </w:rPr>
        <w:t>Ordinary</w:t>
      </w:r>
      <w:r w:rsidRPr="00DE5D68" w:rsidR="00102B59">
        <w:rPr>
          <w:rFonts w:cs="Arial"/>
        </w:rPr>
        <w:t xml:space="preserve"> Shares must be set off as far as possible against chargeable gains for the same </w:t>
      </w:r>
      <w:r w:rsidR="00102B59">
        <w:rPr>
          <w:rFonts w:cs="Arial"/>
        </w:rPr>
        <w:t>accounting period</w:t>
      </w:r>
      <w:r w:rsidRPr="00DE5D68">
        <w:rPr>
          <w:rFonts w:cs="Arial"/>
        </w:rPr>
        <w:t>. Any balance of losses is carried forward without tim</w:t>
      </w:r>
      <w:r w:rsidR="00102B59">
        <w:rPr>
          <w:rFonts w:cs="Arial"/>
        </w:rPr>
        <w:t>e limit and set off against corporation tax</w:t>
      </w:r>
      <w:r w:rsidRPr="00DE5D68">
        <w:rPr>
          <w:rFonts w:cs="Arial"/>
        </w:rPr>
        <w:t xml:space="preserve"> in the earli</w:t>
      </w:r>
      <w:r w:rsidR="00102B59">
        <w:rPr>
          <w:rFonts w:cs="Arial"/>
        </w:rPr>
        <w:t>est later accounting period</w:t>
      </w:r>
      <w:r w:rsidRPr="00DE5D68">
        <w:rPr>
          <w:rFonts w:cs="Arial"/>
        </w:rPr>
        <w:t>. Losses c</w:t>
      </w:r>
      <w:r w:rsidR="00102B59">
        <w:rPr>
          <w:rFonts w:cs="Arial"/>
        </w:rPr>
        <w:t>annot generally be carried back</w:t>
      </w:r>
      <w:r w:rsidRPr="00DE5D68">
        <w:rPr>
          <w:rFonts w:cs="Arial"/>
        </w:rPr>
        <w:t xml:space="preserve">. </w:t>
      </w:r>
    </w:p>
    <w:p w:rsidRPr="00DE5D68" w:rsidR="00285AA0" w:rsidP="00C27D12" w:rsidRDefault="00285AA0" w14:paraId="4E33E394" w14:textId="77777777">
      <w:pPr>
        <w:keepNext/>
        <w:rPr>
          <w:rFonts w:cs="Arial"/>
          <w:b/>
          <w:i/>
        </w:rPr>
      </w:pPr>
      <w:r w:rsidRPr="00DE5D68">
        <w:rPr>
          <w:rFonts w:cs="Arial"/>
          <w:b/>
          <w:i/>
        </w:rPr>
        <w:t xml:space="preserve">Taxation of dividends </w:t>
      </w:r>
    </w:p>
    <w:p w:rsidRPr="00DE5D68" w:rsidR="001354B0" w:rsidP="00C27D12" w:rsidRDefault="00285AA0" w14:paraId="3AC622CB" w14:textId="26FD4E7D">
      <w:pPr>
        <w:rPr>
          <w:rFonts w:cs="Arial"/>
        </w:rPr>
      </w:pPr>
      <w:r w:rsidRPr="00DE5D68">
        <w:rPr>
          <w:rFonts w:cs="Arial"/>
        </w:rPr>
        <w:t xml:space="preserve">Distributions made by the Company </w:t>
      </w:r>
      <w:r w:rsidRPr="00DE5D68" w:rsidR="00A20691">
        <w:rPr>
          <w:rFonts w:cs="Arial"/>
        </w:rPr>
        <w:t xml:space="preserve">will </w:t>
      </w:r>
      <w:r w:rsidRPr="00DE5D68">
        <w:rPr>
          <w:rFonts w:cs="Arial"/>
        </w:rPr>
        <w:t xml:space="preserve">take the form of </w:t>
      </w:r>
      <w:r w:rsidRPr="00DE5D68" w:rsidR="00A20691">
        <w:rPr>
          <w:rFonts w:cs="Arial"/>
        </w:rPr>
        <w:t xml:space="preserve">ordinary </w:t>
      </w:r>
      <w:r w:rsidRPr="00DE5D68">
        <w:rPr>
          <w:rFonts w:cs="Arial"/>
        </w:rPr>
        <w:t>dividend</w:t>
      </w:r>
      <w:r w:rsidRPr="00DE5D68" w:rsidR="00A20691">
        <w:rPr>
          <w:rFonts w:cs="Arial"/>
        </w:rPr>
        <w:t>s</w:t>
      </w:r>
      <w:r w:rsidRPr="00DE5D68">
        <w:rPr>
          <w:rFonts w:cs="Arial"/>
        </w:rPr>
        <w:t xml:space="preserve">. Prospective investors who are unsure about the tax treatment which will apply to them in respect of any distributions made by the Company should consult their own tax advisers. </w:t>
      </w:r>
    </w:p>
    <w:p w:rsidRPr="00DE5D68" w:rsidR="001354B0" w:rsidP="00C27D12" w:rsidRDefault="00285AA0" w14:paraId="307F1245" w14:textId="77777777">
      <w:pPr>
        <w:keepNext/>
        <w:rPr>
          <w:rFonts w:cs="Arial"/>
          <w:i/>
        </w:rPr>
      </w:pPr>
      <w:r w:rsidRPr="00DE5D68">
        <w:rPr>
          <w:rFonts w:cs="Arial"/>
          <w:i/>
        </w:rPr>
        <w:t xml:space="preserve">Individual Shareholders </w:t>
      </w:r>
    </w:p>
    <w:p w:rsidRPr="00DE5D68" w:rsidR="001354B0" w:rsidP="00C27D12" w:rsidRDefault="00054B94" w14:paraId="334D04AA" w14:textId="6FBFAADB">
      <w:pPr>
        <w:keepNext/>
        <w:tabs>
          <w:tab w:val="left" w:pos="709"/>
        </w:tabs>
        <w:rPr>
          <w:rFonts w:cs="Arial"/>
        </w:rPr>
      </w:pPr>
      <w:r>
        <w:rPr>
          <w:rFonts w:cs="Arial"/>
        </w:rPr>
        <w:t>Dividends</w:t>
      </w:r>
      <w:r w:rsidRPr="00DE5D68" w:rsidR="00285AA0">
        <w:rPr>
          <w:rFonts w:cs="Arial"/>
        </w:rPr>
        <w:t xml:space="preserve"> </w:t>
      </w:r>
    </w:p>
    <w:p w:rsidRPr="00DE5D68" w:rsidR="001354B0" w:rsidP="00C27D12" w:rsidRDefault="006757CE" w14:paraId="38712582" w14:textId="4776F720">
      <w:pPr>
        <w:rPr>
          <w:rFonts w:cs="Arial"/>
        </w:rPr>
      </w:pPr>
      <w:r w:rsidRPr="00DE5D68">
        <w:rPr>
          <w:rFonts w:cs="Arial"/>
        </w:rPr>
        <w:t xml:space="preserve">A </w:t>
      </w:r>
      <w:r>
        <w:rPr>
          <w:rFonts w:cs="Arial"/>
        </w:rPr>
        <w:t>£500</w:t>
      </w:r>
      <w:r w:rsidRPr="00DE5D68">
        <w:rPr>
          <w:rFonts w:cs="Arial"/>
        </w:rPr>
        <w:t xml:space="preserve"> annual tax free dividend allowance is available to UK i</w:t>
      </w:r>
      <w:r>
        <w:rPr>
          <w:rFonts w:cs="Arial"/>
        </w:rPr>
        <w:t>ndividuals for the tax year 2024-25</w:t>
      </w:r>
      <w:r w:rsidRPr="00DE5D68">
        <w:rPr>
          <w:rFonts w:cs="Arial"/>
        </w:rPr>
        <w:t>. Dividends received in excess of this threshold will</w:t>
      </w:r>
      <w:r>
        <w:rPr>
          <w:rFonts w:cs="Arial"/>
        </w:rPr>
        <w:t xml:space="preserve"> be taxed, for the tax year 2024/25</w:t>
      </w:r>
      <w:r w:rsidRPr="00DE5D68">
        <w:rPr>
          <w:rFonts w:cs="Arial"/>
        </w:rPr>
        <w:t xml:space="preserve"> at </w:t>
      </w:r>
      <w:r>
        <w:rPr>
          <w:rFonts w:cs="Arial"/>
        </w:rPr>
        <w:t>8.75</w:t>
      </w:r>
      <w:r w:rsidRPr="00DE5D68">
        <w:rPr>
          <w:rFonts w:cs="Arial"/>
        </w:rPr>
        <w:t xml:space="preserve"> per cent. (</w:t>
      </w:r>
      <w:r>
        <w:rPr>
          <w:rFonts w:cs="Arial"/>
        </w:rPr>
        <w:t>to the extent the individual's taxable income for the tax year fall within the</w:t>
      </w:r>
      <w:r w:rsidRPr="00391D23">
        <w:rPr>
          <w:rFonts w:cs="Arial"/>
        </w:rPr>
        <w:t xml:space="preserve"> basic </w:t>
      </w:r>
      <w:r>
        <w:rPr>
          <w:rFonts w:cs="Arial"/>
        </w:rPr>
        <w:t>income tax band</w:t>
      </w:r>
      <w:r w:rsidRPr="00DE5D68">
        <w:rPr>
          <w:rFonts w:cs="Arial"/>
        </w:rPr>
        <w:t xml:space="preserve">), </w:t>
      </w:r>
      <w:r>
        <w:rPr>
          <w:rFonts w:cs="Arial"/>
        </w:rPr>
        <w:t>33.75</w:t>
      </w:r>
      <w:r w:rsidRPr="00DE5D68">
        <w:rPr>
          <w:rFonts w:cs="Arial"/>
        </w:rPr>
        <w:t xml:space="preserve"> per cent. (</w:t>
      </w:r>
      <w:r>
        <w:rPr>
          <w:rFonts w:cs="Arial"/>
        </w:rPr>
        <w:t>to the extent the individual's taxable income for the tax year fall within the</w:t>
      </w:r>
      <w:r w:rsidRPr="00391D23">
        <w:rPr>
          <w:rFonts w:cs="Arial"/>
        </w:rPr>
        <w:t xml:space="preserve"> </w:t>
      </w:r>
      <w:r>
        <w:rPr>
          <w:rFonts w:cs="Arial"/>
        </w:rPr>
        <w:t>higher</w:t>
      </w:r>
      <w:r w:rsidRPr="00391D23">
        <w:rPr>
          <w:rFonts w:cs="Arial"/>
        </w:rPr>
        <w:t xml:space="preserve"> </w:t>
      </w:r>
      <w:r>
        <w:rPr>
          <w:rFonts w:cs="Arial"/>
        </w:rPr>
        <w:t>income tax band</w:t>
      </w:r>
      <w:r w:rsidRPr="00DE5D68">
        <w:rPr>
          <w:rFonts w:cs="Arial"/>
        </w:rPr>
        <w:t xml:space="preserve">) and </w:t>
      </w:r>
      <w:r>
        <w:rPr>
          <w:rFonts w:cs="Arial"/>
        </w:rPr>
        <w:t xml:space="preserve">39.35 </w:t>
      </w:r>
      <w:r w:rsidRPr="00DE5D68">
        <w:rPr>
          <w:rFonts w:cs="Arial"/>
        </w:rPr>
        <w:lastRenderedPageBreak/>
        <w:t>per cent. (</w:t>
      </w:r>
      <w:r>
        <w:rPr>
          <w:rFonts w:cs="Arial"/>
        </w:rPr>
        <w:t>to the extent the individual's taxable income for the tax year fall within the</w:t>
      </w:r>
      <w:r w:rsidRPr="00391D23">
        <w:rPr>
          <w:rFonts w:cs="Arial"/>
        </w:rPr>
        <w:t xml:space="preserve"> </w:t>
      </w:r>
      <w:r>
        <w:rPr>
          <w:rFonts w:cs="Arial"/>
        </w:rPr>
        <w:t>additional</w:t>
      </w:r>
      <w:r w:rsidRPr="00391D23">
        <w:rPr>
          <w:rFonts w:cs="Arial"/>
        </w:rPr>
        <w:t xml:space="preserve"> </w:t>
      </w:r>
      <w:r>
        <w:rPr>
          <w:rFonts w:cs="Arial"/>
        </w:rPr>
        <w:t>income tax band</w:t>
      </w:r>
      <w:r w:rsidRPr="00DE5D68">
        <w:rPr>
          <w:rFonts w:cs="Arial"/>
        </w:rPr>
        <w:t>).</w:t>
      </w:r>
      <w:r w:rsidRPr="00DE5D68" w:rsidR="00285AA0">
        <w:rPr>
          <w:rFonts w:cs="Arial"/>
        </w:rPr>
        <w:t xml:space="preserve"> </w:t>
      </w:r>
    </w:p>
    <w:p w:rsidRPr="00DE5D68" w:rsidR="001354B0" w:rsidP="00C27D12" w:rsidRDefault="00BA2BBD" w14:paraId="734A0A91" w14:textId="03CD7EBD">
      <w:pPr>
        <w:rPr>
          <w:rFonts w:cs="Arial"/>
          <w:i/>
        </w:rPr>
      </w:pPr>
      <w:r>
        <w:rPr>
          <w:rFonts w:cs="Arial"/>
          <w:i/>
        </w:rPr>
        <w:t>Corporate</w:t>
      </w:r>
      <w:r w:rsidRPr="00DE5D68" w:rsidR="00285AA0">
        <w:rPr>
          <w:rFonts w:cs="Arial"/>
          <w:i/>
        </w:rPr>
        <w:t xml:space="preserve"> Shareholders </w:t>
      </w:r>
    </w:p>
    <w:p w:rsidRPr="00DE5D68" w:rsidR="001354B0" w:rsidP="00C27D12" w:rsidRDefault="00285AA0" w14:paraId="437BAF05" w14:textId="510B6C21">
      <w:pPr>
        <w:rPr>
          <w:rFonts w:cs="Arial"/>
        </w:rPr>
      </w:pPr>
      <w:r w:rsidRPr="00DE5D68">
        <w:rPr>
          <w:rFonts w:cs="Arial"/>
        </w:rPr>
        <w:t xml:space="preserve">UK </w:t>
      </w:r>
      <w:r w:rsidR="00BA2BBD">
        <w:rPr>
          <w:rFonts w:cs="Arial"/>
        </w:rPr>
        <w:t xml:space="preserve">tax </w:t>
      </w:r>
      <w:r w:rsidRPr="00DE5D68">
        <w:rPr>
          <w:rFonts w:cs="Arial"/>
        </w:rPr>
        <w:t>resident corporate Shareholders may be subject to corporation tax on dividends paid by the Company unless they fall wi</w:t>
      </w:r>
      <w:r w:rsidRPr="00DE5D68" w:rsidR="00D7789B">
        <w:rPr>
          <w:rFonts w:cs="Arial"/>
        </w:rPr>
        <w:t>thin one of the exempt classes i</w:t>
      </w:r>
      <w:r w:rsidRPr="00DE5D68">
        <w:rPr>
          <w:rFonts w:cs="Arial"/>
        </w:rPr>
        <w:t xml:space="preserve">n </w:t>
      </w:r>
      <w:r w:rsidR="00640CB6">
        <w:rPr>
          <w:rFonts w:cs="Arial"/>
        </w:rPr>
        <w:fldChar w:fldCharType="begin">
          <w:fldData xml:space="preserve">dgAxAHwAMQAwADAAMwAyAHwAUABhAHIAdAAgADkAQQAgAG8AZgAgAEMAVABBACAAMgAwADAAOQB8
AEIARQBTAFAATABBAEMARQBIAE8ATABEAEUAUgA3ADMAMgAxADkANQBwAHQAOQBBAHwAfAA=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 xml:space="preserve">Part 9A of CTA 2009. </w:t>
      </w:r>
    </w:p>
    <w:p w:rsidRPr="00DE5D68" w:rsidR="001354B0" w:rsidP="00C27D12" w:rsidRDefault="00285AA0" w14:paraId="4FF6C7E5" w14:textId="77777777">
      <w:pPr>
        <w:rPr>
          <w:rFonts w:cs="Arial"/>
          <w:b/>
        </w:rPr>
      </w:pPr>
      <w:r w:rsidRPr="00DE5D68">
        <w:rPr>
          <w:rFonts w:cs="Arial"/>
          <w:b/>
        </w:rPr>
        <w:t xml:space="preserve">It is particularly important that prospective investors who are not resident in the UK for tax purposes obtain their own tax advice concerning tax liabilities on dividends received from the Company. </w:t>
      </w:r>
    </w:p>
    <w:p w:rsidRPr="00DE5D68" w:rsidR="001354B0" w:rsidP="00C27D12" w:rsidRDefault="00285AA0" w14:paraId="6DEF6632" w14:textId="1E7659DC">
      <w:pPr>
        <w:keepNext/>
        <w:rPr>
          <w:rFonts w:cs="Arial"/>
          <w:b/>
          <w:i/>
        </w:rPr>
      </w:pPr>
      <w:r w:rsidRPr="00DE5D68">
        <w:rPr>
          <w:rFonts w:cs="Arial"/>
          <w:b/>
          <w:i/>
        </w:rPr>
        <w:t xml:space="preserve">Stamp Duty and Stamp Duty Reserve Tax </w:t>
      </w:r>
      <w:r w:rsidRPr="00DE5D68" w:rsidR="00B47273">
        <w:rPr>
          <w:rFonts w:cs="Arial"/>
          <w:b/>
          <w:i/>
        </w:rPr>
        <w:t>("SDRT")</w:t>
      </w:r>
    </w:p>
    <w:p w:rsidRPr="00DE5D68" w:rsidR="00B47273" w:rsidP="00C27D12" w:rsidRDefault="00B47273" w14:paraId="2F7D19FA" w14:textId="297B7E13">
      <w:pPr>
        <w:rPr>
          <w:rFonts w:cs="Arial"/>
        </w:rPr>
      </w:pPr>
      <w:r w:rsidRPr="00DE5D68">
        <w:rPr>
          <w:rFonts w:cs="Arial"/>
        </w:rPr>
        <w:t xml:space="preserve">No UK stamp duty or SDRT will arise on the issue of </w:t>
      </w:r>
      <w:r w:rsidR="00377B01">
        <w:rPr>
          <w:rFonts w:cs="Arial"/>
          <w:szCs w:val="20"/>
        </w:rPr>
        <w:t>Ordinary</w:t>
      </w:r>
      <w:r w:rsidRPr="00DE5D68" w:rsidR="00377B01">
        <w:rPr>
          <w:rFonts w:cs="Arial"/>
        </w:rPr>
        <w:t xml:space="preserve"> </w:t>
      </w:r>
      <w:r w:rsidRPr="00DE5D68" w:rsidR="00140CB9">
        <w:rPr>
          <w:rFonts w:cs="Arial"/>
        </w:rPr>
        <w:t>Shares</w:t>
      </w:r>
      <w:r w:rsidRPr="00DE5D68">
        <w:rPr>
          <w:rFonts w:cs="Arial"/>
        </w:rPr>
        <w:t>.</w:t>
      </w:r>
    </w:p>
    <w:p w:rsidRPr="00DE5D68" w:rsidR="00B47273" w:rsidP="00C27D12" w:rsidRDefault="00B47273" w14:paraId="2F2215D4" w14:textId="315C9A21">
      <w:pPr>
        <w:rPr>
          <w:rFonts w:cs="Arial"/>
        </w:rPr>
      </w:pPr>
      <w:r w:rsidRPr="00DE5D68">
        <w:rPr>
          <w:rFonts w:cs="Arial"/>
        </w:rPr>
        <w:t xml:space="preserve">No UK stamp duty will be payable on a transfer of </w:t>
      </w:r>
      <w:r w:rsidR="00377B01">
        <w:rPr>
          <w:rFonts w:cs="Arial"/>
          <w:szCs w:val="20"/>
        </w:rPr>
        <w:t>Ordinary</w:t>
      </w:r>
      <w:r w:rsidRPr="00DE5D68" w:rsidR="00377B01">
        <w:rPr>
          <w:rFonts w:cs="Arial"/>
        </w:rPr>
        <w:t xml:space="preserve"> </w:t>
      </w:r>
      <w:r w:rsidRPr="00DE5D68" w:rsidR="00140CB9">
        <w:rPr>
          <w:rFonts w:cs="Arial"/>
        </w:rPr>
        <w:t>Shares</w:t>
      </w:r>
      <w:r w:rsidRPr="00DE5D68">
        <w:rPr>
          <w:rFonts w:cs="Arial"/>
        </w:rPr>
        <w:t xml:space="preserve">, provided that no instruments effecting the transfer are executed in the UK and no matters or actions relating to the transfer are performed </w:t>
      </w:r>
      <w:r w:rsidRPr="00DE5D68" w:rsidR="00516AA8">
        <w:rPr>
          <w:rFonts w:cs="Arial"/>
        </w:rPr>
        <w:t xml:space="preserve">or will be performed </w:t>
      </w:r>
      <w:r w:rsidRPr="00DE5D68">
        <w:rPr>
          <w:rFonts w:cs="Arial"/>
        </w:rPr>
        <w:t>in the UK.</w:t>
      </w:r>
    </w:p>
    <w:p w:rsidRPr="00DE5D68" w:rsidR="001354B0" w:rsidP="00C27D12" w:rsidRDefault="00B47273" w14:paraId="711B4195" w14:textId="39455E3C">
      <w:pPr>
        <w:rPr>
          <w:rFonts w:cs="Arial"/>
        </w:rPr>
      </w:pPr>
      <w:r w:rsidRPr="00DE5D68">
        <w:rPr>
          <w:rFonts w:cs="Arial"/>
        </w:rPr>
        <w:t xml:space="preserve">Provided that the </w:t>
      </w:r>
      <w:r w:rsidR="00377B01">
        <w:rPr>
          <w:rFonts w:cs="Arial"/>
          <w:szCs w:val="20"/>
        </w:rPr>
        <w:t>Ordinary</w:t>
      </w:r>
      <w:r w:rsidRPr="00DE5D68" w:rsidR="00377B01">
        <w:rPr>
          <w:rFonts w:cs="Arial"/>
        </w:rPr>
        <w:t xml:space="preserve"> </w:t>
      </w:r>
      <w:r w:rsidRPr="00DE5D68" w:rsidR="00140CB9">
        <w:rPr>
          <w:rFonts w:cs="Arial"/>
        </w:rPr>
        <w:t>Shares</w:t>
      </w:r>
      <w:r w:rsidRPr="00DE5D68">
        <w:rPr>
          <w:rFonts w:cs="Arial"/>
        </w:rPr>
        <w:t xml:space="preserve"> are not registered in any register kept in the UK by or on beh</w:t>
      </w:r>
      <w:r w:rsidR="00377B01">
        <w:rPr>
          <w:rFonts w:cs="Arial"/>
        </w:rPr>
        <w:t xml:space="preserve">alf of the Company and that the </w:t>
      </w:r>
      <w:r w:rsidR="00377B01">
        <w:rPr>
          <w:rFonts w:cs="Arial"/>
          <w:szCs w:val="20"/>
        </w:rPr>
        <w:t>Ordinary</w:t>
      </w:r>
      <w:r w:rsidRPr="00DE5D68" w:rsidR="00377B01">
        <w:rPr>
          <w:rFonts w:cs="Arial"/>
        </w:rPr>
        <w:t xml:space="preserve"> </w:t>
      </w:r>
      <w:r w:rsidRPr="00DE5D68" w:rsidR="00140CB9">
        <w:rPr>
          <w:rFonts w:cs="Arial"/>
        </w:rPr>
        <w:t>Shares</w:t>
      </w:r>
      <w:r w:rsidRPr="00DE5D68">
        <w:rPr>
          <w:rFonts w:cs="Arial"/>
        </w:rPr>
        <w:t xml:space="preserve"> are not paired with shares issued by a company incorporated in the UK, any agreement to transfer the </w:t>
      </w:r>
      <w:r w:rsidR="008F0B72">
        <w:rPr>
          <w:rFonts w:cs="Arial"/>
        </w:rPr>
        <w:t xml:space="preserve">Ordinary </w:t>
      </w:r>
      <w:r w:rsidRPr="00DE5D68" w:rsidR="00140CB9">
        <w:rPr>
          <w:rFonts w:cs="Arial"/>
        </w:rPr>
        <w:t>Shares</w:t>
      </w:r>
      <w:r w:rsidRPr="00DE5D68">
        <w:rPr>
          <w:rFonts w:cs="Arial"/>
        </w:rPr>
        <w:t xml:space="preserve"> will not be subject to UK SDRT.</w:t>
      </w:r>
      <w:r w:rsidRPr="00DE5D68" w:rsidR="00285AA0">
        <w:rPr>
          <w:rFonts w:cs="Arial"/>
        </w:rPr>
        <w:t xml:space="preserve"> </w:t>
      </w:r>
    </w:p>
    <w:p w:rsidRPr="00DE5D68" w:rsidR="001354B0" w:rsidP="00C27D12" w:rsidRDefault="00285AA0" w14:paraId="1F32196D" w14:textId="77777777">
      <w:pPr>
        <w:keepNext/>
        <w:rPr>
          <w:rFonts w:cs="Arial"/>
          <w:b/>
          <w:i/>
        </w:rPr>
      </w:pPr>
      <w:r w:rsidRPr="00DE5D68">
        <w:rPr>
          <w:rFonts w:cs="Arial"/>
          <w:b/>
          <w:i/>
        </w:rPr>
        <w:t xml:space="preserve">ISA, SSAS and SIPP </w:t>
      </w:r>
    </w:p>
    <w:p w:rsidRPr="00DE5D68" w:rsidR="001354B0" w:rsidP="00C27D12" w:rsidRDefault="00BA2BBD" w14:paraId="6A59FB6B" w14:textId="620E92FB">
      <w:pPr>
        <w:rPr>
          <w:rFonts w:cs="Arial"/>
        </w:rPr>
      </w:pPr>
      <w:r>
        <w:rPr>
          <w:rFonts w:cs="Arial"/>
          <w:szCs w:val="20"/>
        </w:rPr>
        <w:t>Ordinary</w:t>
      </w:r>
      <w:r w:rsidRPr="00DE5D68">
        <w:rPr>
          <w:rFonts w:cs="Arial"/>
        </w:rPr>
        <w:t xml:space="preserve"> Shares acquired by a UK resident individual Shareholder </w:t>
      </w:r>
      <w:r>
        <w:rPr>
          <w:rFonts w:cs="Arial"/>
        </w:rPr>
        <w:t xml:space="preserve">on the </w:t>
      </w:r>
      <w:r w:rsidRPr="00DE5D68">
        <w:rPr>
          <w:rFonts w:cs="Arial"/>
        </w:rPr>
        <w:t>secondary market (but not the Initial Placing</w:t>
      </w:r>
      <w:r>
        <w:rPr>
          <w:rFonts w:cs="Arial"/>
        </w:rPr>
        <w:t xml:space="preserve"> or any Subsequent Placing</w:t>
      </w:r>
      <w:r w:rsidRPr="00DE5D68">
        <w:rPr>
          <w:rFonts w:cs="Arial"/>
        </w:rPr>
        <w:t>) should be eligible to be held in a stocks and shares ISA, subject to applicable annual subscription limits (£20,000</w:t>
      </w:r>
      <w:r>
        <w:rPr>
          <w:rFonts w:cs="Arial"/>
        </w:rPr>
        <w:t xml:space="preserve"> in the tax year</w:t>
      </w:r>
      <w:r w:rsidR="00233B14">
        <w:rPr>
          <w:rFonts w:cs="Arial"/>
        </w:rPr>
        <w:t xml:space="preserve"> </w:t>
      </w:r>
      <w:r>
        <w:rPr>
          <w:rFonts w:cs="Arial"/>
        </w:rPr>
        <w:t>2024-25</w:t>
      </w:r>
      <w:r w:rsidRPr="00DE5D68">
        <w:rPr>
          <w:rFonts w:cs="Arial"/>
        </w:rPr>
        <w:t>). Investments held in ISAs will be free of UK tax on both capital gains and income. The opportunity to invest in shares through an ISA is restricted to certain UK resident individuals aged 18 or over. Junior ISAs are available to children under the age of 18 who are resident in the UK subject to the annual allowance of £9,000</w:t>
      </w:r>
      <w:r>
        <w:rPr>
          <w:rFonts w:cs="Arial"/>
        </w:rPr>
        <w:t xml:space="preserve"> for the </w:t>
      </w:r>
      <w:r w:rsidRPr="00DE5D68">
        <w:rPr>
          <w:rFonts w:cs="Arial"/>
        </w:rPr>
        <w:t>tax year</w:t>
      </w:r>
      <w:r w:rsidR="00233B14">
        <w:rPr>
          <w:rFonts w:cs="Arial"/>
        </w:rPr>
        <w:t xml:space="preserve"> </w:t>
      </w:r>
      <w:r>
        <w:rPr>
          <w:rFonts w:cs="Arial"/>
        </w:rPr>
        <w:t>2024-25)</w:t>
      </w:r>
      <w:r w:rsidRPr="00DE5D68">
        <w:rPr>
          <w:rFonts w:cs="Arial"/>
        </w:rPr>
        <w:t xml:space="preserve">. Sums received by a Shareholder on a disposal of </w:t>
      </w:r>
      <w:r>
        <w:rPr>
          <w:rFonts w:cs="Arial"/>
        </w:rPr>
        <w:t xml:space="preserve">Ordinary </w:t>
      </w:r>
      <w:r w:rsidRPr="00DE5D68">
        <w:rPr>
          <w:rFonts w:cs="Arial"/>
        </w:rPr>
        <w:t xml:space="preserve">Shares would not count towards the Shareholder’s annual </w:t>
      </w:r>
      <w:r>
        <w:rPr>
          <w:rFonts w:cs="Arial"/>
        </w:rPr>
        <w:t>ISA</w:t>
      </w:r>
      <w:r w:rsidRPr="00FB13BE">
        <w:rPr>
          <w:rFonts w:cs="Arial"/>
        </w:rPr>
        <w:t xml:space="preserve"> </w:t>
      </w:r>
      <w:r w:rsidRPr="00DE5D68">
        <w:rPr>
          <w:rFonts w:cs="Arial"/>
        </w:rPr>
        <w:t>subscription</w:t>
      </w:r>
      <w:r>
        <w:rPr>
          <w:rFonts w:cs="Arial"/>
        </w:rPr>
        <w:t xml:space="preserve"> </w:t>
      </w:r>
      <w:r w:rsidRPr="00DE5D68">
        <w:rPr>
          <w:rFonts w:cs="Arial"/>
        </w:rPr>
        <w:t xml:space="preserve">limit; but a disposal of </w:t>
      </w:r>
      <w:r>
        <w:rPr>
          <w:rFonts w:cs="Arial"/>
        </w:rPr>
        <w:t xml:space="preserve">Ordinary </w:t>
      </w:r>
      <w:r w:rsidRPr="00DE5D68">
        <w:rPr>
          <w:rFonts w:cs="Arial"/>
        </w:rPr>
        <w:t>Shares held in an ISA will not serve to make available again any part of the annual subscription limit that has already been used by the Shareholder in that tax year.</w:t>
      </w:r>
    </w:p>
    <w:p w:rsidRPr="00DE5D68" w:rsidR="001354B0" w:rsidP="00C27D12" w:rsidRDefault="00285AA0" w14:paraId="76F86D4E" w14:textId="068D2AA9">
      <w:pPr>
        <w:rPr>
          <w:rFonts w:cs="Arial"/>
          <w:b/>
        </w:rPr>
      </w:pPr>
      <w:r w:rsidRPr="00DE5D68">
        <w:rPr>
          <w:rFonts w:cs="Arial"/>
          <w:b/>
        </w:rPr>
        <w:t xml:space="preserve">Individuals wishing to invest in </w:t>
      </w:r>
      <w:r w:rsidR="00377B01">
        <w:rPr>
          <w:rFonts w:cs="Arial"/>
          <w:b/>
        </w:rPr>
        <w:t xml:space="preserve">Ordinary </w:t>
      </w:r>
      <w:r w:rsidRPr="00DE5D68" w:rsidR="00140CB9">
        <w:rPr>
          <w:rFonts w:cs="Arial"/>
          <w:b/>
        </w:rPr>
        <w:t>Shares</w:t>
      </w:r>
      <w:r w:rsidRPr="00DE5D68">
        <w:rPr>
          <w:rFonts w:cs="Arial"/>
          <w:b/>
        </w:rPr>
        <w:t xml:space="preserve"> through an ISA should contact their professional advisers regarding their eligibility. </w:t>
      </w:r>
    </w:p>
    <w:p w:rsidRPr="00DE5D68" w:rsidR="001354B0" w:rsidP="00C27D12" w:rsidRDefault="00285AA0" w14:paraId="41332B4B" w14:textId="7249F9F2">
      <w:pPr>
        <w:rPr>
          <w:rFonts w:cs="Arial"/>
        </w:rPr>
      </w:pPr>
      <w:r w:rsidRPr="00DE5D68">
        <w:rPr>
          <w:rFonts w:cs="Arial"/>
        </w:rPr>
        <w:t xml:space="preserve">The Directors have been advised that the </w:t>
      </w:r>
      <w:r w:rsidR="00377B01">
        <w:rPr>
          <w:rFonts w:cs="Arial"/>
        </w:rPr>
        <w:t xml:space="preserve">Ordinary </w:t>
      </w:r>
      <w:r w:rsidRPr="00DE5D68" w:rsidR="00140CB9">
        <w:rPr>
          <w:rFonts w:cs="Arial"/>
        </w:rPr>
        <w:t>Shares</w:t>
      </w:r>
      <w:r w:rsidRPr="00DE5D68">
        <w:rPr>
          <w:rFonts w:cs="Arial"/>
        </w:rPr>
        <w:t xml:space="preserve"> should be eligible for inclusion in a SIPP or a SSAS, subject to the discretion of the trustees of the SIPP or the SSAS, as the case may be. </w:t>
      </w:r>
    </w:p>
    <w:p w:rsidRPr="00DE5D68" w:rsidR="003F1B42" w:rsidP="00C27D12" w:rsidRDefault="003F1B42" w14:paraId="19DB2F9D" w14:textId="40452186">
      <w:pPr>
        <w:keepNext/>
        <w:rPr>
          <w:rFonts w:cs="Arial"/>
          <w:b/>
          <w:i/>
        </w:rPr>
      </w:pPr>
      <w:r w:rsidRPr="00DE5D68">
        <w:rPr>
          <w:rFonts w:cs="Arial"/>
          <w:b/>
          <w:i/>
        </w:rPr>
        <w:t xml:space="preserve">Other United Kingdom tax considerations </w:t>
      </w:r>
    </w:p>
    <w:p w:rsidRPr="00BA2BBD" w:rsidR="00BA2BBD" w:rsidP="00C27D12" w:rsidRDefault="00BA2BBD" w14:paraId="188D2E37" w14:textId="209B7E96">
      <w:pPr>
        <w:keepNext/>
        <w:autoSpaceDE w:val="0"/>
        <w:autoSpaceDN w:val="0"/>
        <w:adjustRightInd w:val="0"/>
        <w:snapToGrid w:val="0"/>
        <w:rPr>
          <w:rFonts w:cs="Arial"/>
          <w:szCs w:val="20"/>
        </w:rPr>
      </w:pPr>
      <w:r>
        <w:rPr>
          <w:rFonts w:cs="Arial"/>
          <w:szCs w:val="20"/>
        </w:rPr>
        <w:t>The attention of UK tax residents is drawn to the following anti-avoidance provisions, which could affect their tax treatment.</w:t>
      </w:r>
    </w:p>
    <w:p w:rsidRPr="00DE5D68" w:rsidR="003F1B42" w:rsidP="00C27D12" w:rsidRDefault="003F1B42" w14:paraId="04C42409" w14:textId="13FE2990">
      <w:pPr>
        <w:keepNext/>
        <w:autoSpaceDE w:val="0"/>
        <w:autoSpaceDN w:val="0"/>
        <w:adjustRightInd w:val="0"/>
        <w:snapToGrid w:val="0"/>
        <w:rPr>
          <w:rFonts w:cs="Arial"/>
          <w:i/>
          <w:szCs w:val="20"/>
        </w:rPr>
      </w:pPr>
      <w:r w:rsidRPr="00DE5D68">
        <w:rPr>
          <w:rFonts w:cs="Arial"/>
          <w:i/>
          <w:szCs w:val="20"/>
        </w:rPr>
        <w:t>Controlled Foreign Companies</w:t>
      </w:r>
    </w:p>
    <w:p w:rsidRPr="00DE5D68" w:rsidR="003F1B42" w:rsidP="00C27D12" w:rsidRDefault="003F1B42" w14:paraId="38D559FF" w14:textId="302B96E5">
      <w:pPr>
        <w:autoSpaceDE w:val="0"/>
        <w:autoSpaceDN w:val="0"/>
        <w:adjustRightInd w:val="0"/>
        <w:snapToGrid w:val="0"/>
        <w:rPr>
          <w:rFonts w:cs="Arial"/>
          <w:szCs w:val="20"/>
        </w:rPr>
      </w:pPr>
      <w:r w:rsidRPr="00DE5D68">
        <w:rPr>
          <w:rFonts w:cs="Arial"/>
          <w:szCs w:val="20"/>
        </w:rPr>
        <w:t xml:space="preserve">If the Company is controlled by UK </w:t>
      </w:r>
      <w:r w:rsidR="00BA2BBD">
        <w:rPr>
          <w:rFonts w:cs="Arial"/>
          <w:szCs w:val="20"/>
        </w:rPr>
        <w:t xml:space="preserve">tax </w:t>
      </w:r>
      <w:r w:rsidRPr="00DE5D68">
        <w:rPr>
          <w:rFonts w:cs="Arial"/>
          <w:szCs w:val="20"/>
        </w:rPr>
        <w:t>resi</w:t>
      </w:r>
      <w:r w:rsidRPr="00DE5D68" w:rsidR="00164074">
        <w:rPr>
          <w:rFonts w:cs="Arial"/>
          <w:szCs w:val="20"/>
        </w:rPr>
        <w:t>dents such that it would be a "Controlled Foreign Company’"</w:t>
      </w:r>
      <w:r w:rsidRPr="00DE5D68">
        <w:rPr>
          <w:rFonts w:cs="Arial"/>
          <w:szCs w:val="20"/>
        </w:rPr>
        <w:t xml:space="preserve"> for UK tax purposes, UK Corporate Shareholders hav</w:t>
      </w:r>
      <w:r w:rsidRPr="00DE5D68" w:rsidR="00164074">
        <w:rPr>
          <w:rFonts w:cs="Arial"/>
          <w:szCs w:val="20"/>
        </w:rPr>
        <w:t xml:space="preserve">ing an interest in the Company, </w:t>
      </w:r>
      <w:r w:rsidRPr="00DE5D68">
        <w:rPr>
          <w:rFonts w:cs="Arial"/>
          <w:szCs w:val="20"/>
        </w:rPr>
        <w:t>such that 25 per cent. or more of the Company’s profits fo</w:t>
      </w:r>
      <w:r w:rsidRPr="00DE5D68" w:rsidR="00164074">
        <w:rPr>
          <w:rFonts w:cs="Arial"/>
          <w:szCs w:val="20"/>
        </w:rPr>
        <w:t xml:space="preserve">r an accounting period could be </w:t>
      </w:r>
      <w:r w:rsidRPr="00DE5D68">
        <w:rPr>
          <w:rFonts w:cs="Arial"/>
          <w:szCs w:val="20"/>
        </w:rPr>
        <w:t>apportioned to them, may be liable to corporation tax in respect of their share of the Company’s</w:t>
      </w:r>
      <w:r w:rsidRPr="00DE5D68" w:rsidR="00164074">
        <w:rPr>
          <w:rFonts w:cs="Arial"/>
          <w:szCs w:val="20"/>
        </w:rPr>
        <w:t xml:space="preserve"> </w:t>
      </w:r>
      <w:r w:rsidRPr="00DE5D68">
        <w:rPr>
          <w:rFonts w:cs="Arial"/>
          <w:szCs w:val="20"/>
        </w:rPr>
        <w:t xml:space="preserve">profits in accordance with the provisions of </w:t>
      </w:r>
      <w:r w:rsidR="00640CB6">
        <w:rPr>
          <w:rFonts w:cs="Arial"/>
          <w:szCs w:val="20"/>
        </w:rPr>
        <w:fldChar w:fldCharType="begin">
          <w:fldData xml:space="preserve">dgAxAHwAMQAwADAAMwAzAHwAUABhAHIAdAAgADkAQQAgAG8AZgAgAHQAaABlACAAVABhAHgAYQB0
AGkAbwBuACAAKABJAG4AdABlAHIAbgBhAHQAaQBvAG4AYQBsACAAYQBuAGQAIABPAHQAaABlAHIA
IABQAHIAbwB2AGkAcwBpAG8AbgBzACkAIABBAGMAdAAgADIAMAAxADAAfABCAEUAUwBQAEwAQQBD
AEUASABPAEwARABFAFIANwAzADUAMwA4ADUAcAB0ADkAQQB8AHwA
</w:fldData>
        </w:fldChar>
      </w:r>
      <w:r w:rsidR="00640CB6">
        <w:rPr>
          <w:rFonts w:cs="Arial"/>
          <w:szCs w:val="20"/>
        </w:rPr>
        <w:instrText xml:space="preserve"> ADDIN CiteCheck Marker </w:instrText>
      </w:r>
      <w:r w:rsidR="00640CB6">
        <w:rPr>
          <w:rFonts w:cs="Arial"/>
          <w:szCs w:val="20"/>
        </w:rPr>
      </w:r>
      <w:r w:rsidR="00640CB6">
        <w:rPr>
          <w:rFonts w:cs="Arial"/>
          <w:szCs w:val="20"/>
        </w:rPr>
        <w:fldChar w:fldCharType="end"/>
      </w:r>
      <w:r w:rsidRPr="00DE5D68">
        <w:rPr>
          <w:rFonts w:cs="Arial"/>
          <w:szCs w:val="20"/>
        </w:rPr>
        <w:t>Part 9A of the Ta</w:t>
      </w:r>
      <w:r w:rsidRPr="00DE5D68" w:rsidR="00164074">
        <w:rPr>
          <w:rFonts w:cs="Arial"/>
          <w:szCs w:val="20"/>
        </w:rPr>
        <w:t xml:space="preserve">xation (International and Other </w:t>
      </w:r>
      <w:r w:rsidRPr="00DE5D68">
        <w:rPr>
          <w:rFonts w:cs="Arial"/>
          <w:szCs w:val="20"/>
        </w:rPr>
        <w:t>Provisions) Act 2010.</w:t>
      </w:r>
    </w:p>
    <w:p w:rsidRPr="00DE5D68" w:rsidR="003F1B42" w:rsidP="00C27D12" w:rsidRDefault="003F1B42" w14:paraId="6BEA66C0" w14:textId="69278247">
      <w:pPr>
        <w:keepNext/>
        <w:autoSpaceDE w:val="0"/>
        <w:autoSpaceDN w:val="0"/>
        <w:adjustRightInd w:val="0"/>
        <w:snapToGrid w:val="0"/>
        <w:rPr>
          <w:rFonts w:cs="Arial"/>
          <w:i/>
          <w:szCs w:val="20"/>
        </w:rPr>
      </w:pPr>
      <w:r w:rsidRPr="00DE5D68">
        <w:rPr>
          <w:rFonts w:cs="Arial"/>
          <w:i/>
          <w:szCs w:val="20"/>
        </w:rPr>
        <w:t>Transfer of assets abroad</w:t>
      </w:r>
    </w:p>
    <w:p w:rsidRPr="00DE5D68" w:rsidR="003F1B42" w:rsidP="00C27D12" w:rsidRDefault="003D0555" w14:paraId="1FB8A7D1" w14:textId="3D03C1C0">
      <w:pPr>
        <w:autoSpaceDE w:val="0"/>
        <w:autoSpaceDN w:val="0"/>
        <w:adjustRightInd w:val="0"/>
        <w:snapToGrid w:val="0"/>
        <w:rPr>
          <w:rFonts w:cs="Arial"/>
          <w:szCs w:val="20"/>
        </w:rPr>
      </w:pPr>
      <w:r>
        <w:rPr>
          <w:rFonts w:cs="Arial"/>
          <w:szCs w:val="20"/>
        </w:rPr>
        <w:t>The attention of UK I</w:t>
      </w:r>
      <w:r w:rsidRPr="00DE5D68">
        <w:rPr>
          <w:rFonts w:cs="Arial"/>
          <w:szCs w:val="20"/>
        </w:rPr>
        <w:t xml:space="preserve">ndividual Shareholders is drawn to the provisions of Chapter 2 of </w:t>
      </w:r>
      <w:r>
        <w:rPr>
          <w:rFonts w:cs="Arial"/>
          <w:szCs w:val="20"/>
        </w:rPr>
        <w:fldChar w:fldCharType="begin">
          <w:fldData xml:space="preserve">dgAxAHwAMQAwADAAMwA0AHwAUABhAHIAdAAgADEAMwAgAG8AZgAgAHQAaABlACAASQBuAGMAbwBt
AGUAIABUAGEAeAAgAEEAYwB0ACAAMgAwADAANwB8AEIARQBTAFAATABBAEMARQBIAE8ATABEAEUA
UgA3ADIANwAxADcAMABwAHQAMQAzAHwAfAA=
</w:fldData>
        </w:fldChar>
      </w:r>
      <w:r>
        <w:rPr>
          <w:rFonts w:cs="Arial"/>
          <w:szCs w:val="20"/>
        </w:rPr>
        <w:instrText xml:space="preserve"> ADDIN CiteCheck Marker </w:instrText>
      </w:r>
      <w:r>
        <w:rPr>
          <w:rFonts w:cs="Arial"/>
          <w:szCs w:val="20"/>
        </w:rPr>
      </w:r>
      <w:r>
        <w:rPr>
          <w:rFonts w:cs="Arial"/>
          <w:szCs w:val="20"/>
        </w:rPr>
        <w:fldChar w:fldCharType="end"/>
      </w:r>
      <w:r w:rsidRPr="00DE5D68">
        <w:rPr>
          <w:rFonts w:cs="Arial"/>
          <w:szCs w:val="20"/>
        </w:rPr>
        <w:t xml:space="preserve">Part 13 of the Income Tax Act 2007. These provisions are aimed at preventing the avoidance of income tax by individuals through transactions resulting in the transfer of assets or income to persons (including companies) resident or domiciled outside the UK and may render them liable to income tax in respect of undistributed income of </w:t>
      </w:r>
      <w:r w:rsidRPr="00DE5D68">
        <w:rPr>
          <w:rFonts w:cs="Arial"/>
          <w:szCs w:val="20"/>
        </w:rPr>
        <w:lastRenderedPageBreak/>
        <w:t>the Company.</w:t>
      </w:r>
      <w:r>
        <w:rPr>
          <w:rFonts w:cs="Arial"/>
          <w:szCs w:val="20"/>
        </w:rPr>
        <w:t xml:space="preserve"> Part 2 of The Offshore Funds (Tax) Regulations 2009 applies these rules to offshore income gains.</w:t>
      </w:r>
    </w:p>
    <w:p w:rsidRPr="00DE5D68" w:rsidR="003F1B42" w:rsidP="00C27D12" w:rsidRDefault="003F1B42" w14:paraId="0A0AD079" w14:textId="77777777">
      <w:pPr>
        <w:keepNext/>
        <w:autoSpaceDE w:val="0"/>
        <w:autoSpaceDN w:val="0"/>
        <w:adjustRightInd w:val="0"/>
        <w:snapToGrid w:val="0"/>
        <w:rPr>
          <w:rFonts w:cs="Arial"/>
          <w:i/>
          <w:szCs w:val="20"/>
        </w:rPr>
      </w:pPr>
      <w:r w:rsidRPr="00DE5D68">
        <w:rPr>
          <w:rFonts w:cs="Arial"/>
          <w:i/>
          <w:szCs w:val="20"/>
        </w:rPr>
        <w:t>Attribution of Gains to Persons Resident in the United Kingdom</w:t>
      </w:r>
    </w:p>
    <w:p w:rsidRPr="00DE5D68" w:rsidR="003F1B42" w:rsidP="00C27D12" w:rsidRDefault="003D0555" w14:paraId="1EAE3C66" w14:textId="2D057D7D">
      <w:pPr>
        <w:autoSpaceDE w:val="0"/>
        <w:autoSpaceDN w:val="0"/>
        <w:adjustRightInd w:val="0"/>
        <w:snapToGrid w:val="0"/>
        <w:rPr>
          <w:rFonts w:cs="Arial"/>
          <w:szCs w:val="20"/>
        </w:rPr>
      </w:pPr>
      <w:r w:rsidRPr="00DE5D68">
        <w:rPr>
          <w:rFonts w:cs="Arial"/>
          <w:szCs w:val="20"/>
        </w:rPr>
        <w:t xml:space="preserve">If the Company would be a "close company’" for UK tax purposes if resident in the UK, in circumstances where there is a connection to UK tax avoidance, a portion of capital gains made by the Company can be attributed to a Shareholder who holds, alone or together with associated persons, more than 25 per cent. of the </w:t>
      </w:r>
      <w:r>
        <w:rPr>
          <w:rFonts w:cs="Arial"/>
          <w:szCs w:val="20"/>
        </w:rPr>
        <w:t xml:space="preserve">Ordinary </w:t>
      </w:r>
      <w:r w:rsidRPr="00DE5D68">
        <w:rPr>
          <w:rFonts w:cs="Arial"/>
          <w:szCs w:val="20"/>
        </w:rPr>
        <w:t>Shares.</w:t>
      </w:r>
      <w:r>
        <w:rPr>
          <w:rFonts w:cs="Arial"/>
          <w:szCs w:val="20"/>
        </w:rPr>
        <w:t xml:space="preserve"> Part 2 of The Offshore Funds (Tax) Regulations 2009 applies these attribution rules to offshore income gains.</w:t>
      </w:r>
    </w:p>
    <w:p w:rsidRPr="00DE5D68" w:rsidR="003F1B42" w:rsidP="00C27D12" w:rsidRDefault="003F1B42" w14:paraId="1D4FD5B8" w14:textId="228E7520">
      <w:pPr>
        <w:keepNext/>
        <w:autoSpaceDE w:val="0"/>
        <w:autoSpaceDN w:val="0"/>
        <w:adjustRightInd w:val="0"/>
        <w:snapToGrid w:val="0"/>
        <w:rPr>
          <w:rFonts w:cs="Arial"/>
          <w:i/>
          <w:szCs w:val="20"/>
        </w:rPr>
      </w:pPr>
      <w:r w:rsidRPr="00DE5D68">
        <w:rPr>
          <w:rFonts w:cs="Arial"/>
          <w:i/>
          <w:szCs w:val="20"/>
        </w:rPr>
        <w:t>Transactions in securities</w:t>
      </w:r>
    </w:p>
    <w:p w:rsidRPr="00DE5D68" w:rsidR="003F1B42" w:rsidP="00C27D12" w:rsidRDefault="00BA2BBD" w14:paraId="4BB9CEAC" w14:textId="644B420B">
      <w:pPr>
        <w:autoSpaceDE w:val="0"/>
        <w:autoSpaceDN w:val="0"/>
        <w:adjustRightInd w:val="0"/>
        <w:snapToGrid w:val="0"/>
        <w:rPr>
          <w:rFonts w:cs="Arial"/>
          <w:szCs w:val="20"/>
        </w:rPr>
      </w:pPr>
      <w:r w:rsidRPr="00DE5D68">
        <w:rPr>
          <w:rFonts w:cs="Arial"/>
          <w:szCs w:val="20"/>
        </w:rPr>
        <w:t xml:space="preserve">The attention of Shareholders is drawn to the provisions of Chapter 1 of </w:t>
      </w:r>
      <w:r>
        <w:rPr>
          <w:rFonts w:cs="Arial"/>
          <w:szCs w:val="20"/>
        </w:rPr>
        <w:fldChar w:fldCharType="begin">
          <w:fldData xml:space="preserve">dgAxAHwAMQAwADAAMwA1AHwAUABhAHIAdAAgADEAMwAgAG8AZgAgAHQAaABlACAASQBuAGMAbwBt
AGUAIABUAGEAeAAgAEEAYwB0ACAAMgAwADAANwB8AEIARQBTAFAATABBAEMARQBIAE8ATABEAEUA
UgA3ADIANwAxADcAMABwAHQAMQAzAHwAfAA=
</w:fldData>
        </w:fldChar>
      </w:r>
      <w:r>
        <w:rPr>
          <w:rFonts w:cs="Arial"/>
          <w:szCs w:val="20"/>
        </w:rPr>
        <w:instrText xml:space="preserve"> ADDIN CiteCheck Marker </w:instrText>
      </w:r>
      <w:r>
        <w:rPr>
          <w:rFonts w:cs="Arial"/>
          <w:szCs w:val="20"/>
        </w:rPr>
      </w:r>
      <w:r>
        <w:rPr>
          <w:rFonts w:cs="Arial"/>
          <w:szCs w:val="20"/>
        </w:rPr>
        <w:fldChar w:fldCharType="end"/>
      </w:r>
      <w:r w:rsidRPr="00DE5D68">
        <w:rPr>
          <w:rFonts w:cs="Arial"/>
          <w:szCs w:val="20"/>
        </w:rPr>
        <w:t xml:space="preserve">Part 13 of the Income Tax Act 2007 (in the case of UK Individual Shareholders) and </w:t>
      </w:r>
      <w:r>
        <w:rPr>
          <w:rFonts w:cs="Arial"/>
          <w:szCs w:val="20"/>
        </w:rPr>
        <w:fldChar w:fldCharType="begin">
          <w:fldData xml:space="preserve">dgAxAHwAMQAwADAAMwA2AHwAUABhAHIAdAAgADEANQAgAG8AZgAgAHQAaABlACAAQwBvAHIAcABv
AHIAYQB0AGkAbwBuACAAVABhAHgAIABBAGMAdAAgADIAMAAxADAAfABCAEUAUwBQAEwAQQBDAEUA
SABPAEwARABFAFIANwAzADQAOQAyADkAcAB0ADEANQB8AHwA
</w:fldData>
        </w:fldChar>
      </w:r>
      <w:r>
        <w:rPr>
          <w:rFonts w:cs="Arial"/>
          <w:szCs w:val="20"/>
        </w:rPr>
        <w:instrText xml:space="preserve"> ADDIN CiteCheck Marker </w:instrText>
      </w:r>
      <w:r>
        <w:rPr>
          <w:rFonts w:cs="Arial"/>
          <w:szCs w:val="20"/>
        </w:rPr>
      </w:r>
      <w:r>
        <w:rPr>
          <w:rFonts w:cs="Arial"/>
          <w:szCs w:val="20"/>
        </w:rPr>
        <w:fldChar w:fldCharType="end"/>
      </w:r>
      <w:r w:rsidRPr="00DE5D68">
        <w:rPr>
          <w:rFonts w:cs="Arial"/>
          <w:szCs w:val="20"/>
        </w:rPr>
        <w:t>Part 15 of the Corporation Tax Act 2010</w:t>
      </w:r>
      <w:r>
        <w:rPr>
          <w:rFonts w:cs="Arial"/>
          <w:szCs w:val="20"/>
        </w:rPr>
        <w:t xml:space="preserve"> </w:t>
      </w:r>
      <w:r w:rsidRPr="00DE5D68">
        <w:rPr>
          <w:rFonts w:cs="Arial"/>
          <w:szCs w:val="20"/>
        </w:rPr>
        <w:t>(in the case of UK Corporate Shareholders), which give powers to HMRC to cancel tax advantages derived from certain transactions in securities.</w:t>
      </w:r>
    </w:p>
    <w:p w:rsidRPr="00DE5D68" w:rsidR="003F1B42" w:rsidP="00C27D12" w:rsidRDefault="003F1B42" w14:paraId="087838B7" w14:textId="4849FB94">
      <w:pPr>
        <w:autoSpaceDE w:val="0"/>
        <w:autoSpaceDN w:val="0"/>
        <w:adjustRightInd w:val="0"/>
        <w:snapToGrid w:val="0"/>
        <w:rPr>
          <w:rFonts w:cs="Arial"/>
          <w:szCs w:val="20"/>
        </w:rPr>
      </w:pPr>
      <w:r w:rsidRPr="00DE5D68">
        <w:rPr>
          <w:rFonts w:cs="Arial"/>
          <w:szCs w:val="20"/>
        </w:rPr>
        <w:t>If any Shareholder is in doubt as to their taxation position</w:t>
      </w:r>
      <w:r w:rsidRPr="00DE5D68" w:rsidR="00164074">
        <w:rPr>
          <w:rFonts w:cs="Arial"/>
          <w:szCs w:val="20"/>
        </w:rPr>
        <w:t xml:space="preserve">, they are strongly recommended </w:t>
      </w:r>
      <w:r w:rsidRPr="00DE5D68">
        <w:rPr>
          <w:rFonts w:cs="Arial"/>
          <w:szCs w:val="20"/>
        </w:rPr>
        <w:t>to consult an independent professional adviser without delay.</w:t>
      </w:r>
    </w:p>
    <w:p w:rsidRPr="00DE5D68" w:rsidR="001354B0" w:rsidP="00C27D12" w:rsidRDefault="001354B0" w14:paraId="7E3614F7" w14:textId="77777777">
      <w:pPr>
        <w:autoSpaceDE w:val="0"/>
        <w:autoSpaceDN w:val="0"/>
        <w:adjustRightInd w:val="0"/>
        <w:snapToGrid w:val="0"/>
        <w:rPr>
          <w:rFonts w:cs="Arial"/>
        </w:rPr>
        <w:sectPr w:rsidRPr="00DE5D68" w:rsidR="001354B0" w:rsidSect="00420BFF">
          <w:headerReference w:type="even" r:id="rId19"/>
          <w:headerReference w:type="default" r:id="rId20"/>
          <w:headerReference w:type="first" r:id="rId21"/>
          <w:pgSz w:w="11906" w:h="16838" w:code="9"/>
          <w:pgMar w:top="1134" w:right="1134" w:bottom="1418" w:left="1418" w:header="680" w:footer="680" w:gutter="0"/>
          <w:paperSrc w:first="263" w:other="263"/>
          <w:cols w:space="0"/>
          <w:titlePg/>
          <w:docGrid w:linePitch="360"/>
        </w:sectPr>
      </w:pPr>
    </w:p>
    <w:bookmarkStart w:name="_Ref65762141" w:id="212"/>
    <w:p w:rsidRPr="00DE5D68" w:rsidR="0004233E" w:rsidP="00D73005" w:rsidRDefault="00003777" w14:paraId="7BCF32CD" w14:textId="0A39E5D1">
      <w:pPr>
        <w:pStyle w:val="Part"/>
        <w:rPr>
          <w:b/>
        </w:rPr>
      </w:pPr>
      <w:r w:rsidRPr="00DE5D68">
        <w:rPr>
          <w:b/>
        </w:rPr>
        <w:lastRenderedPageBreak/>
        <w:fldChar w:fldCharType="begin"/>
      </w:r>
      <w:r w:rsidRPr="00DE5D68" w:rsidR="0004233E">
        <w:instrText xml:space="preserve"> TC </w:instrText>
      </w:r>
      <w:r w:rsidRPr="00DE5D68" w:rsidR="00170F35">
        <w:instrText>"</w:instrText>
      </w:r>
      <w:bookmarkStart w:name="_Toc329599174" w:id="213"/>
      <w:bookmarkStart w:name="_Toc405805330" w:id="214"/>
      <w:bookmarkStart w:name="_Toc493520586" w:id="215"/>
      <w:bookmarkStart w:name="_Toc78485978" w:id="216"/>
      <w:bookmarkStart w:name="_Toc190288036" w:id="217"/>
      <w:r w:rsidRPr="00DE5D68" w:rsidR="0004233E">
        <w:instrText>PART</w:instrText>
      </w:r>
      <w:r w:rsidRPr="00DE5D68" w:rsidR="007F17DA">
        <w:instrText xml:space="preserve"> </w:instrText>
      </w:r>
      <w:r w:rsidR="0030744B">
        <w:instrText>6</w:instrText>
      </w:r>
      <w:r w:rsidRPr="00DE5D68" w:rsidR="004460B1">
        <w:instrText xml:space="preserve"> </w:instrText>
      </w:r>
      <w:r w:rsidRPr="00DE5D68" w:rsidR="00BC721B">
        <w:instrText>–</w:instrText>
      </w:r>
      <w:r w:rsidRPr="00DE5D68" w:rsidR="0004233E">
        <w:instrText xml:space="preserve"> GENERAL INFORMATION</w:instrText>
      </w:r>
      <w:bookmarkEnd w:id="213"/>
      <w:bookmarkEnd w:id="214"/>
      <w:bookmarkEnd w:id="215"/>
      <w:bookmarkEnd w:id="216"/>
      <w:bookmarkEnd w:id="217"/>
      <w:r w:rsidRPr="00DE5D68" w:rsidR="0004233E">
        <w:instrText xml:space="preserve"> </w:instrText>
      </w:r>
      <w:r w:rsidRPr="00DE5D68" w:rsidR="00170F35">
        <w:instrText>"</w:instrText>
      </w:r>
      <w:r w:rsidRPr="00DE5D68" w:rsidR="0004233E">
        <w:instrText xml:space="preserve"> \f C \l </w:instrText>
      </w:r>
      <w:r w:rsidRPr="00DE5D68" w:rsidR="00170F35">
        <w:instrText>"</w:instrText>
      </w:r>
      <w:r w:rsidRPr="00DE5D68" w:rsidR="0004233E">
        <w:instrText>1</w:instrText>
      </w:r>
      <w:r w:rsidRPr="00DE5D68" w:rsidR="00170F35">
        <w:instrText>"</w:instrText>
      </w:r>
      <w:r w:rsidRPr="00DE5D68" w:rsidR="0004233E">
        <w:instrText xml:space="preserve"> </w:instrText>
      </w:r>
      <w:r w:rsidRPr="00DE5D68">
        <w:rPr>
          <w:b/>
        </w:rPr>
        <w:fldChar w:fldCharType="end"/>
      </w:r>
      <w:bookmarkEnd w:id="212"/>
    </w:p>
    <w:p w:rsidRPr="00DE5D68" w:rsidR="002A3F89" w:rsidP="00C27D12" w:rsidRDefault="001777B4" w14:paraId="56DCD20A" w14:textId="77777777">
      <w:pPr>
        <w:jc w:val="center"/>
        <w:rPr>
          <w:rFonts w:cs="Arial"/>
          <w:b/>
        </w:rPr>
      </w:pPr>
      <w:r w:rsidRPr="00DE5D68">
        <w:rPr>
          <w:rFonts w:cs="Arial"/>
          <w:b/>
        </w:rPr>
        <w:t>GENERAL INFORMATION</w:t>
      </w:r>
    </w:p>
    <w:p w:rsidRPr="00DE5D68" w:rsidR="002A3F89" w:rsidP="009E77E6" w:rsidRDefault="00F9129E" w14:paraId="7072B54D" w14:textId="6E9D272D">
      <w:pPr>
        <w:pStyle w:val="Heading1"/>
        <w:numPr>
          <w:ilvl w:val="0"/>
          <w:numId w:val="34"/>
        </w:numPr>
        <w:tabs>
          <w:tab w:val="clear" w:pos="1134"/>
        </w:tabs>
        <w:ind w:left="709" w:hanging="709"/>
        <w:rPr>
          <w:rFonts w:cs="Arial"/>
          <w:caps w:val="0"/>
        </w:rPr>
      </w:pPr>
      <w:bookmarkStart w:name="_Ref329161204" w:id="218"/>
      <w:bookmarkStart w:name="_Ref329161215" w:id="219"/>
      <w:bookmarkStart w:name="_Ref330802223" w:id="220"/>
      <w:bookmarkStart w:name="_Ref329161248" w:id="221"/>
      <w:r w:rsidRPr="00DE5D68">
        <w:rPr>
          <w:rFonts w:cs="Arial"/>
          <w:caps w:val="0"/>
        </w:rPr>
        <w:t>THE COMPANY</w:t>
      </w:r>
      <w:bookmarkEnd w:id="218"/>
    </w:p>
    <w:p w:rsidRPr="00DE5D68" w:rsidR="002A3F89" w:rsidP="00C27D12" w:rsidRDefault="002A3F89" w14:paraId="7BA24BD9" w14:textId="5437D163">
      <w:pPr>
        <w:pStyle w:val="Heading2"/>
        <w:rPr>
          <w:rFonts w:cs="Arial"/>
        </w:rPr>
      </w:pPr>
      <w:bookmarkStart w:name="_Ref329161205" w:id="222"/>
      <w:r w:rsidRPr="00DE5D68">
        <w:rPr>
          <w:rFonts w:cs="Arial"/>
        </w:rPr>
        <w:t xml:space="preserve">The Company was incorporated </w:t>
      </w:r>
      <w:r w:rsidRPr="00DE5D68" w:rsidR="00260671">
        <w:rPr>
          <w:rFonts w:cs="Arial"/>
        </w:rPr>
        <w:t>as a non-cellular company limited by shares in Guernse</w:t>
      </w:r>
      <w:r w:rsidRPr="00DE5D68" w:rsidR="009A3B74">
        <w:rPr>
          <w:rFonts w:cs="Arial"/>
        </w:rPr>
        <w:t>y under th</w:t>
      </w:r>
      <w:r w:rsidR="00A1533A">
        <w:rPr>
          <w:rFonts w:cs="Arial"/>
        </w:rPr>
        <w:t xml:space="preserve">e Companies Law on </w:t>
      </w:r>
      <w:r w:rsidR="00AE31CD">
        <w:rPr>
          <w:rFonts w:cs="Arial"/>
        </w:rPr>
        <w:t xml:space="preserve">20 January </w:t>
      </w:r>
      <w:r w:rsidR="00890EBC">
        <w:rPr>
          <w:rFonts w:cs="Arial"/>
        </w:rPr>
        <w:t>202</w:t>
      </w:r>
      <w:r w:rsidR="00914DBD">
        <w:rPr>
          <w:rFonts w:cs="Arial"/>
        </w:rPr>
        <w:t>5</w:t>
      </w:r>
      <w:r w:rsidR="00890EBC">
        <w:rPr>
          <w:rFonts w:cs="Arial"/>
        </w:rPr>
        <w:t xml:space="preserve"> with registered number </w:t>
      </w:r>
      <w:r w:rsidRPr="00AE31CD" w:rsidR="00AE31CD">
        <w:rPr>
          <w:rFonts w:cs="Arial"/>
        </w:rPr>
        <w:t>75109</w:t>
      </w:r>
      <w:r w:rsidRPr="00DE5D68">
        <w:rPr>
          <w:rFonts w:cs="Arial"/>
        </w:rPr>
        <w:t>.</w:t>
      </w:r>
      <w:bookmarkEnd w:id="222"/>
      <w:r w:rsidRPr="00DE5D68" w:rsidR="00564182">
        <w:rPr>
          <w:rFonts w:cs="Arial"/>
        </w:rPr>
        <w:t xml:space="preserve"> </w:t>
      </w:r>
    </w:p>
    <w:p w:rsidRPr="00491953" w:rsidR="0094275F" w:rsidP="00491953" w:rsidRDefault="002A3F89" w14:paraId="63430613" w14:textId="2514BDEF">
      <w:pPr>
        <w:pStyle w:val="Heading2"/>
        <w:rPr>
          <w:rFonts w:cs="Arial"/>
        </w:rPr>
      </w:pPr>
      <w:bookmarkStart w:name="_Ref329161206" w:id="223"/>
      <w:bookmarkStart w:name="_Ref65763060" w:id="224"/>
      <w:r w:rsidRPr="00491953">
        <w:rPr>
          <w:rFonts w:cs="Arial"/>
        </w:rPr>
        <w:t>The registered office</w:t>
      </w:r>
      <w:r w:rsidRPr="00491953" w:rsidR="002F336D">
        <w:rPr>
          <w:rFonts w:cs="Arial"/>
        </w:rPr>
        <w:t xml:space="preserve"> and principal place of business</w:t>
      </w:r>
      <w:r w:rsidRPr="00491953">
        <w:rPr>
          <w:rFonts w:cs="Arial"/>
        </w:rPr>
        <w:t xml:space="preserve"> of the Company is </w:t>
      </w:r>
      <w:bookmarkStart w:name="_Hlk189669737" w:id="225"/>
      <w:r w:rsidRPr="00491953" w:rsidR="00491953">
        <w:rPr>
          <w:rFonts w:cs="Arial"/>
        </w:rPr>
        <w:t>Les Echelons Court</w:t>
      </w:r>
      <w:r w:rsidR="00491953">
        <w:rPr>
          <w:rFonts w:cs="Arial"/>
        </w:rPr>
        <w:t xml:space="preserve">, </w:t>
      </w:r>
      <w:r w:rsidRPr="00491953" w:rsidR="00491953">
        <w:rPr>
          <w:rFonts w:cs="Arial"/>
        </w:rPr>
        <w:t>Les Echelons</w:t>
      </w:r>
      <w:r w:rsidR="00491953">
        <w:rPr>
          <w:rFonts w:cs="Arial"/>
        </w:rPr>
        <w:t xml:space="preserve">, </w:t>
      </w:r>
      <w:r w:rsidRPr="00491953" w:rsidR="00491953">
        <w:rPr>
          <w:rFonts w:cs="Arial"/>
        </w:rPr>
        <w:t>St Peter Port</w:t>
      </w:r>
      <w:r w:rsidR="00491953">
        <w:rPr>
          <w:rFonts w:cs="Arial"/>
        </w:rPr>
        <w:t xml:space="preserve">, </w:t>
      </w:r>
      <w:r w:rsidRPr="00491953" w:rsidR="00491953">
        <w:rPr>
          <w:rFonts w:cs="Arial"/>
        </w:rPr>
        <w:t>Guernsey</w:t>
      </w:r>
      <w:r w:rsidR="00491953">
        <w:rPr>
          <w:rFonts w:cs="Arial"/>
        </w:rPr>
        <w:t xml:space="preserve"> </w:t>
      </w:r>
      <w:r w:rsidRPr="00491953" w:rsidR="00491953">
        <w:rPr>
          <w:rFonts w:cs="Arial"/>
        </w:rPr>
        <w:t>GY1 1AR</w:t>
      </w:r>
      <w:r w:rsidRPr="00D52C83" w:rsidR="0094275F">
        <w:t xml:space="preserve"> </w:t>
      </w:r>
      <w:bookmarkEnd w:id="225"/>
      <w:r w:rsidRPr="00D52C83">
        <w:t xml:space="preserve">with telephone number </w:t>
      </w:r>
      <w:bookmarkEnd w:id="223"/>
      <w:r w:rsidRPr="00D52C83" w:rsidR="004A3D98">
        <w:t xml:space="preserve">+44 (0) </w:t>
      </w:r>
      <w:r w:rsidRPr="00D52C83" w:rsidR="000B499E">
        <w:t>1481</w:t>
      </w:r>
      <w:r w:rsidR="001C31D5">
        <w:t xml:space="preserve"> </w:t>
      </w:r>
      <w:r w:rsidRPr="001C31D5" w:rsidR="001C31D5">
        <w:t>743030</w:t>
      </w:r>
      <w:r w:rsidRPr="00D52C83" w:rsidR="002A255E">
        <w:t>.</w:t>
      </w:r>
      <w:bookmarkEnd w:id="224"/>
      <w:r w:rsidRPr="00D52C83" w:rsidR="00B16681">
        <w:t xml:space="preserve"> </w:t>
      </w:r>
      <w:r w:rsidRPr="00F42742" w:rsidR="00D52C83">
        <w:t xml:space="preserve">The Company's LEI number is </w:t>
      </w:r>
      <w:r w:rsidRPr="00BE78C6" w:rsidR="00BE78C6">
        <w:t>213800IVO9DDEIJD7724</w:t>
      </w:r>
      <w:r w:rsidRPr="00F42742" w:rsidR="00B16681">
        <w:t>.</w:t>
      </w:r>
    </w:p>
    <w:p w:rsidRPr="00DE5D68" w:rsidR="006747C5" w:rsidP="00C27D12" w:rsidRDefault="002A3F89" w14:paraId="11CE854D" w14:textId="1DF4ED13">
      <w:pPr>
        <w:pStyle w:val="Heading2"/>
        <w:rPr>
          <w:rFonts w:cs="Arial"/>
        </w:rPr>
      </w:pPr>
      <w:bookmarkStart w:name="_Ref329161207" w:id="226"/>
      <w:r w:rsidRPr="00DE5D68">
        <w:rPr>
          <w:rFonts w:cs="Arial"/>
        </w:rPr>
        <w:t xml:space="preserve">The principal legislation under which the Company operates is the </w:t>
      </w:r>
      <w:r w:rsidRPr="00DE5D68" w:rsidR="00F957D0">
        <w:rPr>
          <w:rFonts w:cs="Arial"/>
        </w:rPr>
        <w:t xml:space="preserve">Companies </w:t>
      </w:r>
      <w:r w:rsidRPr="00DE5D68" w:rsidR="00260671">
        <w:rPr>
          <w:rFonts w:cs="Arial"/>
        </w:rPr>
        <w:t>Law and ordinances and regulations made thereunder</w:t>
      </w:r>
      <w:r w:rsidRPr="00DE5D68" w:rsidR="00303BF8">
        <w:rPr>
          <w:rFonts w:cs="Arial"/>
        </w:rPr>
        <w:t xml:space="preserve">. </w:t>
      </w:r>
      <w:r w:rsidRPr="00DE5D68" w:rsidR="00260671">
        <w:rPr>
          <w:rFonts w:cs="Arial"/>
        </w:rPr>
        <w:t>The Compan</w:t>
      </w:r>
      <w:r w:rsidR="002C78EC">
        <w:rPr>
          <w:rFonts w:cs="Arial"/>
        </w:rPr>
        <w:t>y is regulated by the GFSC</w:t>
      </w:r>
      <w:r w:rsidRPr="00DE5D68" w:rsidR="00260671">
        <w:rPr>
          <w:rFonts w:cs="Arial"/>
        </w:rPr>
        <w:t xml:space="preserve"> and registered as a closed-ended investment scheme pursuant to the POI Law and the </w:t>
      </w:r>
      <w:r w:rsidRPr="00DE5D68" w:rsidR="000C0D70">
        <w:rPr>
          <w:rFonts w:cs="Arial"/>
        </w:rPr>
        <w:t>RCIS Rules</w:t>
      </w:r>
      <w:r w:rsidRPr="00DE5D68" w:rsidR="00E15E0C">
        <w:rPr>
          <w:rFonts w:cs="Arial"/>
        </w:rPr>
        <w:t>.</w:t>
      </w:r>
      <w:r w:rsidRPr="00DE5D68" w:rsidR="00260671">
        <w:rPr>
          <w:rFonts w:cs="Arial"/>
        </w:rPr>
        <w:t xml:space="preserve"> The Company will not be regulated as a collective investment scheme by the FCA.</w:t>
      </w:r>
      <w:r w:rsidRPr="00DE5D68" w:rsidR="00E15E0C">
        <w:rPr>
          <w:rFonts w:cs="Arial"/>
        </w:rPr>
        <w:t xml:space="preserve"> </w:t>
      </w:r>
      <w:r w:rsidRPr="00DE5D68">
        <w:rPr>
          <w:rFonts w:cs="Arial"/>
        </w:rPr>
        <w:t xml:space="preserve">However, from </w:t>
      </w:r>
      <w:r w:rsidRPr="00DE5D68" w:rsidR="00260671">
        <w:rPr>
          <w:rFonts w:cs="Arial"/>
        </w:rPr>
        <w:t xml:space="preserve">Initial </w:t>
      </w:r>
      <w:r w:rsidRPr="00DE5D68">
        <w:rPr>
          <w:rFonts w:cs="Arial"/>
        </w:rPr>
        <w:t>Admission, the Company and the Shar</w:t>
      </w:r>
      <w:r w:rsidRPr="00DE5D68" w:rsidR="00A76B24">
        <w:rPr>
          <w:rFonts w:cs="Arial"/>
        </w:rPr>
        <w:t xml:space="preserve">eholders will be subject to </w:t>
      </w:r>
      <w:r w:rsidRPr="00DE5D68" w:rsidR="002F336D">
        <w:rPr>
          <w:rFonts w:cs="Arial"/>
        </w:rPr>
        <w:t xml:space="preserve">the </w:t>
      </w:r>
      <w:r w:rsidRPr="00DE5D68" w:rsidR="00502CEB">
        <w:rPr>
          <w:rFonts w:cs="Arial"/>
        </w:rPr>
        <w:t>Prospectus Regulation Rules</w:t>
      </w:r>
      <w:r w:rsidRPr="00DE5D68" w:rsidR="002F336D">
        <w:rPr>
          <w:rFonts w:cs="Arial"/>
        </w:rPr>
        <w:t>,</w:t>
      </w:r>
      <w:r w:rsidRPr="00DE5D68">
        <w:rPr>
          <w:rFonts w:cs="Arial"/>
        </w:rPr>
        <w:t xml:space="preserve"> the Disclosure </w:t>
      </w:r>
      <w:r w:rsidRPr="00DE5D68" w:rsidR="00C66159">
        <w:rPr>
          <w:rFonts w:cs="Arial"/>
        </w:rPr>
        <w:t xml:space="preserve">Guidance </w:t>
      </w:r>
      <w:r w:rsidRPr="00DE5D68">
        <w:rPr>
          <w:rFonts w:cs="Arial"/>
        </w:rPr>
        <w:t>and Transparency Rules</w:t>
      </w:r>
      <w:r w:rsidRPr="00DE5D68" w:rsidR="002F336D">
        <w:rPr>
          <w:rFonts w:cs="Arial"/>
        </w:rPr>
        <w:t xml:space="preserve">, </w:t>
      </w:r>
      <w:r w:rsidR="00823FE5">
        <w:rPr>
          <w:rFonts w:cs="Arial"/>
        </w:rPr>
        <w:t>the Prospectus Regulation,</w:t>
      </w:r>
      <w:r w:rsidRPr="00DE5D68" w:rsidR="00FE36B8">
        <w:rPr>
          <w:rFonts w:cs="Arial"/>
        </w:rPr>
        <w:t xml:space="preserve"> </w:t>
      </w:r>
      <w:r w:rsidRPr="00DE5D68" w:rsidR="002F336D">
        <w:rPr>
          <w:rFonts w:cs="Arial"/>
        </w:rPr>
        <w:t xml:space="preserve">MAR and the rules of </w:t>
      </w:r>
      <w:r w:rsidR="00640CB6">
        <w:rPr>
          <w:rFonts w:cs="Arial"/>
        </w:rPr>
        <w:fldChar w:fldCharType="begin">
          <w:fldData xml:space="preserve">dgAxAHwAMQAwADAAMwA3AHwAdABoAGUAIABMAG8AbgBkAG8AbgB8AEEAbQBiAGkAZwAtADEAMAAw
ADMANwB8AHwA
</w:fldData>
        </w:fldChar>
      </w:r>
      <w:r w:rsidR="00640CB6">
        <w:rPr>
          <w:rFonts w:cs="Arial"/>
        </w:rPr>
        <w:instrText xml:space="preserve"> ADDIN CiteCheck Marker </w:instrText>
      </w:r>
      <w:r w:rsidR="00640CB6">
        <w:rPr>
          <w:rFonts w:cs="Arial"/>
        </w:rPr>
      </w:r>
      <w:r w:rsidR="00640CB6">
        <w:rPr>
          <w:rFonts w:cs="Arial"/>
        </w:rPr>
        <w:fldChar w:fldCharType="end"/>
      </w:r>
      <w:r w:rsidRPr="00DE5D68" w:rsidR="002F336D">
        <w:rPr>
          <w:rFonts w:cs="Arial"/>
        </w:rPr>
        <w:t>the London Stock Exchange</w:t>
      </w:r>
      <w:r w:rsidRPr="00DE5D68">
        <w:rPr>
          <w:rFonts w:cs="Arial"/>
        </w:rPr>
        <w:t>.</w:t>
      </w:r>
      <w:bookmarkEnd w:id="226"/>
      <w:r w:rsidRPr="00DE5D68" w:rsidR="00AA6E9B">
        <w:rPr>
          <w:rFonts w:cs="Arial"/>
        </w:rPr>
        <w:t xml:space="preserve"> </w:t>
      </w:r>
      <w:bookmarkStart w:name="_Ref329161208" w:id="227"/>
    </w:p>
    <w:p w:rsidR="00796434" w:rsidP="00C27D12" w:rsidRDefault="00796434" w14:paraId="0E91B167" w14:textId="5837B1F7">
      <w:pPr>
        <w:pStyle w:val="Heading2"/>
        <w:rPr>
          <w:rFonts w:cs="Arial"/>
        </w:rPr>
      </w:pPr>
      <w:bookmarkStart w:name="_Ref329161209" w:id="228"/>
      <w:bookmarkEnd w:id="227"/>
      <w:r>
        <w:rPr>
          <w:rFonts w:cs="Arial"/>
        </w:rPr>
        <w:t xml:space="preserve">Save for </w:t>
      </w:r>
      <w:r w:rsidR="00AF01F5">
        <w:rPr>
          <w:rFonts w:cs="Arial"/>
        </w:rPr>
        <w:t xml:space="preserve">the </w:t>
      </w:r>
      <w:r>
        <w:rPr>
          <w:rFonts w:cs="Arial"/>
        </w:rPr>
        <w:t xml:space="preserve">entry into </w:t>
      </w:r>
      <w:r w:rsidR="00AF01F5">
        <w:rPr>
          <w:rFonts w:cs="Arial"/>
        </w:rPr>
        <w:t xml:space="preserve">of </w:t>
      </w:r>
      <w:r>
        <w:rPr>
          <w:rFonts w:cs="Arial"/>
        </w:rPr>
        <w:t xml:space="preserve">the material contracts summarised in paragraph 6 of this Part 6, the Company has not yet commenced operations since incorporation and, as at the date of this document, no financial statements have been made up and no dividends have been declared by the Company. </w:t>
      </w:r>
    </w:p>
    <w:p w:rsidRPr="00DE5D68" w:rsidR="002A3F89" w:rsidP="00C27D12" w:rsidRDefault="002A3F89" w14:paraId="164B4407" w14:textId="15158D3D">
      <w:pPr>
        <w:pStyle w:val="Heading2"/>
        <w:rPr>
          <w:rFonts w:cs="Arial"/>
        </w:rPr>
      </w:pPr>
      <w:r w:rsidRPr="00DE5D68">
        <w:rPr>
          <w:rFonts w:cs="Arial"/>
        </w:rPr>
        <w:t>The Company</w:t>
      </w:r>
      <w:r w:rsidRPr="00DE5D68" w:rsidR="00A10967">
        <w:rPr>
          <w:rFonts w:cs="Arial"/>
        </w:rPr>
        <w:t>’</w:t>
      </w:r>
      <w:r w:rsidRPr="00DE5D68">
        <w:rPr>
          <w:rFonts w:cs="Arial"/>
        </w:rPr>
        <w:t xml:space="preserve">s accounting period will end on </w:t>
      </w:r>
      <w:r w:rsidR="00A1533A">
        <w:rPr>
          <w:rFonts w:cs="Arial"/>
        </w:rPr>
        <w:t>30 June</w:t>
      </w:r>
      <w:r w:rsidRPr="00DE5D68" w:rsidR="00580034">
        <w:rPr>
          <w:rFonts w:cs="Arial"/>
        </w:rPr>
        <w:t xml:space="preserve"> </w:t>
      </w:r>
      <w:r w:rsidR="002846E0">
        <w:rPr>
          <w:rFonts w:cs="Arial"/>
        </w:rPr>
        <w:t xml:space="preserve">of each year. The </w:t>
      </w:r>
      <w:r w:rsidR="00AF01F5">
        <w:rPr>
          <w:rFonts w:cs="Arial"/>
        </w:rPr>
        <w:t>first</w:t>
      </w:r>
      <w:r w:rsidRPr="00DE5D68" w:rsidR="00986AD7">
        <w:rPr>
          <w:rFonts w:cs="Arial"/>
        </w:rPr>
        <w:t xml:space="preserve"> a</w:t>
      </w:r>
      <w:r w:rsidRPr="00DE5D68" w:rsidR="007C7DB2">
        <w:rPr>
          <w:rFonts w:cs="Arial"/>
        </w:rPr>
        <w:t>c</w:t>
      </w:r>
      <w:r w:rsidRPr="00DE5D68" w:rsidR="00E15E0C">
        <w:rPr>
          <w:rFonts w:cs="Arial"/>
        </w:rPr>
        <w:t xml:space="preserve">counting </w:t>
      </w:r>
      <w:r w:rsidRPr="00DE5D68" w:rsidR="00867EEE">
        <w:rPr>
          <w:rFonts w:cs="Arial"/>
        </w:rPr>
        <w:t xml:space="preserve">period will end on </w:t>
      </w:r>
      <w:r w:rsidR="00A1533A">
        <w:rPr>
          <w:rFonts w:cs="Arial"/>
        </w:rPr>
        <w:t>30 June</w:t>
      </w:r>
      <w:r w:rsidRPr="00DE5D68" w:rsidR="00FA016A">
        <w:rPr>
          <w:rFonts w:cs="Arial"/>
        </w:rPr>
        <w:t xml:space="preserve"> </w:t>
      </w:r>
      <w:r w:rsidR="0094275F">
        <w:rPr>
          <w:rFonts w:cs="Arial"/>
        </w:rPr>
        <w:t>202</w:t>
      </w:r>
      <w:r w:rsidR="004B1E94">
        <w:rPr>
          <w:rFonts w:cs="Arial"/>
        </w:rPr>
        <w:t>6</w:t>
      </w:r>
      <w:r w:rsidRPr="00DE5D68">
        <w:rPr>
          <w:rFonts w:cs="Arial"/>
        </w:rPr>
        <w:t xml:space="preserve">. The annual report and accounts will be prepared in </w:t>
      </w:r>
      <w:r w:rsidRPr="00DE5D68" w:rsidR="00580034">
        <w:rPr>
          <w:rFonts w:cs="Arial"/>
        </w:rPr>
        <w:t>Sterling</w:t>
      </w:r>
      <w:r w:rsidRPr="00DE5D68" w:rsidR="00F957D0">
        <w:rPr>
          <w:rFonts w:cs="Arial"/>
        </w:rPr>
        <w:t xml:space="preserve"> </w:t>
      </w:r>
      <w:r w:rsidRPr="00DE5D68">
        <w:rPr>
          <w:rFonts w:cs="Arial"/>
        </w:rPr>
        <w:t xml:space="preserve">according to accounting standards laid out under </w:t>
      </w:r>
      <w:bookmarkEnd w:id="228"/>
      <w:r w:rsidRPr="00DE5D68" w:rsidR="00731404">
        <w:rPr>
          <w:rFonts w:cs="Arial"/>
        </w:rPr>
        <w:t>IFRS</w:t>
      </w:r>
      <w:r w:rsidRPr="00DE5D68">
        <w:rPr>
          <w:rFonts w:cs="Arial"/>
        </w:rPr>
        <w:t>.</w:t>
      </w:r>
    </w:p>
    <w:p w:rsidRPr="00DE5D68" w:rsidR="00580034" w:rsidP="00C27D12" w:rsidRDefault="002A3F89" w14:paraId="3A994CEF" w14:textId="6BB3362E">
      <w:pPr>
        <w:pStyle w:val="Heading2"/>
        <w:rPr>
          <w:rFonts w:cs="Arial"/>
          <w:i/>
        </w:rPr>
      </w:pPr>
      <w:bookmarkStart w:name="_Ref329161212" w:id="229"/>
      <w:r w:rsidRPr="00DE5D68">
        <w:rPr>
          <w:rFonts w:cs="Arial"/>
        </w:rPr>
        <w:t>The Company is d</w:t>
      </w:r>
      <w:r w:rsidRPr="00DE5D68" w:rsidR="00420BFF">
        <w:rPr>
          <w:rFonts w:cs="Arial"/>
        </w:rPr>
        <w:t xml:space="preserve">omiciled in </w:t>
      </w:r>
      <w:r w:rsidRPr="00DE5D68" w:rsidR="00580034">
        <w:rPr>
          <w:rFonts w:cs="Arial"/>
        </w:rPr>
        <w:t>Guernsey</w:t>
      </w:r>
      <w:r w:rsidRPr="00DE5D68" w:rsidR="00420BFF">
        <w:rPr>
          <w:rFonts w:cs="Arial"/>
        </w:rPr>
        <w:t xml:space="preserve">, </w:t>
      </w:r>
      <w:r w:rsidRPr="00DE5D68">
        <w:rPr>
          <w:rFonts w:cs="Arial"/>
        </w:rPr>
        <w:t>do</w:t>
      </w:r>
      <w:r w:rsidR="0094275F">
        <w:rPr>
          <w:rFonts w:cs="Arial"/>
        </w:rPr>
        <w:t xml:space="preserve">es not have any employees, </w:t>
      </w:r>
      <w:r w:rsidRPr="00DE5D68">
        <w:rPr>
          <w:rFonts w:cs="Arial"/>
        </w:rPr>
        <w:t>does not own any premises</w:t>
      </w:r>
      <w:bookmarkEnd w:id="229"/>
      <w:r w:rsidR="0094275F">
        <w:rPr>
          <w:rFonts w:cs="Arial"/>
        </w:rPr>
        <w:t xml:space="preserve"> and has no subsidiaries</w:t>
      </w:r>
      <w:r w:rsidRPr="00DE5D68" w:rsidR="00C46ECD">
        <w:rPr>
          <w:rFonts w:cs="Arial"/>
        </w:rPr>
        <w:t>.</w:t>
      </w:r>
    </w:p>
    <w:p w:rsidRPr="00DE5D68" w:rsidR="002A3F89" w:rsidP="00C27D12" w:rsidRDefault="00580034" w14:paraId="4AE69250" w14:textId="670F19A4">
      <w:pPr>
        <w:pStyle w:val="Heading2"/>
        <w:rPr>
          <w:rFonts w:cs="Arial"/>
          <w:i/>
        </w:rPr>
      </w:pPr>
      <w:r w:rsidRPr="00DE5D68">
        <w:rPr>
          <w:rFonts w:cs="Arial"/>
        </w:rPr>
        <w:t>The Company has been esta</w:t>
      </w:r>
      <w:r w:rsidRPr="00DE5D68" w:rsidR="00A76B24">
        <w:rPr>
          <w:rFonts w:cs="Arial"/>
        </w:rPr>
        <w:t>blished with an indefinite life</w:t>
      </w:r>
      <w:r w:rsidRPr="00DE5D68">
        <w:rPr>
          <w:rFonts w:cs="Arial"/>
        </w:rPr>
        <w:t>.</w:t>
      </w:r>
      <w:r w:rsidRPr="00DE5D68" w:rsidR="00A061C5">
        <w:rPr>
          <w:rFonts w:cs="Arial"/>
        </w:rPr>
        <w:t xml:space="preserve"> </w:t>
      </w:r>
    </w:p>
    <w:p w:rsidRPr="0094275F" w:rsidR="00F77153" w:rsidP="0094275F" w:rsidRDefault="00580034" w14:paraId="4BCB1C3B" w14:textId="4E2F4CF3">
      <w:pPr>
        <w:pStyle w:val="Heading2"/>
        <w:rPr>
          <w:rFonts w:cs="Arial"/>
          <w:i/>
        </w:rPr>
      </w:pPr>
      <w:r w:rsidRPr="00DE5D68">
        <w:rPr>
          <w:rFonts w:cs="Arial"/>
        </w:rPr>
        <w:t>The Company operates in accordance with its Memorandum and Articles.</w:t>
      </w:r>
    </w:p>
    <w:p w:rsidRPr="00DE5D68" w:rsidR="00C2282C" w:rsidP="00C27D12" w:rsidRDefault="00C2282C" w14:paraId="7EC3346D" w14:textId="77777777">
      <w:pPr>
        <w:pStyle w:val="Heading1"/>
        <w:rPr>
          <w:rFonts w:cs="Arial"/>
          <w:caps w:val="0"/>
        </w:rPr>
      </w:pPr>
      <w:r w:rsidRPr="00DE5D68">
        <w:rPr>
          <w:rFonts w:cs="Arial"/>
          <w:caps w:val="0"/>
        </w:rPr>
        <w:t>SHARE CAPITAL</w:t>
      </w:r>
      <w:bookmarkEnd w:id="219"/>
      <w:bookmarkEnd w:id="220"/>
    </w:p>
    <w:p w:rsidRPr="00DE5D68" w:rsidR="00B13BCE" w:rsidP="00C27D12" w:rsidRDefault="008C0F68" w14:paraId="21BF318F" w14:textId="553280AA">
      <w:pPr>
        <w:pStyle w:val="Heading2"/>
        <w:rPr>
          <w:rFonts w:cs="Arial"/>
        </w:rPr>
      </w:pPr>
      <w:bookmarkStart w:name="_Ref329949163" w:id="230"/>
      <w:bookmarkStart w:name="_Hlk188546945" w:id="231"/>
      <w:bookmarkStart w:name="_Ref329161216" w:id="232"/>
      <w:bookmarkStart w:name="_Hlk188880369" w:id="233"/>
      <w:r w:rsidRPr="00DE5D68">
        <w:rPr>
          <w:rFonts w:cs="Arial"/>
        </w:rPr>
        <w:t>The</w:t>
      </w:r>
      <w:r w:rsidR="00966C7B">
        <w:rPr>
          <w:rFonts w:cs="Arial"/>
        </w:rPr>
        <w:t xml:space="preserve"> Company </w:t>
      </w:r>
      <w:r w:rsidR="00FC383D">
        <w:rPr>
          <w:rFonts w:cs="Arial"/>
        </w:rPr>
        <w:t xml:space="preserve">has no </w:t>
      </w:r>
      <w:r w:rsidR="00966C7B">
        <w:rPr>
          <w:rFonts w:cs="Arial"/>
        </w:rPr>
        <w:t xml:space="preserve">authorised </w:t>
      </w:r>
      <w:r w:rsidR="00FC383D">
        <w:rPr>
          <w:rFonts w:cs="Arial"/>
        </w:rPr>
        <w:t xml:space="preserve">share capital and may issue </w:t>
      </w:r>
      <w:r w:rsidR="00966C7B">
        <w:rPr>
          <w:rFonts w:cs="Arial"/>
        </w:rPr>
        <w:t>an unlimited number of shares</w:t>
      </w:r>
      <w:r w:rsidR="00FC383D">
        <w:rPr>
          <w:rFonts w:cs="Arial"/>
        </w:rPr>
        <w:t xml:space="preserve"> subject to the provisions of the Articles</w:t>
      </w:r>
      <w:r w:rsidR="00966C7B">
        <w:rPr>
          <w:rFonts w:cs="Arial"/>
        </w:rPr>
        <w:t xml:space="preserve">. </w:t>
      </w:r>
      <w:r w:rsidRPr="00DE5D68">
        <w:rPr>
          <w:rFonts w:cs="Arial"/>
        </w:rPr>
        <w:t xml:space="preserve"> One </w:t>
      </w:r>
      <w:r w:rsidR="00AF6F83">
        <w:rPr>
          <w:rFonts w:cs="Arial"/>
        </w:rPr>
        <w:t>o</w:t>
      </w:r>
      <w:r w:rsidR="00B36CB7">
        <w:rPr>
          <w:rFonts w:cs="Arial"/>
        </w:rPr>
        <w:t xml:space="preserve">rdinary </w:t>
      </w:r>
      <w:r w:rsidR="00AF6F83">
        <w:rPr>
          <w:rFonts w:cs="Arial"/>
        </w:rPr>
        <w:t>s</w:t>
      </w:r>
      <w:r w:rsidR="00B36CB7">
        <w:rPr>
          <w:rFonts w:cs="Arial"/>
        </w:rPr>
        <w:t>hare</w:t>
      </w:r>
      <w:r w:rsidRPr="00DE5D68">
        <w:rPr>
          <w:rFonts w:cs="Arial"/>
        </w:rPr>
        <w:t xml:space="preserve"> </w:t>
      </w:r>
      <w:r w:rsidR="0094275F">
        <w:rPr>
          <w:rFonts w:cs="Arial"/>
        </w:rPr>
        <w:t xml:space="preserve">of no par value </w:t>
      </w:r>
      <w:r w:rsidRPr="00DE5D68">
        <w:rPr>
          <w:rFonts w:cs="Arial"/>
        </w:rPr>
        <w:t xml:space="preserve">was issued </w:t>
      </w:r>
      <w:r w:rsidR="00966C7B">
        <w:rPr>
          <w:rFonts w:cs="Arial"/>
        </w:rPr>
        <w:t xml:space="preserve">on incorporation </w:t>
      </w:r>
      <w:r w:rsidRPr="00DE5D68">
        <w:rPr>
          <w:rFonts w:cs="Arial"/>
        </w:rPr>
        <w:t xml:space="preserve">at an </w:t>
      </w:r>
      <w:r w:rsidR="00823FE5">
        <w:rPr>
          <w:rFonts w:cs="Arial"/>
        </w:rPr>
        <w:t>issue p</w:t>
      </w:r>
      <w:r w:rsidRPr="00DE5D68" w:rsidR="000C0D70">
        <w:rPr>
          <w:rFonts w:cs="Arial"/>
        </w:rPr>
        <w:t>rice</w:t>
      </w:r>
      <w:r w:rsidRPr="00DE5D68">
        <w:rPr>
          <w:rFonts w:cs="Arial"/>
        </w:rPr>
        <w:t xml:space="preserve"> of </w:t>
      </w:r>
      <w:r w:rsidR="00AF6F83">
        <w:rPr>
          <w:rFonts w:cs="Arial"/>
        </w:rPr>
        <w:t>100p</w:t>
      </w:r>
      <w:r w:rsidRPr="00DE5D68">
        <w:rPr>
          <w:rFonts w:cs="Arial"/>
        </w:rPr>
        <w:t xml:space="preserve"> and is</w:t>
      </w:r>
      <w:r w:rsidRPr="00DE5D68" w:rsidR="006934BC">
        <w:rPr>
          <w:rFonts w:cs="Arial"/>
        </w:rPr>
        <w:t xml:space="preserve"> held by </w:t>
      </w:r>
      <w:r w:rsidR="00EE7D21">
        <w:rPr>
          <w:rFonts w:cs="Arial"/>
        </w:rPr>
        <w:t>the Investment Manager</w:t>
      </w:r>
      <w:r w:rsidRPr="00DE5D68" w:rsidR="002A3F89">
        <w:rPr>
          <w:rFonts w:cs="Arial"/>
        </w:rPr>
        <w:t>.</w:t>
      </w:r>
      <w:bookmarkEnd w:id="230"/>
      <w:bookmarkEnd w:id="231"/>
      <w:r w:rsidRPr="00DE5D68" w:rsidR="002A3F89">
        <w:rPr>
          <w:rFonts w:cs="Arial"/>
        </w:rPr>
        <w:t xml:space="preserve"> </w:t>
      </w:r>
      <w:bookmarkEnd w:id="232"/>
    </w:p>
    <w:p w:rsidRPr="00935BBE" w:rsidR="008C0F68" w:rsidP="00935BBE" w:rsidRDefault="008C0F68" w14:paraId="1D46C5A0" w14:textId="6F08E36E">
      <w:pPr>
        <w:pStyle w:val="Heading2"/>
        <w:rPr>
          <w:rFonts w:cs="Arial"/>
        </w:rPr>
      </w:pPr>
      <w:bookmarkStart w:name="_Ref65782775" w:id="234"/>
      <w:bookmarkEnd w:id="233"/>
      <w:r w:rsidRPr="00935BBE">
        <w:rPr>
          <w:rFonts w:cs="Arial"/>
        </w:rPr>
        <w:t>As at the date of this document, the issued share capital of the Company comprises</w:t>
      </w:r>
      <w:r w:rsidR="00861CE3">
        <w:rPr>
          <w:rFonts w:cs="Arial"/>
        </w:rPr>
        <w:t xml:space="preserve"> </w:t>
      </w:r>
      <w:r w:rsidR="00AF01F5">
        <w:rPr>
          <w:rFonts w:cs="Arial"/>
        </w:rPr>
        <w:t>one</w:t>
      </w:r>
      <w:r w:rsidRPr="00935BBE" w:rsidR="00B36CB7">
        <w:rPr>
          <w:rFonts w:cs="Arial"/>
        </w:rPr>
        <w:t xml:space="preserve"> Ordinary Share</w:t>
      </w:r>
      <w:r w:rsidR="00861CE3">
        <w:rPr>
          <w:rFonts w:cs="Arial"/>
        </w:rPr>
        <w:t xml:space="preserve"> </w:t>
      </w:r>
      <w:r w:rsidRPr="00935BBE">
        <w:rPr>
          <w:rFonts w:cs="Arial"/>
        </w:rPr>
        <w:t>held b</w:t>
      </w:r>
      <w:r w:rsidRPr="00935BBE" w:rsidR="001B0F1D">
        <w:rPr>
          <w:rFonts w:cs="Arial"/>
        </w:rPr>
        <w:t xml:space="preserve">y </w:t>
      </w:r>
      <w:r w:rsidR="00EE7D21">
        <w:rPr>
          <w:rFonts w:cs="Arial"/>
        </w:rPr>
        <w:t>the Investment Manager</w:t>
      </w:r>
      <w:r w:rsidRPr="00935BBE">
        <w:rPr>
          <w:rFonts w:cs="Arial"/>
        </w:rPr>
        <w:t>.</w:t>
      </w:r>
      <w:bookmarkEnd w:id="234"/>
      <w:r w:rsidRPr="00935BBE">
        <w:rPr>
          <w:rFonts w:cs="Arial"/>
        </w:rPr>
        <w:t xml:space="preserve"> </w:t>
      </w:r>
    </w:p>
    <w:p w:rsidRPr="00DE5D68" w:rsidR="00391635" w:rsidP="00C27D12" w:rsidRDefault="00823FE5" w14:paraId="026F35BD" w14:textId="13EB7FBF">
      <w:pPr>
        <w:pStyle w:val="Heading2"/>
        <w:rPr>
          <w:rFonts w:cs="Arial"/>
        </w:rPr>
      </w:pPr>
      <w:bookmarkStart w:name="_Hlk190172496" w:id="235"/>
      <w:bookmarkStart w:name="_Hlk188880379" w:id="236"/>
      <w:r>
        <w:rPr>
          <w:rFonts w:cs="Arial"/>
        </w:rPr>
        <w:t>O</w:t>
      </w:r>
      <w:r w:rsidR="00935BBE">
        <w:rPr>
          <w:rFonts w:cs="Arial"/>
        </w:rPr>
        <w:t xml:space="preserve">n the assumption that </w:t>
      </w:r>
      <w:r w:rsidR="00893EA6">
        <w:rPr>
          <w:rFonts w:cs="Arial"/>
        </w:rPr>
        <w:t>54</w:t>
      </w:r>
      <w:r w:rsidR="00572F6E">
        <w:rPr>
          <w:rFonts w:cs="Arial"/>
        </w:rPr>
        <w:t xml:space="preserve"> million</w:t>
      </w:r>
      <w:r>
        <w:rPr>
          <w:rFonts w:cs="Arial"/>
        </w:rPr>
        <w:t xml:space="preserve"> Ordinary Shares are </w:t>
      </w:r>
      <w:r w:rsidR="00296CEA">
        <w:rPr>
          <w:rFonts w:cs="Arial"/>
        </w:rPr>
        <w:t>the subject of</w:t>
      </w:r>
      <w:r w:rsidR="00935BBE">
        <w:rPr>
          <w:rFonts w:cs="Arial"/>
        </w:rPr>
        <w:t xml:space="preserve"> the </w:t>
      </w:r>
      <w:r w:rsidR="00E64580">
        <w:rPr>
          <w:rFonts w:cs="Arial"/>
        </w:rPr>
        <w:t>Initial Placing</w:t>
      </w:r>
      <w:r w:rsidR="00A46153">
        <w:rPr>
          <w:rFonts w:cs="Arial"/>
        </w:rPr>
        <w:t xml:space="preserve"> (which number includes the single Ordinary Share issued on the Company's incorporation)</w:t>
      </w:r>
      <w:r w:rsidRPr="00DE5D68" w:rsidR="008C0F68">
        <w:rPr>
          <w:rFonts w:cs="Arial"/>
        </w:rPr>
        <w:t>, the issued share capital of the Company will, at In</w:t>
      </w:r>
      <w:r w:rsidRPr="00DE5D68" w:rsidR="00A76B24">
        <w:rPr>
          <w:rFonts w:cs="Arial"/>
        </w:rPr>
        <w:t>itial Admission, consist of</w:t>
      </w:r>
      <w:r w:rsidR="00861CE3">
        <w:rPr>
          <w:rFonts w:cs="Arial"/>
        </w:rPr>
        <w:t xml:space="preserve"> </w:t>
      </w:r>
      <w:r w:rsidR="00893EA6">
        <w:rPr>
          <w:rStyle w:val="Level3asHeadingtext"/>
          <w:rFonts w:cs="Arial"/>
          <w:b w:val="0"/>
        </w:rPr>
        <w:t>54</w:t>
      </w:r>
      <w:r w:rsidR="007A1FC2">
        <w:rPr>
          <w:rStyle w:val="Level3asHeadingtext"/>
          <w:rFonts w:cs="Arial"/>
          <w:b w:val="0"/>
        </w:rPr>
        <w:t xml:space="preserve"> million</w:t>
      </w:r>
      <w:r w:rsidRPr="00DE5D68" w:rsidR="008C0F68">
        <w:rPr>
          <w:rFonts w:cs="Arial"/>
        </w:rPr>
        <w:t xml:space="preserve"> Ordinary Shares</w:t>
      </w:r>
      <w:bookmarkEnd w:id="235"/>
      <w:r w:rsidRPr="00DE5D68" w:rsidR="008C0F68">
        <w:rPr>
          <w:rFonts w:cs="Arial"/>
        </w:rPr>
        <w:t>.</w:t>
      </w:r>
    </w:p>
    <w:bookmarkEnd w:id="236"/>
    <w:p w:rsidRPr="00DE5D68" w:rsidR="00C2282C" w:rsidP="00C27D12" w:rsidRDefault="008C0F68" w14:paraId="49EC51C4" w14:textId="173CB50A">
      <w:pPr>
        <w:pStyle w:val="Heading2"/>
        <w:rPr>
          <w:rFonts w:cs="Arial"/>
        </w:rPr>
      </w:pPr>
      <w:r w:rsidRPr="00DE5D68">
        <w:rPr>
          <w:rFonts w:cs="Arial"/>
        </w:rPr>
        <w:t>As at the date of this do</w:t>
      </w:r>
      <w:r w:rsidRPr="00DE5D68" w:rsidR="00A76B24">
        <w:rPr>
          <w:rFonts w:cs="Arial"/>
        </w:rPr>
        <w:t xml:space="preserve">cument, the </w:t>
      </w:r>
      <w:r w:rsidRPr="00DE5D68">
        <w:rPr>
          <w:rFonts w:cs="Arial"/>
        </w:rPr>
        <w:t xml:space="preserve">Company has not repurchased any Ordinary Shares since its incorporation and no Ordinary Shares are held in treasury. </w:t>
      </w:r>
      <w:r w:rsidRPr="00DE5D68" w:rsidR="00C2282C">
        <w:rPr>
          <w:rFonts w:cs="Arial"/>
        </w:rPr>
        <w:t xml:space="preserve">All </w:t>
      </w:r>
      <w:r w:rsidRPr="00DE5D68" w:rsidR="004F3445">
        <w:rPr>
          <w:rFonts w:cs="Arial"/>
        </w:rPr>
        <w:t xml:space="preserve">Ordinary </w:t>
      </w:r>
      <w:r w:rsidRPr="00DE5D68" w:rsidR="00C2282C">
        <w:rPr>
          <w:rFonts w:cs="Arial"/>
        </w:rPr>
        <w:t xml:space="preserve">Shares will be fully paid. </w:t>
      </w:r>
    </w:p>
    <w:p w:rsidR="00AF01F5" w:rsidP="000709F0" w:rsidRDefault="00B60D62" w14:paraId="178E9A90" w14:textId="66AF903D">
      <w:pPr>
        <w:pStyle w:val="Heading2"/>
        <w:rPr>
          <w:rFonts w:cs="Arial"/>
        </w:rPr>
      </w:pPr>
      <w:bookmarkStart w:name="_Ref65762319" w:id="237"/>
      <w:bookmarkStart w:name="_Hlk155202114" w:id="238"/>
      <w:r w:rsidRPr="00DE5D68">
        <w:rPr>
          <w:rFonts w:cs="Arial"/>
        </w:rPr>
        <w:t xml:space="preserve">By special resolutions passed on </w:t>
      </w:r>
      <w:r w:rsidR="007A1FC2">
        <w:rPr>
          <w:rFonts w:cs="Arial"/>
        </w:rPr>
        <w:t>14</w:t>
      </w:r>
      <w:r w:rsidR="00935BBE">
        <w:rPr>
          <w:rFonts w:cs="Arial"/>
        </w:rPr>
        <w:t xml:space="preserve"> </w:t>
      </w:r>
      <w:r w:rsidR="00A10F64">
        <w:rPr>
          <w:rFonts w:cs="Arial"/>
        </w:rPr>
        <w:t xml:space="preserve">February </w:t>
      </w:r>
      <w:r w:rsidR="00935BBE">
        <w:rPr>
          <w:rFonts w:cs="Arial"/>
        </w:rPr>
        <w:t>202</w:t>
      </w:r>
      <w:bookmarkStart w:name="_Ref329685726" w:id="239"/>
      <w:bookmarkStart w:name="_Ref329863247" w:id="240"/>
      <w:bookmarkEnd w:id="237"/>
      <w:r w:rsidR="00233B14">
        <w:rPr>
          <w:rFonts w:cs="Arial"/>
        </w:rPr>
        <w:t>5</w:t>
      </w:r>
      <w:r w:rsidR="000709F0">
        <w:rPr>
          <w:rFonts w:cs="Arial"/>
        </w:rPr>
        <w:t xml:space="preserve"> </w:t>
      </w:r>
      <w:r w:rsidRPr="000709F0" w:rsidR="00683745">
        <w:rPr>
          <w:rFonts w:cs="Arial"/>
        </w:rPr>
        <w:t>the Articles were approve</w:t>
      </w:r>
      <w:r w:rsidRPr="000709F0" w:rsidR="00530EA3">
        <w:rPr>
          <w:rFonts w:cs="Arial"/>
        </w:rPr>
        <w:t>d</w:t>
      </w:r>
      <w:r w:rsidRPr="000709F0" w:rsidR="00683745">
        <w:rPr>
          <w:rFonts w:cs="Arial"/>
        </w:rPr>
        <w:t xml:space="preserve"> and adopted in substitution for</w:t>
      </w:r>
      <w:r w:rsidR="00AF6F83">
        <w:rPr>
          <w:rFonts w:cs="Arial"/>
        </w:rPr>
        <w:t>,</w:t>
      </w:r>
      <w:r w:rsidRPr="000709F0" w:rsidR="00683745">
        <w:rPr>
          <w:rFonts w:cs="Arial"/>
        </w:rPr>
        <w:t xml:space="preserve"> and to the exclusion of</w:t>
      </w:r>
      <w:r w:rsidR="00AF6F83">
        <w:rPr>
          <w:rFonts w:cs="Arial"/>
        </w:rPr>
        <w:t>,</w:t>
      </w:r>
      <w:r w:rsidRPr="000709F0" w:rsidR="00683745">
        <w:rPr>
          <w:rFonts w:cs="Arial"/>
        </w:rPr>
        <w:t xml:space="preserve"> the then existing </w:t>
      </w:r>
      <w:r w:rsidRPr="000709F0" w:rsidR="000C0D70">
        <w:rPr>
          <w:rFonts w:cs="Arial"/>
        </w:rPr>
        <w:t>articles</w:t>
      </w:r>
      <w:r w:rsidRPr="000709F0" w:rsidR="00683745">
        <w:rPr>
          <w:rFonts w:cs="Arial"/>
        </w:rPr>
        <w:t xml:space="preserve"> of </w:t>
      </w:r>
      <w:r w:rsidRPr="000709F0" w:rsidR="000C0D70">
        <w:rPr>
          <w:rFonts w:cs="Arial"/>
        </w:rPr>
        <w:t>i</w:t>
      </w:r>
      <w:r w:rsidRPr="000709F0" w:rsidR="00683745">
        <w:rPr>
          <w:rFonts w:cs="Arial"/>
        </w:rPr>
        <w:t>ncorporation</w:t>
      </w:r>
      <w:r w:rsidR="000709F0">
        <w:rPr>
          <w:rFonts w:cs="Arial"/>
        </w:rPr>
        <w:t xml:space="preserve"> and </w:t>
      </w:r>
      <w:r w:rsidRPr="000709F0" w:rsidR="00AF01F5">
        <w:rPr>
          <w:rFonts w:cs="Arial"/>
        </w:rPr>
        <w:t>the issued ordinary share was converted into a redeemable Ordinary Share</w:t>
      </w:r>
      <w:r w:rsidR="000709F0">
        <w:rPr>
          <w:rFonts w:cs="Arial"/>
        </w:rPr>
        <w:t>.</w:t>
      </w:r>
    </w:p>
    <w:p w:rsidRPr="000709F0" w:rsidR="00683745" w:rsidP="000709F0" w:rsidRDefault="000709F0" w14:paraId="6E352B40" w14:textId="33796EAF">
      <w:pPr>
        <w:pStyle w:val="Heading2"/>
        <w:rPr>
          <w:rFonts w:cs="Arial"/>
        </w:rPr>
      </w:pPr>
      <w:r>
        <w:rPr>
          <w:rFonts w:cs="Arial"/>
        </w:rPr>
        <w:t xml:space="preserve">By </w:t>
      </w:r>
      <w:r w:rsidR="00170D56">
        <w:rPr>
          <w:rFonts w:cs="Arial"/>
        </w:rPr>
        <w:t xml:space="preserve">an </w:t>
      </w:r>
      <w:r>
        <w:rPr>
          <w:rFonts w:cs="Arial"/>
        </w:rPr>
        <w:t xml:space="preserve">Extraordinary Resolution passed on </w:t>
      </w:r>
      <w:r w:rsidRPr="007E14AC" w:rsidR="007A1FC2">
        <w:rPr>
          <w:rFonts w:cs="Arial"/>
        </w:rPr>
        <w:t>1</w:t>
      </w:r>
      <w:r w:rsidRPr="007E14AC" w:rsidR="00C615BB">
        <w:rPr>
          <w:rFonts w:cs="Arial"/>
        </w:rPr>
        <w:t>9</w:t>
      </w:r>
      <w:r w:rsidRPr="007E14AC">
        <w:rPr>
          <w:rFonts w:cs="Arial"/>
        </w:rPr>
        <w:t xml:space="preserve"> </w:t>
      </w:r>
      <w:r w:rsidRPr="007E14AC" w:rsidR="00A10F64">
        <w:rPr>
          <w:rFonts w:cs="Arial"/>
        </w:rPr>
        <w:t>February</w:t>
      </w:r>
      <w:r w:rsidR="00A10F64">
        <w:rPr>
          <w:rFonts w:cs="Arial"/>
        </w:rPr>
        <w:t xml:space="preserve"> </w:t>
      </w:r>
      <w:r>
        <w:rPr>
          <w:rFonts w:cs="Arial"/>
        </w:rPr>
        <w:t>202</w:t>
      </w:r>
      <w:r w:rsidR="00233B14">
        <w:rPr>
          <w:rFonts w:cs="Arial"/>
        </w:rPr>
        <w:t>5</w:t>
      </w:r>
      <w:r>
        <w:rPr>
          <w:rFonts w:cs="Arial"/>
        </w:rPr>
        <w:t xml:space="preserve"> </w:t>
      </w:r>
      <w:r w:rsidRPr="000709F0" w:rsidR="00C2282C">
        <w:rPr>
          <w:rFonts w:cs="Arial"/>
        </w:rPr>
        <w:t xml:space="preserve">the Directors were </w:t>
      </w:r>
      <w:r w:rsidRPr="000709F0" w:rsidR="00530EA3">
        <w:rPr>
          <w:rFonts w:cs="Arial"/>
        </w:rPr>
        <w:t xml:space="preserve">empowered to </w:t>
      </w:r>
      <w:r w:rsidRPr="000709F0" w:rsidR="00846DD0">
        <w:rPr>
          <w:rFonts w:cs="Arial"/>
        </w:rPr>
        <w:t>i</w:t>
      </w:r>
      <w:r w:rsidRPr="000709F0" w:rsidR="000C0D70">
        <w:rPr>
          <w:rFonts w:cs="Arial"/>
        </w:rPr>
        <w:t>ssue</w:t>
      </w:r>
      <w:r w:rsidRPr="000709F0" w:rsidR="00683745">
        <w:rPr>
          <w:rFonts w:cs="Arial"/>
        </w:rPr>
        <w:t>, to grant rights to subscribe for, to convert and to make of</w:t>
      </w:r>
      <w:r w:rsidRPr="000709F0" w:rsidR="00530EA3">
        <w:rPr>
          <w:rFonts w:cs="Arial"/>
        </w:rPr>
        <w:t xml:space="preserve">fers or agreements to </w:t>
      </w:r>
      <w:r w:rsidRPr="000709F0" w:rsidR="00846DD0">
        <w:rPr>
          <w:rFonts w:cs="Arial"/>
        </w:rPr>
        <w:t>i</w:t>
      </w:r>
      <w:r w:rsidRPr="000709F0" w:rsidR="000C0D70">
        <w:rPr>
          <w:rFonts w:cs="Arial"/>
        </w:rPr>
        <w:t>ssue</w:t>
      </w:r>
      <w:r w:rsidRPr="000709F0" w:rsidR="00683745">
        <w:rPr>
          <w:rFonts w:cs="Arial"/>
        </w:rPr>
        <w:t xml:space="preserve"> equity securities for cash as if the pre-emption rights contained in ar</w:t>
      </w:r>
      <w:r w:rsidRPr="000709F0" w:rsidR="002817B6">
        <w:rPr>
          <w:rFonts w:cs="Arial"/>
        </w:rPr>
        <w:t xml:space="preserve">ticle </w:t>
      </w:r>
      <w:r>
        <w:rPr>
          <w:rFonts w:cs="Arial"/>
        </w:rPr>
        <w:t>8</w:t>
      </w:r>
      <w:r w:rsidRPr="000709F0" w:rsidR="00683745">
        <w:rPr>
          <w:rFonts w:cs="Arial"/>
        </w:rPr>
        <w:t xml:space="preserve"> of the Articles in respect of such equity securities did not apply to any such </w:t>
      </w:r>
      <w:r w:rsidRPr="000709F0" w:rsidR="009B2499">
        <w:rPr>
          <w:rFonts w:cs="Arial"/>
        </w:rPr>
        <w:t>issue</w:t>
      </w:r>
      <w:r w:rsidRPr="000709F0" w:rsidR="00683745">
        <w:rPr>
          <w:rFonts w:cs="Arial"/>
        </w:rPr>
        <w:t xml:space="preserve">, provided that this power shall be limited to: </w:t>
      </w:r>
      <w:bookmarkEnd w:id="239"/>
      <w:bookmarkEnd w:id="240"/>
    </w:p>
    <w:p w:rsidR="00C2282C" w:rsidP="000709F0" w:rsidRDefault="00683745" w14:paraId="2E3C90CB" w14:textId="2A92E181">
      <w:pPr>
        <w:pStyle w:val="Heading3"/>
        <w:tabs>
          <w:tab w:val="clear" w:pos="1134"/>
          <w:tab w:val="num" w:pos="1418"/>
        </w:tabs>
        <w:ind w:left="1418" w:hanging="709"/>
        <w:rPr>
          <w:rFonts w:cs="Arial"/>
        </w:rPr>
      </w:pPr>
      <w:bookmarkStart w:name="_Ref31959745" w:id="241"/>
      <w:bookmarkStart w:name="_Hlk190172514" w:id="242"/>
      <w:r w:rsidRPr="000709F0">
        <w:rPr>
          <w:rFonts w:cs="Arial"/>
        </w:rPr>
        <w:lastRenderedPageBreak/>
        <w:t xml:space="preserve">the </w:t>
      </w:r>
      <w:r w:rsidRPr="000709F0" w:rsidR="00846DD0">
        <w:rPr>
          <w:rFonts w:cs="Arial"/>
        </w:rPr>
        <w:t>i</w:t>
      </w:r>
      <w:r w:rsidRPr="000709F0" w:rsidR="000C0D70">
        <w:rPr>
          <w:rFonts w:cs="Arial"/>
        </w:rPr>
        <w:t>ssue</w:t>
      </w:r>
      <w:r w:rsidRPr="000709F0">
        <w:rPr>
          <w:rFonts w:cs="Arial"/>
        </w:rPr>
        <w:t xml:space="preserve"> of </w:t>
      </w:r>
      <w:r w:rsidR="00F23285">
        <w:rPr>
          <w:rFonts w:cs="Arial"/>
        </w:rPr>
        <w:t xml:space="preserve">up to </w:t>
      </w:r>
      <w:r w:rsidRPr="007E14AC" w:rsidR="007D3786">
        <w:rPr>
          <w:rFonts w:cs="Arial"/>
        </w:rPr>
        <w:t>6</w:t>
      </w:r>
      <w:r w:rsidRPr="007E14AC" w:rsidR="007A1FC2">
        <w:rPr>
          <w:rFonts w:cs="Arial"/>
        </w:rPr>
        <w:t>0</w:t>
      </w:r>
      <w:r w:rsidRPr="000709F0">
        <w:rPr>
          <w:rFonts w:cs="Arial"/>
        </w:rPr>
        <w:t xml:space="preserve"> million Ordinary Shar</w:t>
      </w:r>
      <w:r w:rsidRPr="000709F0" w:rsidR="00935BBE">
        <w:rPr>
          <w:rFonts w:cs="Arial"/>
        </w:rPr>
        <w:t xml:space="preserve">es pursuant to the </w:t>
      </w:r>
      <w:r w:rsidR="00E64580">
        <w:rPr>
          <w:rFonts w:cs="Arial"/>
        </w:rPr>
        <w:t xml:space="preserve">Initial </w:t>
      </w:r>
      <w:proofErr w:type="gramStart"/>
      <w:r w:rsidR="00E64580">
        <w:rPr>
          <w:rFonts w:cs="Arial"/>
        </w:rPr>
        <w:t>Placing</w:t>
      </w:r>
      <w:r w:rsidRPr="000709F0">
        <w:rPr>
          <w:rFonts w:cs="Arial"/>
        </w:rPr>
        <w:t>;</w:t>
      </w:r>
      <w:bookmarkEnd w:id="241"/>
      <w:proofErr w:type="gramEnd"/>
    </w:p>
    <w:bookmarkEnd w:id="242"/>
    <w:p w:rsidR="000709F0" w:rsidP="000709F0" w:rsidRDefault="000709F0" w14:paraId="0637D61C" w14:textId="0D031E72">
      <w:pPr>
        <w:pStyle w:val="Heading3"/>
        <w:tabs>
          <w:tab w:val="clear" w:pos="1134"/>
          <w:tab w:val="num" w:pos="1418"/>
        </w:tabs>
        <w:ind w:left="1418" w:hanging="709"/>
        <w:rPr>
          <w:rFonts w:cs="Arial"/>
        </w:rPr>
      </w:pPr>
      <w:proofErr w:type="gramStart"/>
      <w:r w:rsidRPr="000709F0">
        <w:rPr>
          <w:rFonts w:cs="Arial"/>
        </w:rPr>
        <w:t>otherwise</w:t>
      </w:r>
      <w:proofErr w:type="gramEnd"/>
      <w:r w:rsidRPr="000709F0">
        <w:rPr>
          <w:rFonts w:cs="Arial"/>
        </w:rPr>
        <w:t xml:space="preserve"> than pursuant to the authority described in sub-paragraph 2.</w:t>
      </w:r>
      <w:r>
        <w:rPr>
          <w:rFonts w:cs="Arial"/>
        </w:rPr>
        <w:t>6.1</w:t>
      </w:r>
      <w:r w:rsidRPr="000709F0">
        <w:rPr>
          <w:rFonts w:cs="Arial"/>
        </w:rPr>
        <w:t xml:space="preserve"> above, the issue of up to </w:t>
      </w:r>
      <w:r w:rsidR="00233B14">
        <w:rPr>
          <w:rFonts w:cs="Arial"/>
        </w:rPr>
        <w:t>150</w:t>
      </w:r>
      <w:r w:rsidRPr="000709F0">
        <w:rPr>
          <w:rFonts w:cs="Arial"/>
        </w:rPr>
        <w:t xml:space="preserve"> million Ordinary Shares, </w:t>
      </w:r>
      <w:bookmarkStart w:name="_Hlk155273500" w:id="243"/>
      <w:r w:rsidRPr="000709F0">
        <w:rPr>
          <w:rFonts w:cs="Arial"/>
        </w:rPr>
        <w:t>including, but not limited to, the issue of Ordinary Shares pursuant to the Placing Programme</w:t>
      </w:r>
      <w:bookmarkEnd w:id="243"/>
      <w:r w:rsidRPr="000709F0">
        <w:rPr>
          <w:rFonts w:cs="Arial"/>
        </w:rPr>
        <w:t>; and</w:t>
      </w:r>
    </w:p>
    <w:p w:rsidRPr="000709F0" w:rsidR="000709F0" w:rsidP="000709F0" w:rsidRDefault="000709F0" w14:paraId="7FBA7034" w14:textId="10425FA6">
      <w:pPr>
        <w:pStyle w:val="Heading3"/>
        <w:tabs>
          <w:tab w:val="clear" w:pos="1134"/>
          <w:tab w:val="num" w:pos="1418"/>
        </w:tabs>
        <w:ind w:left="1418" w:hanging="709"/>
        <w:rPr>
          <w:rFonts w:cs="Arial"/>
        </w:rPr>
      </w:pPr>
      <w:r w:rsidRPr="000709F0">
        <w:rPr>
          <w:rFonts w:cs="Arial"/>
        </w:rPr>
        <w:t xml:space="preserve">the sale of such number of </w:t>
      </w:r>
      <w:proofErr w:type="gramStart"/>
      <w:r w:rsidRPr="000709F0">
        <w:rPr>
          <w:rFonts w:cs="Arial"/>
        </w:rPr>
        <w:t>treasury</w:t>
      </w:r>
      <w:proofErr w:type="gramEnd"/>
      <w:r w:rsidRPr="000709F0">
        <w:rPr>
          <w:rFonts w:cs="Arial"/>
        </w:rPr>
        <w:t xml:space="preserve"> shares as is equal to the number of Ordinary Shares held in treasury at any time,</w:t>
      </w:r>
    </w:p>
    <w:p w:rsidRPr="00DE5D68" w:rsidR="006E5C16" w:rsidP="000709F0" w:rsidRDefault="00683745" w14:paraId="1A9364F1" w14:textId="577C8FC0">
      <w:pPr>
        <w:pStyle w:val="Heading4"/>
        <w:numPr>
          <w:ilvl w:val="0"/>
          <w:numId w:val="0"/>
        </w:numPr>
        <w:ind w:left="1418"/>
        <w:rPr>
          <w:rFonts w:cs="Arial"/>
        </w:rPr>
      </w:pPr>
      <w:r w:rsidRPr="00DE5D68">
        <w:rPr>
          <w:rFonts w:cs="Arial"/>
        </w:rPr>
        <w:t xml:space="preserve">and such authority will, unless previously revoked, or varied expire on </w:t>
      </w:r>
      <w:r w:rsidR="00ED38E9">
        <w:rPr>
          <w:rFonts w:cs="Arial"/>
        </w:rPr>
        <w:t xml:space="preserve">the </w:t>
      </w:r>
      <w:r w:rsidRPr="00DE5D68" w:rsidR="00596624">
        <w:rPr>
          <w:rFonts w:cs="Arial"/>
        </w:rPr>
        <w:t xml:space="preserve">date being five years from the date </w:t>
      </w:r>
      <w:r w:rsidR="00823FE5">
        <w:rPr>
          <w:rFonts w:cs="Arial"/>
        </w:rPr>
        <w:t xml:space="preserve">of </w:t>
      </w:r>
      <w:r w:rsidRPr="00DE5D68" w:rsidR="00596624">
        <w:rPr>
          <w:rFonts w:cs="Arial"/>
        </w:rPr>
        <w:t>passing of the resolution</w:t>
      </w:r>
      <w:r w:rsidRPr="00DE5D68">
        <w:rPr>
          <w:rFonts w:cs="Arial"/>
        </w:rPr>
        <w:t xml:space="preserve">, save that the Company may, before such expiry, make an offer or agreement which would or might require </w:t>
      </w:r>
      <w:r w:rsidR="000C761B">
        <w:rPr>
          <w:rFonts w:cs="Arial"/>
        </w:rPr>
        <w:t xml:space="preserve">Ordinary </w:t>
      </w:r>
      <w:r w:rsidRPr="00DE5D68" w:rsidR="00140CB9">
        <w:rPr>
          <w:rFonts w:cs="Arial"/>
        </w:rPr>
        <w:t>Shares</w:t>
      </w:r>
      <w:r w:rsidRPr="00DE5D68">
        <w:rPr>
          <w:rFonts w:cs="Arial"/>
        </w:rPr>
        <w:t xml:space="preserve"> to be issued after such expiry and the Directors may </w:t>
      </w:r>
      <w:r w:rsidRPr="00DE5D68" w:rsidR="00A50C3E">
        <w:rPr>
          <w:rFonts w:cs="Arial"/>
        </w:rPr>
        <w:t>i</w:t>
      </w:r>
      <w:r w:rsidRPr="00DE5D68" w:rsidR="000C0D70">
        <w:rPr>
          <w:rFonts w:cs="Arial"/>
        </w:rPr>
        <w:t>ssue</w:t>
      </w:r>
      <w:r w:rsidRPr="00DE5D68">
        <w:rPr>
          <w:rFonts w:cs="Arial"/>
        </w:rPr>
        <w:t xml:space="preserve"> equity securities in pursuance of any such offer or agreement as if this power had not expired;</w:t>
      </w:r>
    </w:p>
    <w:p w:rsidRPr="00DE5D68" w:rsidR="00865AD9" w:rsidP="000709F0" w:rsidRDefault="000037EE" w14:paraId="1E61DD6C" w14:textId="7ED75516">
      <w:pPr>
        <w:pStyle w:val="Heading3"/>
        <w:tabs>
          <w:tab w:val="clear" w:pos="1134"/>
          <w:tab w:val="num" w:pos="1560"/>
        </w:tabs>
        <w:ind w:left="1418" w:hanging="709"/>
        <w:rPr>
          <w:rFonts w:cs="Arial"/>
        </w:rPr>
      </w:pPr>
      <w:bookmarkStart w:name="_Ref329161221" w:id="244"/>
      <w:r w:rsidRPr="00DE5D68">
        <w:rPr>
          <w:rFonts w:cs="Arial"/>
        </w:rPr>
        <w:t xml:space="preserve">the Company was authorised in accordance with </w:t>
      </w:r>
      <w:r w:rsidRPr="00DE5D68" w:rsidR="00865AD9">
        <w:rPr>
          <w:rFonts w:cs="Arial"/>
        </w:rPr>
        <w:t>the Companies Law</w:t>
      </w:r>
      <w:r w:rsidRPr="00DE5D68">
        <w:rPr>
          <w:rFonts w:cs="Arial"/>
        </w:rPr>
        <w:t xml:space="preserve"> to make market </w:t>
      </w:r>
      <w:r w:rsidR="000709F0">
        <w:rPr>
          <w:rFonts w:cs="Arial"/>
        </w:rPr>
        <w:t>acquisitions</w:t>
      </w:r>
      <w:r w:rsidRPr="00DE5D68">
        <w:rPr>
          <w:rFonts w:cs="Arial"/>
        </w:rPr>
        <w:t xml:space="preserve"> of </w:t>
      </w:r>
      <w:r w:rsidRPr="00DE5D68" w:rsidR="00865AD9">
        <w:rPr>
          <w:rFonts w:cs="Arial"/>
        </w:rPr>
        <w:t xml:space="preserve">its own </w:t>
      </w:r>
      <w:r w:rsidRPr="00DE5D68">
        <w:rPr>
          <w:rFonts w:cs="Arial"/>
        </w:rPr>
        <w:t xml:space="preserve">Ordinary Shares </w:t>
      </w:r>
      <w:r w:rsidRPr="00DE5D68" w:rsidR="00865AD9">
        <w:rPr>
          <w:rFonts w:cs="Arial"/>
        </w:rPr>
        <w:t xml:space="preserve">either for cancellation or to hold as treasury shares for future resale or transfer, </w:t>
      </w:r>
      <w:r w:rsidRPr="00DE5D68">
        <w:rPr>
          <w:rFonts w:cs="Arial"/>
        </w:rPr>
        <w:t>provided that</w:t>
      </w:r>
      <w:r w:rsidRPr="00DE5D68" w:rsidR="00865AD9">
        <w:rPr>
          <w:rFonts w:cs="Arial"/>
        </w:rPr>
        <w:t>:</w:t>
      </w:r>
    </w:p>
    <w:p w:rsidRPr="00DE5D68" w:rsidR="00865AD9" w:rsidP="000709F0" w:rsidRDefault="000037EE" w14:paraId="55AB96D5" w14:textId="30F23EAC">
      <w:pPr>
        <w:pStyle w:val="Heading4"/>
        <w:rPr>
          <w:rFonts w:cs="Arial"/>
        </w:rPr>
      </w:pPr>
      <w:r w:rsidRPr="00DE5D68">
        <w:rPr>
          <w:rFonts w:cs="Arial"/>
        </w:rPr>
        <w:t>the maximum number of Ordinary Shares authorised to be purchased is 14.99</w:t>
      </w:r>
      <w:r w:rsidRPr="00DE5D68" w:rsidR="00A76B24">
        <w:rPr>
          <w:rFonts w:cs="Arial"/>
        </w:rPr>
        <w:t xml:space="preserve"> per cent.</w:t>
      </w:r>
      <w:r w:rsidRPr="00DE5D68" w:rsidR="006D348F">
        <w:rPr>
          <w:rFonts w:cs="Arial"/>
        </w:rPr>
        <w:t xml:space="preserve"> </w:t>
      </w:r>
      <w:r w:rsidRPr="00DE5D68">
        <w:rPr>
          <w:rFonts w:cs="Arial"/>
        </w:rPr>
        <w:t xml:space="preserve">of the Ordinary Shares in </w:t>
      </w:r>
      <w:r w:rsidRPr="00DE5D68" w:rsidR="00A50C3E">
        <w:rPr>
          <w:rFonts w:cs="Arial"/>
        </w:rPr>
        <w:t>i</w:t>
      </w:r>
      <w:r w:rsidRPr="00DE5D68" w:rsidR="000C0D70">
        <w:rPr>
          <w:rFonts w:cs="Arial"/>
        </w:rPr>
        <w:t>ssue</w:t>
      </w:r>
      <w:r w:rsidRPr="00DE5D68">
        <w:rPr>
          <w:rFonts w:cs="Arial"/>
        </w:rPr>
        <w:t xml:space="preserve"> immediately following </w:t>
      </w:r>
      <w:r w:rsidRPr="00DE5D68" w:rsidR="00865AD9">
        <w:rPr>
          <w:rFonts w:cs="Arial"/>
        </w:rPr>
        <w:t>co</w:t>
      </w:r>
      <w:r w:rsidR="00935BBE">
        <w:rPr>
          <w:rFonts w:cs="Arial"/>
        </w:rPr>
        <w:t xml:space="preserve">mpletion of the </w:t>
      </w:r>
      <w:r w:rsidR="00E64580">
        <w:rPr>
          <w:rFonts w:cs="Arial"/>
        </w:rPr>
        <w:t>Initial Placing</w:t>
      </w:r>
      <w:r w:rsidRPr="00DE5D68" w:rsidR="00865AD9">
        <w:rPr>
          <w:rFonts w:cs="Arial"/>
        </w:rPr>
        <w:t>;</w:t>
      </w:r>
    </w:p>
    <w:p w:rsidRPr="00DE5D68" w:rsidR="00865AD9" w:rsidP="000709F0" w:rsidRDefault="00865AD9" w14:paraId="4BE65E2F" w14:textId="56572926">
      <w:pPr>
        <w:pStyle w:val="Heading4"/>
        <w:rPr>
          <w:rFonts w:cs="Arial"/>
        </w:rPr>
      </w:pPr>
      <w:r w:rsidRPr="00DE5D68">
        <w:rPr>
          <w:rFonts w:cs="Arial"/>
        </w:rPr>
        <w:t>t</w:t>
      </w:r>
      <w:r w:rsidRPr="00DE5D68" w:rsidR="000037EE">
        <w:rPr>
          <w:rFonts w:cs="Arial"/>
        </w:rPr>
        <w:t>he minimum price which may be</w:t>
      </w:r>
      <w:r w:rsidRPr="00DE5D68" w:rsidR="00257319">
        <w:rPr>
          <w:rFonts w:cs="Arial"/>
        </w:rPr>
        <w:t xml:space="preserve"> pa</w:t>
      </w:r>
      <w:r w:rsidRPr="00DE5D68" w:rsidR="00550EF8">
        <w:rPr>
          <w:rFonts w:cs="Arial"/>
        </w:rPr>
        <w:t xml:space="preserve">id for an Ordinary Share is </w:t>
      </w:r>
      <w:r w:rsidRPr="00DE5D68">
        <w:rPr>
          <w:rFonts w:cs="Arial"/>
        </w:rPr>
        <w:t>£0.01;</w:t>
      </w:r>
    </w:p>
    <w:p w:rsidRPr="00DE5D68" w:rsidR="00865AD9" w:rsidP="000709F0" w:rsidRDefault="00865AD9" w14:paraId="499650F7" w14:textId="77777777">
      <w:pPr>
        <w:pStyle w:val="Heading4"/>
        <w:rPr>
          <w:rFonts w:cs="Arial"/>
        </w:rPr>
      </w:pPr>
      <w:r w:rsidRPr="00DE5D68">
        <w:rPr>
          <w:rFonts w:cs="Arial"/>
        </w:rPr>
        <w:t>t</w:t>
      </w:r>
      <w:r w:rsidRPr="00DE5D68" w:rsidR="00731404">
        <w:rPr>
          <w:rFonts w:cs="Arial"/>
        </w:rPr>
        <w:t xml:space="preserve">he maximum price (exclusive of expenses) which may be paid for an Ordinary Share must not be more than the higher of </w:t>
      </w:r>
    </w:p>
    <w:p w:rsidRPr="00DE5D68" w:rsidR="00865AD9" w:rsidP="000709F0" w:rsidRDefault="00731404" w14:paraId="036CD762" w14:textId="4F76B9C8">
      <w:pPr>
        <w:pStyle w:val="Heading5"/>
        <w:ind w:hanging="425"/>
        <w:rPr>
          <w:rFonts w:cs="Arial"/>
        </w:rPr>
      </w:pPr>
      <w:r w:rsidRPr="00DE5D68">
        <w:rPr>
          <w:rFonts w:cs="Arial"/>
        </w:rPr>
        <w:t>5</w:t>
      </w:r>
      <w:r w:rsidRPr="00DE5D68" w:rsidR="001B0F1D">
        <w:rPr>
          <w:rFonts w:cs="Arial"/>
          <w:szCs w:val="18"/>
        </w:rPr>
        <w:t xml:space="preserve"> per cent.</w:t>
      </w:r>
      <w:r w:rsidRPr="00DE5D68">
        <w:rPr>
          <w:rFonts w:cs="Arial"/>
          <w:sz w:val="18"/>
          <w:szCs w:val="18"/>
        </w:rPr>
        <w:t xml:space="preserve"> </w:t>
      </w:r>
      <w:r w:rsidRPr="00DE5D68">
        <w:rPr>
          <w:rFonts w:cs="Arial"/>
        </w:rPr>
        <w:t>above the average of the mid-market quotations for the five Business Days before the purchase is made</w:t>
      </w:r>
      <w:r w:rsidR="00AE31CD">
        <w:rPr>
          <w:rFonts w:cs="Arial"/>
        </w:rPr>
        <w:t>;</w:t>
      </w:r>
      <w:r w:rsidRPr="00DE5D68">
        <w:rPr>
          <w:rFonts w:cs="Arial"/>
        </w:rPr>
        <w:t xml:space="preserve"> and </w:t>
      </w:r>
    </w:p>
    <w:p w:rsidRPr="00DE5D68" w:rsidR="00865AD9" w:rsidP="000709F0" w:rsidRDefault="00731404" w14:paraId="2209CC1D" w14:textId="2698FE60">
      <w:pPr>
        <w:pStyle w:val="Heading5"/>
        <w:ind w:hanging="425"/>
        <w:rPr>
          <w:rFonts w:cs="Arial"/>
        </w:rPr>
      </w:pPr>
      <w:r w:rsidRPr="00DE5D68">
        <w:rPr>
          <w:rFonts w:cs="Arial"/>
        </w:rPr>
        <w:t>the higher of</w:t>
      </w:r>
      <w:r w:rsidR="006E6978">
        <w:rPr>
          <w:rFonts w:cs="Arial"/>
        </w:rPr>
        <w:t>:</w:t>
      </w:r>
      <w:r w:rsidRPr="00DE5D68">
        <w:rPr>
          <w:rFonts w:cs="Arial"/>
        </w:rPr>
        <w:t xml:space="preserve"> (a) the pric</w:t>
      </w:r>
      <w:r w:rsidR="006E6978">
        <w:rPr>
          <w:rFonts w:cs="Arial"/>
        </w:rPr>
        <w:t xml:space="preserve">e of the last independent trade, </w:t>
      </w:r>
      <w:r w:rsidRPr="00DE5D68">
        <w:rPr>
          <w:rFonts w:cs="Arial"/>
        </w:rPr>
        <w:t xml:space="preserve">and (b) the highest current independent bid for Ordinary Shares on </w:t>
      </w:r>
      <w:r w:rsidR="00640CB6">
        <w:rPr>
          <w:rFonts w:cs="Arial"/>
        </w:rPr>
        <w:fldChar w:fldCharType="begin">
          <w:fldData xml:space="preserve">dgAxAHwAMQAwADAAMwA4AHwAdABoAGUAIABMAG8AbgBkAG8AbgB8AEEAbQBiAGkAZwAtADEAMAAw
ADMAOAB8AHwA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the London Stock Exchange at the time the</w:t>
      </w:r>
      <w:r w:rsidR="006E6978">
        <w:rPr>
          <w:rFonts w:cs="Arial"/>
        </w:rPr>
        <w:t xml:space="preserve"> purchase is carried out,</w:t>
      </w:r>
    </w:p>
    <w:p w:rsidRPr="00DE5D68" w:rsidR="000037EE" w:rsidP="000709F0" w:rsidRDefault="00E245A7" w14:paraId="125A473D" w14:textId="2A36464F">
      <w:pPr>
        <w:pStyle w:val="Heading4"/>
        <w:numPr>
          <w:ilvl w:val="0"/>
          <w:numId w:val="0"/>
        </w:numPr>
        <w:tabs>
          <w:tab w:val="left" w:pos="2835"/>
        </w:tabs>
        <w:ind w:left="1418"/>
        <w:rPr>
          <w:rFonts w:cs="Arial"/>
        </w:rPr>
      </w:pPr>
      <w:r w:rsidRPr="00E245A7">
        <w:rPr>
          <w:rFonts w:cs="Arial"/>
        </w:rPr>
        <w:t>and such authority will unless previously revoked or varied, expire on the date being eighteen months from the date of passing of the resolution, save that the Company may contract to purchase Ordinary Shares under the authority thereby conferred prior to the expiry of such authority, which contract will or may be executed wholly or partly after the expiry of such authority and may purchase Ordinary Shares in pursuance of such contract</w:t>
      </w:r>
      <w:r w:rsidRPr="00DE5D68" w:rsidR="00A76B24">
        <w:rPr>
          <w:rFonts w:cs="Arial"/>
        </w:rPr>
        <w:t>.</w:t>
      </w:r>
      <w:r w:rsidRPr="00DE5D68" w:rsidR="000037EE">
        <w:rPr>
          <w:rFonts w:cs="Arial"/>
        </w:rPr>
        <w:t xml:space="preserve"> </w:t>
      </w:r>
    </w:p>
    <w:bookmarkEnd w:id="238"/>
    <w:bookmarkEnd w:id="244"/>
    <w:p w:rsidRPr="00DE5D68" w:rsidR="00C2282C" w:rsidP="00C27D12" w:rsidRDefault="00865AD9" w14:paraId="614D3F29" w14:textId="4D365AA8">
      <w:pPr>
        <w:pStyle w:val="Heading2"/>
        <w:rPr>
          <w:rFonts w:cs="Arial"/>
        </w:rPr>
      </w:pPr>
      <w:r w:rsidRPr="00DE5D68">
        <w:rPr>
          <w:rFonts w:cs="Arial"/>
        </w:rPr>
        <w:t xml:space="preserve">The Company is permitted to fund the payments for purchases </w:t>
      </w:r>
      <w:r w:rsidR="00935BBE">
        <w:rPr>
          <w:rFonts w:cs="Arial"/>
        </w:rPr>
        <w:t xml:space="preserve">or redemptions </w:t>
      </w:r>
      <w:r w:rsidRPr="00DE5D68">
        <w:rPr>
          <w:rFonts w:cs="Arial"/>
        </w:rPr>
        <w:t>of Ordinary Shares in any manner permitted by the Companies Law and the Directors must have reasonable grounds for believing that the Company will satisfy the solvency test prescribed by the Companies Law immediately after making such purchases</w:t>
      </w:r>
      <w:r w:rsidR="001901DC">
        <w:rPr>
          <w:rFonts w:cs="Arial"/>
        </w:rPr>
        <w:t xml:space="preserve"> or redemptions</w:t>
      </w:r>
      <w:r w:rsidRPr="00DE5D68">
        <w:rPr>
          <w:rFonts w:cs="Arial"/>
        </w:rPr>
        <w:t xml:space="preserve">. </w:t>
      </w:r>
    </w:p>
    <w:p w:rsidRPr="00DE5D68" w:rsidR="00C2282C" w:rsidP="00C27D12" w:rsidRDefault="00C2282C" w14:paraId="6B7CEFD1" w14:textId="60A39DFA">
      <w:pPr>
        <w:pStyle w:val="Heading2"/>
        <w:rPr>
          <w:rFonts w:cs="Arial"/>
        </w:rPr>
      </w:pPr>
      <w:bookmarkStart w:name="_Ref329161226" w:id="245"/>
      <w:r w:rsidRPr="00DE5D68">
        <w:rPr>
          <w:rFonts w:cs="Arial"/>
        </w:rPr>
        <w:t xml:space="preserve">In accordance with the </w:t>
      </w:r>
      <w:r w:rsidRPr="00DE5D68" w:rsidR="009E1CE2">
        <w:rPr>
          <w:rFonts w:cs="Arial"/>
        </w:rPr>
        <w:t>authorities</w:t>
      </w:r>
      <w:r w:rsidRPr="00DE5D68" w:rsidR="000F6A01">
        <w:rPr>
          <w:rFonts w:cs="Arial"/>
        </w:rPr>
        <w:t xml:space="preserve"> </w:t>
      </w:r>
      <w:r w:rsidRPr="00DE5D68" w:rsidR="00865AD9">
        <w:rPr>
          <w:rFonts w:cs="Arial"/>
        </w:rPr>
        <w:t>granted to the Directors by the Articles</w:t>
      </w:r>
      <w:r w:rsidRPr="00DE5D68">
        <w:rPr>
          <w:rFonts w:cs="Arial"/>
        </w:rPr>
        <w:t xml:space="preserve">, it is expected that the </w:t>
      </w:r>
      <w:r w:rsidR="00935BBE">
        <w:rPr>
          <w:rFonts w:cs="Arial"/>
        </w:rPr>
        <w:t xml:space="preserve">Ordinary </w:t>
      </w:r>
      <w:r w:rsidRPr="00DE5D68" w:rsidR="00140CB9">
        <w:rPr>
          <w:rFonts w:cs="Arial"/>
        </w:rPr>
        <w:t>Shares</w:t>
      </w:r>
      <w:r w:rsidRPr="00DE5D68" w:rsidR="00257319">
        <w:rPr>
          <w:rFonts w:cs="Arial"/>
        </w:rPr>
        <w:t xml:space="preserve"> to be issued pursuant to the</w:t>
      </w:r>
      <w:r w:rsidRPr="00DE5D68" w:rsidR="00865AD9">
        <w:rPr>
          <w:rFonts w:cs="Arial"/>
        </w:rPr>
        <w:t xml:space="preserve"> </w:t>
      </w:r>
      <w:r w:rsidR="00E64580">
        <w:rPr>
          <w:rFonts w:cs="Arial"/>
        </w:rPr>
        <w:t>Initial Placing</w:t>
      </w:r>
      <w:r w:rsidRPr="00DE5D68" w:rsidR="000F6A01">
        <w:rPr>
          <w:rFonts w:cs="Arial"/>
        </w:rPr>
        <w:t xml:space="preserve"> </w:t>
      </w:r>
      <w:r w:rsidRPr="00DE5D68" w:rsidR="00865AD9">
        <w:rPr>
          <w:rFonts w:cs="Arial"/>
        </w:rPr>
        <w:t xml:space="preserve">and the Placing Programme </w:t>
      </w:r>
      <w:r w:rsidRPr="00DE5D68">
        <w:rPr>
          <w:rFonts w:cs="Arial"/>
        </w:rPr>
        <w:t xml:space="preserve">will be </w:t>
      </w:r>
      <w:r w:rsidRPr="00DE5D68" w:rsidR="009B2499">
        <w:rPr>
          <w:rFonts w:cs="Arial"/>
        </w:rPr>
        <w:t xml:space="preserve">issued </w:t>
      </w:r>
      <w:r w:rsidRPr="00DE5D68">
        <w:rPr>
          <w:rFonts w:cs="Arial"/>
        </w:rPr>
        <w:t xml:space="preserve">(conditionally upon </w:t>
      </w:r>
      <w:r w:rsidR="00246246">
        <w:rPr>
          <w:rFonts w:cs="Arial"/>
        </w:rPr>
        <w:t>Initial Admission or the</w:t>
      </w:r>
      <w:r w:rsidR="006E6978">
        <w:rPr>
          <w:rFonts w:cs="Arial"/>
        </w:rPr>
        <w:t xml:space="preserve"> </w:t>
      </w:r>
      <w:r w:rsidRPr="00DE5D68" w:rsidR="00865AD9">
        <w:rPr>
          <w:rFonts w:cs="Arial"/>
        </w:rPr>
        <w:t xml:space="preserve">relevant </w:t>
      </w:r>
      <w:r w:rsidRPr="00DE5D68">
        <w:rPr>
          <w:rFonts w:cs="Arial"/>
        </w:rPr>
        <w:t>Admission</w:t>
      </w:r>
      <w:r w:rsidR="00246246">
        <w:rPr>
          <w:rFonts w:cs="Arial"/>
        </w:rPr>
        <w:t xml:space="preserve"> (as the case may be)</w:t>
      </w:r>
      <w:r w:rsidRPr="00DE5D68">
        <w:rPr>
          <w:rFonts w:cs="Arial"/>
        </w:rPr>
        <w:t xml:space="preserve">) pursuant to a resolution of the Board to be passed shortly before </w:t>
      </w:r>
      <w:r w:rsidR="00246246">
        <w:rPr>
          <w:rFonts w:cs="Arial"/>
        </w:rPr>
        <w:t xml:space="preserve">Initial Admission or </w:t>
      </w:r>
      <w:r w:rsidR="006E6978">
        <w:rPr>
          <w:rFonts w:cs="Arial"/>
        </w:rPr>
        <w:t xml:space="preserve">such relevant </w:t>
      </w:r>
      <w:r w:rsidRPr="00DE5D68">
        <w:rPr>
          <w:rFonts w:cs="Arial"/>
        </w:rPr>
        <w:t xml:space="preserve">Admission </w:t>
      </w:r>
      <w:r w:rsidR="00246246">
        <w:rPr>
          <w:rFonts w:cs="Arial"/>
        </w:rPr>
        <w:t xml:space="preserve">(as the case may be) </w:t>
      </w:r>
      <w:r w:rsidRPr="00DE5D68">
        <w:rPr>
          <w:rFonts w:cs="Arial"/>
        </w:rPr>
        <w:t xml:space="preserve">in accordance with the </w:t>
      </w:r>
      <w:r w:rsidRPr="00DE5D68" w:rsidR="00E15E0C">
        <w:rPr>
          <w:rFonts w:cs="Arial"/>
        </w:rPr>
        <w:t>Companies</w:t>
      </w:r>
      <w:r w:rsidRPr="00DE5D68" w:rsidR="00865AD9">
        <w:rPr>
          <w:rFonts w:cs="Arial"/>
        </w:rPr>
        <w:t xml:space="preserve"> Law</w:t>
      </w:r>
      <w:r w:rsidRPr="00DE5D68">
        <w:rPr>
          <w:rFonts w:cs="Arial"/>
        </w:rPr>
        <w:t>.</w:t>
      </w:r>
      <w:bookmarkEnd w:id="245"/>
      <w:r w:rsidRPr="00DE5D68" w:rsidR="00F01745">
        <w:rPr>
          <w:rFonts w:cs="Arial"/>
        </w:rPr>
        <w:t xml:space="preserve"> </w:t>
      </w:r>
    </w:p>
    <w:p w:rsidRPr="00DE5D68" w:rsidR="00C2282C" w:rsidP="00C27D12" w:rsidRDefault="000B499E" w14:paraId="330922A8" w14:textId="3AC7CA8E">
      <w:pPr>
        <w:pStyle w:val="Heading2"/>
        <w:rPr>
          <w:rFonts w:cs="Arial"/>
        </w:rPr>
      </w:pPr>
      <w:bookmarkStart w:name="_Ref329161227" w:id="246"/>
      <w:r>
        <w:rPr>
          <w:rFonts w:cs="Arial"/>
        </w:rPr>
        <w:t>Aside from the o</w:t>
      </w:r>
      <w:r w:rsidRPr="00DE5D68">
        <w:rPr>
          <w:rFonts w:cs="Arial"/>
        </w:rPr>
        <w:t xml:space="preserve">ne </w:t>
      </w:r>
      <w:r>
        <w:rPr>
          <w:rFonts w:cs="Arial"/>
        </w:rPr>
        <w:t>redeemable Ordinary Share</w:t>
      </w:r>
      <w:r w:rsidRPr="00DE5D68">
        <w:rPr>
          <w:rFonts w:cs="Arial"/>
        </w:rPr>
        <w:t xml:space="preserve"> </w:t>
      </w:r>
      <w:r>
        <w:rPr>
          <w:rFonts w:cs="Arial"/>
        </w:rPr>
        <w:t xml:space="preserve">of no par value currently held by </w:t>
      </w:r>
      <w:r w:rsidR="00EE7D21">
        <w:rPr>
          <w:rFonts w:cs="Arial"/>
        </w:rPr>
        <w:t>the Investment Manager</w:t>
      </w:r>
      <w:r>
        <w:rPr>
          <w:rFonts w:cs="Arial"/>
        </w:rPr>
        <w:t>, n</w:t>
      </w:r>
      <w:r w:rsidRPr="00DE5D68">
        <w:rPr>
          <w:rFonts w:cs="Arial"/>
        </w:rPr>
        <w:t xml:space="preserve">o </w:t>
      </w:r>
      <w:r w:rsidRPr="00DE5D68" w:rsidR="00C2282C">
        <w:rPr>
          <w:rFonts w:cs="Arial"/>
        </w:rPr>
        <w:t>share or loan capital of the Company has been issued or been agreed to be issued, fully or partly paid, either for cash or for a consideration other than cash, and</w:t>
      </w:r>
      <w:r w:rsidRPr="00DE5D68" w:rsidR="00AB488A">
        <w:rPr>
          <w:rFonts w:cs="Arial"/>
        </w:rPr>
        <w:t xml:space="preserve">, other than pursuant to the </w:t>
      </w:r>
      <w:r w:rsidR="00E64580">
        <w:rPr>
          <w:rFonts w:cs="Arial"/>
        </w:rPr>
        <w:t>Initial Placing</w:t>
      </w:r>
      <w:r w:rsidR="00935BBE">
        <w:rPr>
          <w:rFonts w:cs="Arial"/>
        </w:rPr>
        <w:t xml:space="preserve"> and</w:t>
      </w:r>
      <w:r w:rsidR="006E6978">
        <w:rPr>
          <w:rFonts w:cs="Arial"/>
        </w:rPr>
        <w:t xml:space="preserve"> </w:t>
      </w:r>
      <w:r w:rsidRPr="00DE5D68" w:rsidR="00865AD9">
        <w:rPr>
          <w:rFonts w:cs="Arial"/>
        </w:rPr>
        <w:t>the Placing Programme</w:t>
      </w:r>
      <w:r w:rsidRPr="00DE5D68" w:rsidR="00C2282C">
        <w:rPr>
          <w:rFonts w:cs="Arial"/>
        </w:rPr>
        <w:t xml:space="preserve"> no such </w:t>
      </w:r>
      <w:r w:rsidRPr="00DE5D68" w:rsidR="00A50C3E">
        <w:rPr>
          <w:rFonts w:cs="Arial"/>
        </w:rPr>
        <w:t>i</w:t>
      </w:r>
      <w:r w:rsidRPr="00DE5D68" w:rsidR="000C0D70">
        <w:rPr>
          <w:rFonts w:cs="Arial"/>
        </w:rPr>
        <w:t>ssue</w:t>
      </w:r>
      <w:r w:rsidRPr="00DE5D68" w:rsidR="00C2282C">
        <w:rPr>
          <w:rFonts w:cs="Arial"/>
        </w:rPr>
        <w:t xml:space="preserve"> is now proposed.</w:t>
      </w:r>
      <w:bookmarkEnd w:id="246"/>
    </w:p>
    <w:p w:rsidRPr="00DE5D68" w:rsidR="00C2282C" w:rsidP="00C27D12" w:rsidRDefault="000F6A01" w14:paraId="00835915" w14:textId="7FF068DE">
      <w:pPr>
        <w:pStyle w:val="Heading2"/>
        <w:rPr>
          <w:rFonts w:cs="Arial"/>
        </w:rPr>
      </w:pPr>
      <w:r w:rsidRPr="00DE5D68">
        <w:rPr>
          <w:rFonts w:cs="Arial"/>
        </w:rPr>
        <w:t>As at the date of this document, t</w:t>
      </w:r>
      <w:r w:rsidRPr="00DE5D68" w:rsidR="00C2282C">
        <w:rPr>
          <w:rFonts w:cs="Arial"/>
        </w:rPr>
        <w:t>he Company has not granted any options over its share or loan capital which remain outstanding and has not agreed, conditionally or unconditionally to grant any such options</w:t>
      </w:r>
      <w:r w:rsidRPr="00DE5D68" w:rsidR="005B04C4">
        <w:rPr>
          <w:rFonts w:cs="Arial"/>
        </w:rPr>
        <w:t xml:space="preserve"> and no convertible securities, exchangeable securities or securities with warrants have been issued by the Company</w:t>
      </w:r>
      <w:r w:rsidRPr="00DE5D68" w:rsidR="00C2282C">
        <w:rPr>
          <w:rFonts w:cs="Arial"/>
        </w:rPr>
        <w:t>.</w:t>
      </w:r>
    </w:p>
    <w:p w:rsidRPr="00DE5D68" w:rsidR="00C2282C" w:rsidP="00C27D12" w:rsidRDefault="00C2282C" w14:paraId="49FD2A22" w14:textId="44F3FFD0">
      <w:pPr>
        <w:pStyle w:val="Heading2"/>
        <w:rPr>
          <w:rFonts w:cs="Arial"/>
        </w:rPr>
      </w:pPr>
      <w:bookmarkStart w:name="_Ref329161228" w:id="247"/>
      <w:r w:rsidRPr="00DE5D68">
        <w:rPr>
          <w:rFonts w:cs="Arial"/>
        </w:rPr>
        <w:lastRenderedPageBreak/>
        <w:t xml:space="preserve">All of the </w:t>
      </w:r>
      <w:r w:rsidR="00935BBE">
        <w:rPr>
          <w:rFonts w:cs="Arial"/>
        </w:rPr>
        <w:t xml:space="preserve">Ordinary </w:t>
      </w:r>
      <w:r w:rsidRPr="00DE5D68" w:rsidR="00C21FEA">
        <w:rPr>
          <w:rFonts w:cs="Arial"/>
        </w:rPr>
        <w:t>Shares</w:t>
      </w:r>
      <w:r w:rsidRPr="00DE5D68">
        <w:rPr>
          <w:rFonts w:cs="Arial"/>
        </w:rPr>
        <w:t xml:space="preserve"> will be in registered form and will be eligible for settlement in CREST. Temporary documents of title will not be issued.</w:t>
      </w:r>
      <w:bookmarkEnd w:id="247"/>
    </w:p>
    <w:p w:rsidRPr="00DE5D68" w:rsidR="00C2282C" w:rsidP="00C27D12" w:rsidRDefault="00F9129E" w14:paraId="7138CE54" w14:textId="24396522">
      <w:pPr>
        <w:pStyle w:val="Heading1"/>
        <w:tabs>
          <w:tab w:val="clear" w:pos="1134"/>
          <w:tab w:val="num" w:pos="709"/>
        </w:tabs>
        <w:ind w:left="709"/>
        <w:rPr>
          <w:rFonts w:cs="Arial"/>
          <w:caps w:val="0"/>
        </w:rPr>
      </w:pPr>
      <w:bookmarkStart w:name="_Ref329161229" w:id="248"/>
      <w:r w:rsidRPr="00DE5D68">
        <w:rPr>
          <w:rFonts w:cs="Arial"/>
          <w:caps w:val="0"/>
        </w:rPr>
        <w:t>INTERESTS</w:t>
      </w:r>
      <w:bookmarkEnd w:id="248"/>
      <w:r w:rsidRPr="00DE5D68">
        <w:rPr>
          <w:rFonts w:cs="Arial"/>
          <w:caps w:val="0"/>
        </w:rPr>
        <w:t xml:space="preserve"> OF DIRECTORS</w:t>
      </w:r>
      <w:r w:rsidR="00AF3610">
        <w:rPr>
          <w:rFonts w:cs="Arial"/>
          <w:caps w:val="0"/>
        </w:rPr>
        <w:t xml:space="preserve"> AND</w:t>
      </w:r>
      <w:r w:rsidRPr="00DE5D68">
        <w:rPr>
          <w:rFonts w:cs="Arial"/>
          <w:caps w:val="0"/>
        </w:rPr>
        <w:t xml:space="preserve"> MAJOR SHAREHOLDERS AND RELATED PARTY TRANSACTIONS</w:t>
      </w:r>
    </w:p>
    <w:p w:rsidRPr="00DE5D68" w:rsidR="00C2282C" w:rsidP="00C27D12" w:rsidRDefault="00C2282C" w14:paraId="2B506B98" w14:textId="5FA9AF71">
      <w:pPr>
        <w:pStyle w:val="Heading2"/>
        <w:rPr>
          <w:rFonts w:cs="Arial"/>
        </w:rPr>
      </w:pPr>
      <w:bookmarkStart w:name="_Ref329161230" w:id="249"/>
      <w:bookmarkStart w:name="_Hlk190173168" w:id="250"/>
      <w:r w:rsidRPr="00DE5D68">
        <w:rPr>
          <w:rFonts w:cs="Arial"/>
        </w:rPr>
        <w:t xml:space="preserve">The Directors intend to subscribe for </w:t>
      </w:r>
      <w:r w:rsidRPr="00DE5D68" w:rsidR="005D4040">
        <w:rPr>
          <w:rFonts w:cs="Arial"/>
        </w:rPr>
        <w:t>Ordinary</w:t>
      </w:r>
      <w:r w:rsidRPr="00DE5D68" w:rsidR="003016E6">
        <w:rPr>
          <w:rFonts w:cs="Arial"/>
        </w:rPr>
        <w:t xml:space="preserve"> </w:t>
      </w:r>
      <w:r w:rsidRPr="00DE5D68" w:rsidR="00352E5A">
        <w:rPr>
          <w:rFonts w:cs="Arial"/>
        </w:rPr>
        <w:t>Share</w:t>
      </w:r>
      <w:r w:rsidRPr="00DE5D68">
        <w:rPr>
          <w:rFonts w:cs="Arial"/>
        </w:rPr>
        <w:t>s pursuant to the</w:t>
      </w:r>
      <w:r w:rsidRPr="00DE5D68" w:rsidR="009C46F6">
        <w:rPr>
          <w:rFonts w:cs="Arial"/>
        </w:rPr>
        <w:t xml:space="preserve"> </w:t>
      </w:r>
      <w:r w:rsidR="00E64580">
        <w:rPr>
          <w:rFonts w:cs="Arial"/>
        </w:rPr>
        <w:t>Initial Placing</w:t>
      </w:r>
      <w:r w:rsidRPr="00DE5D68">
        <w:rPr>
          <w:rFonts w:cs="Arial"/>
        </w:rPr>
        <w:t xml:space="preserve"> in the amounts set out below:</w:t>
      </w:r>
      <w:bookmarkEnd w:id="249"/>
      <w:r w:rsidRPr="00DE5D68" w:rsidR="006E2A76">
        <w:rPr>
          <w:rFonts w:cs="Arial"/>
        </w:rPr>
        <w:t xml:space="preserve"> </w:t>
      </w:r>
    </w:p>
    <w:tbl>
      <w:tblPr>
        <w:tblStyle w:val="TableGrid"/>
        <w:tblW w:w="8896" w:type="dxa"/>
        <w:tblInd w:w="6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65"/>
        <w:gridCol w:w="2965"/>
        <w:gridCol w:w="2966"/>
      </w:tblGrid>
      <w:tr w:rsidRPr="00DE5D68" w:rsidR="002F76AB" w:rsidTr="00165459" w14:paraId="284E7A75" w14:textId="6626B3B7">
        <w:tc>
          <w:tcPr>
            <w:tcW w:w="2965" w:type="dxa"/>
          </w:tcPr>
          <w:p w:rsidRPr="006E6978" w:rsidR="002F76AB" w:rsidP="00C27D12" w:rsidRDefault="002F76AB" w14:paraId="473C8275" w14:textId="77777777">
            <w:pPr>
              <w:rPr>
                <w:rFonts w:cs="Arial"/>
                <w:b/>
                <w:i/>
              </w:rPr>
            </w:pPr>
            <w:bookmarkStart w:name="_Hlk190172538" w:id="251"/>
            <w:r w:rsidRPr="006E6978">
              <w:rPr>
                <w:rFonts w:cs="Arial"/>
                <w:b/>
                <w:i/>
              </w:rPr>
              <w:t>Director</w:t>
            </w:r>
          </w:p>
        </w:tc>
        <w:tc>
          <w:tcPr>
            <w:tcW w:w="2965" w:type="dxa"/>
          </w:tcPr>
          <w:p w:rsidRPr="006E6978" w:rsidR="002F76AB" w:rsidP="00C27D12" w:rsidRDefault="006E6978" w14:paraId="0DDE6828" w14:textId="221BD718">
            <w:pPr>
              <w:rPr>
                <w:rFonts w:cs="Arial"/>
                <w:b/>
                <w:i/>
              </w:rPr>
            </w:pPr>
            <w:r>
              <w:rPr>
                <w:rFonts w:cs="Arial"/>
                <w:b/>
                <w:i/>
              </w:rPr>
              <w:t>Number of Ordinary Shares</w:t>
            </w:r>
          </w:p>
        </w:tc>
        <w:tc>
          <w:tcPr>
            <w:tcW w:w="2966" w:type="dxa"/>
          </w:tcPr>
          <w:p w:rsidRPr="006E6978" w:rsidR="002F76AB" w:rsidP="001736EA" w:rsidRDefault="006E6978" w14:paraId="75C95A21" w14:textId="2E285D35">
            <w:pPr>
              <w:jc w:val="right"/>
              <w:rPr>
                <w:rFonts w:cs="Arial"/>
                <w:b/>
                <w:i/>
              </w:rPr>
            </w:pPr>
            <w:r>
              <w:rPr>
                <w:rFonts w:cs="Arial"/>
                <w:b/>
                <w:i/>
              </w:rPr>
              <w:t>% of issued Ordinary S</w:t>
            </w:r>
            <w:r w:rsidRPr="006E6978" w:rsidR="002F76AB">
              <w:rPr>
                <w:rFonts w:cs="Arial"/>
                <w:b/>
                <w:i/>
              </w:rPr>
              <w:t>hare capital*</w:t>
            </w:r>
            <w:r w:rsidR="00AD1E25">
              <w:rPr>
                <w:rFonts w:cs="Arial"/>
                <w:b/>
                <w:i/>
              </w:rPr>
              <w:t>*</w:t>
            </w:r>
          </w:p>
        </w:tc>
      </w:tr>
      <w:tr w:rsidRPr="00DE5D68" w:rsidR="00A83E00" w:rsidTr="00165459" w14:paraId="5EDA3E50" w14:textId="77777777">
        <w:tc>
          <w:tcPr>
            <w:tcW w:w="2965" w:type="dxa"/>
          </w:tcPr>
          <w:p w:rsidR="00A83E00" w:rsidP="00A83E00" w:rsidRDefault="00A83E00" w14:paraId="1A8B9254" w14:textId="6E32BC8B">
            <w:pPr>
              <w:rPr>
                <w:rFonts w:cs="Arial"/>
              </w:rPr>
            </w:pPr>
            <w:r>
              <w:rPr>
                <w:rFonts w:cs="Arial"/>
              </w:rPr>
              <w:t>Charlotte Denton</w:t>
            </w:r>
            <w:r>
              <w:rPr>
                <w:rFonts w:cs="Arial"/>
                <w:sz w:val="16"/>
                <w:szCs w:val="16"/>
              </w:rPr>
              <w:t>*</w:t>
            </w:r>
          </w:p>
        </w:tc>
        <w:tc>
          <w:tcPr>
            <w:tcW w:w="2965" w:type="dxa"/>
          </w:tcPr>
          <w:p w:rsidRPr="00DE5D68" w:rsidR="00A83E00" w:rsidP="00A10F64" w:rsidRDefault="00F1182F" w14:paraId="77796D64" w14:textId="6E4DE499">
            <w:pPr>
              <w:jc w:val="right"/>
              <w:rPr>
                <w:rFonts w:cs="Arial"/>
              </w:rPr>
            </w:pPr>
            <w:r>
              <w:rPr>
                <w:rFonts w:cs="Arial"/>
              </w:rPr>
              <w:t>25,000</w:t>
            </w:r>
          </w:p>
        </w:tc>
        <w:tc>
          <w:tcPr>
            <w:tcW w:w="2966" w:type="dxa"/>
          </w:tcPr>
          <w:p w:rsidRPr="00DE5D68" w:rsidR="00A83E00" w:rsidP="001736EA" w:rsidRDefault="00D372D0" w14:paraId="08667D1C" w14:textId="4BB3BFAC">
            <w:pPr>
              <w:jc w:val="right"/>
              <w:rPr>
                <w:rFonts w:cs="Arial"/>
              </w:rPr>
            </w:pPr>
            <w:r>
              <w:rPr>
                <w:rFonts w:cs="Arial"/>
              </w:rPr>
              <w:t>0.05</w:t>
            </w:r>
          </w:p>
        </w:tc>
      </w:tr>
      <w:tr w:rsidRPr="00DE5D68" w:rsidR="00A83E00" w:rsidTr="00165459" w14:paraId="3481C48C" w14:textId="48939E59">
        <w:tc>
          <w:tcPr>
            <w:tcW w:w="2965" w:type="dxa"/>
          </w:tcPr>
          <w:p w:rsidRPr="00DE5D68" w:rsidR="00A83E00" w:rsidP="00A83E00" w:rsidRDefault="00F1182F" w14:paraId="65BCAF9F" w14:textId="5269D33D">
            <w:pPr>
              <w:rPr>
                <w:rFonts w:cs="Arial"/>
              </w:rPr>
            </w:pPr>
            <w:r>
              <w:rPr>
                <w:rFonts w:cs="Arial"/>
              </w:rPr>
              <w:t>Helen Green</w:t>
            </w:r>
          </w:p>
        </w:tc>
        <w:tc>
          <w:tcPr>
            <w:tcW w:w="2965" w:type="dxa"/>
          </w:tcPr>
          <w:p w:rsidRPr="00DE5D68" w:rsidR="00A83E00" w:rsidP="00A10F64" w:rsidRDefault="00F1182F" w14:paraId="2A770EDC" w14:textId="2B1DDDD0">
            <w:pPr>
              <w:jc w:val="right"/>
              <w:rPr>
                <w:rFonts w:cs="Arial"/>
              </w:rPr>
            </w:pPr>
            <w:r>
              <w:rPr>
                <w:rFonts w:cs="Arial"/>
              </w:rPr>
              <w:t>10,000</w:t>
            </w:r>
          </w:p>
        </w:tc>
        <w:tc>
          <w:tcPr>
            <w:tcW w:w="2966" w:type="dxa"/>
          </w:tcPr>
          <w:p w:rsidRPr="00DE5D68" w:rsidR="00A83E00" w:rsidP="001736EA" w:rsidRDefault="00D372D0" w14:paraId="622E87A2" w14:textId="76B4D366">
            <w:pPr>
              <w:jc w:val="right"/>
              <w:rPr>
                <w:rFonts w:cs="Arial"/>
              </w:rPr>
            </w:pPr>
            <w:r>
              <w:rPr>
                <w:rFonts w:cs="Arial"/>
              </w:rPr>
              <w:t>0.02</w:t>
            </w:r>
          </w:p>
        </w:tc>
      </w:tr>
      <w:tr w:rsidRPr="00DE5D68" w:rsidR="00A83E00" w:rsidTr="00165459" w14:paraId="538BCC22" w14:textId="7CD7C31F">
        <w:tc>
          <w:tcPr>
            <w:tcW w:w="2965" w:type="dxa"/>
          </w:tcPr>
          <w:p w:rsidRPr="00DE5D68" w:rsidR="00A83E00" w:rsidP="00A83E00" w:rsidRDefault="00F1182F" w14:paraId="6BE44C8B" w14:textId="3D4742FC">
            <w:pPr>
              <w:rPr>
                <w:rFonts w:cs="Arial"/>
              </w:rPr>
            </w:pPr>
            <w:bookmarkStart w:name="_Hlk190161590" w:id="252"/>
            <w:bookmarkStart w:name="_Hlk190172547" w:id="253"/>
            <w:r>
              <w:rPr>
                <w:rFonts w:cs="Arial"/>
              </w:rPr>
              <w:t>Brett Miller</w:t>
            </w:r>
          </w:p>
        </w:tc>
        <w:tc>
          <w:tcPr>
            <w:tcW w:w="2965" w:type="dxa"/>
          </w:tcPr>
          <w:p w:rsidRPr="00DE5D68" w:rsidR="00A83E00" w:rsidP="00A10F64" w:rsidRDefault="002A11A2" w14:paraId="70038ED7" w14:textId="0F9B7055">
            <w:pPr>
              <w:jc w:val="right"/>
              <w:rPr>
                <w:rFonts w:cs="Arial"/>
              </w:rPr>
            </w:pPr>
            <w:r>
              <w:rPr>
                <w:rFonts w:cs="Arial"/>
              </w:rPr>
              <w:t>35,000</w:t>
            </w:r>
          </w:p>
        </w:tc>
        <w:tc>
          <w:tcPr>
            <w:tcW w:w="2966" w:type="dxa"/>
          </w:tcPr>
          <w:p w:rsidRPr="00DE5D68" w:rsidR="00A83E00" w:rsidP="001736EA" w:rsidRDefault="00D372D0" w14:paraId="7C656708" w14:textId="121ED8BC">
            <w:pPr>
              <w:jc w:val="right"/>
              <w:rPr>
                <w:rFonts w:cs="Arial"/>
              </w:rPr>
            </w:pPr>
            <w:r>
              <w:rPr>
                <w:rFonts w:cs="Arial"/>
              </w:rPr>
              <w:t>0.07</w:t>
            </w:r>
          </w:p>
        </w:tc>
      </w:tr>
    </w:tbl>
    <w:p w:rsidR="00AD1E25" w:rsidP="00AD1E25" w:rsidRDefault="00AD1E25" w14:paraId="74E0B0F9" w14:textId="0C815F48">
      <w:pPr>
        <w:pStyle w:val="ClauseText"/>
        <w:ind w:left="709"/>
        <w:rPr>
          <w:rFonts w:cs="Arial"/>
          <w:i/>
          <w:sz w:val="16"/>
          <w:szCs w:val="16"/>
        </w:rPr>
      </w:pPr>
      <w:bookmarkStart w:name="_Hlk190161574" w:id="254"/>
      <w:bookmarkEnd w:id="252"/>
      <w:bookmarkEnd w:id="251"/>
      <w:r>
        <w:rPr>
          <w:rFonts w:cs="Arial"/>
          <w:i/>
          <w:sz w:val="16"/>
          <w:szCs w:val="16"/>
        </w:rPr>
        <w:t xml:space="preserve">* The Ordinary Shares are held through </w:t>
      </w:r>
      <w:r w:rsidRPr="008F19A9">
        <w:rPr>
          <w:rFonts w:cs="Arial"/>
          <w:i/>
          <w:sz w:val="16"/>
          <w:szCs w:val="16"/>
        </w:rPr>
        <w:t>The Charlotte Ann Retirement Annuity Trust Scheme</w:t>
      </w:r>
      <w:r>
        <w:rPr>
          <w:rFonts w:cs="Arial"/>
          <w:i/>
          <w:sz w:val="16"/>
          <w:szCs w:val="16"/>
        </w:rPr>
        <w:t>, a retirement scheme self-managed by Charlotte Denton.</w:t>
      </w:r>
    </w:p>
    <w:bookmarkEnd w:id="254"/>
    <w:p w:rsidRPr="00DE5D68" w:rsidR="00F85395" w:rsidP="00C27D12" w:rsidRDefault="004E729A" w14:paraId="2C1A44F6" w14:textId="1395B5DC">
      <w:pPr>
        <w:pStyle w:val="ClauseText"/>
        <w:ind w:left="709"/>
        <w:rPr>
          <w:rFonts w:cs="Arial"/>
          <w:i/>
          <w:sz w:val="16"/>
          <w:szCs w:val="16"/>
        </w:rPr>
      </w:pPr>
      <w:r w:rsidRPr="00DE5D68">
        <w:rPr>
          <w:rFonts w:cs="Arial"/>
          <w:i/>
          <w:sz w:val="16"/>
          <w:szCs w:val="16"/>
        </w:rPr>
        <w:t>*</w:t>
      </w:r>
      <w:r w:rsidR="00AD1E25">
        <w:rPr>
          <w:rFonts w:cs="Arial"/>
          <w:i/>
          <w:sz w:val="16"/>
          <w:szCs w:val="16"/>
        </w:rPr>
        <w:t xml:space="preserve">* </w:t>
      </w:r>
      <w:r w:rsidR="006E6978">
        <w:rPr>
          <w:rFonts w:cs="Arial"/>
          <w:i/>
          <w:sz w:val="16"/>
          <w:szCs w:val="16"/>
        </w:rPr>
        <w:t xml:space="preserve">Assuming that </w:t>
      </w:r>
      <w:r w:rsidR="00893EA6">
        <w:rPr>
          <w:rFonts w:cs="Arial"/>
          <w:i/>
          <w:sz w:val="16"/>
          <w:szCs w:val="16"/>
        </w:rPr>
        <w:t>54</w:t>
      </w:r>
      <w:r w:rsidR="007A1FC2">
        <w:rPr>
          <w:rFonts w:cs="Arial"/>
          <w:i/>
          <w:sz w:val="16"/>
          <w:szCs w:val="16"/>
        </w:rPr>
        <w:t xml:space="preserve"> million </w:t>
      </w:r>
      <w:r w:rsidRPr="00DE5D68" w:rsidR="002F76AB">
        <w:rPr>
          <w:rFonts w:cs="Arial"/>
          <w:i/>
          <w:sz w:val="16"/>
          <w:szCs w:val="16"/>
        </w:rPr>
        <w:t>Ordinary Shares</w:t>
      </w:r>
      <w:r w:rsidR="0029109F">
        <w:rPr>
          <w:rFonts w:cs="Arial"/>
          <w:i/>
          <w:sz w:val="16"/>
          <w:szCs w:val="16"/>
        </w:rPr>
        <w:t xml:space="preserve"> are admitted pursuant to Initial Admission.</w:t>
      </w:r>
    </w:p>
    <w:bookmarkEnd w:id="253"/>
    <w:bookmarkEnd w:id="250"/>
    <w:p w:rsidRPr="00DE5D68" w:rsidR="00C2282C" w:rsidP="00C27D12" w:rsidRDefault="00C2282C" w14:paraId="1FE69CD1" w14:textId="39D1940F">
      <w:pPr>
        <w:ind w:left="709"/>
        <w:rPr>
          <w:rFonts w:cs="Arial"/>
        </w:rPr>
      </w:pPr>
      <w:r w:rsidRPr="00DE5D68">
        <w:rPr>
          <w:rFonts w:cs="Arial"/>
        </w:rPr>
        <w:t>Save as disclosed in this paragraph, immediately following</w:t>
      </w:r>
      <w:r w:rsidRPr="00DE5D68" w:rsidR="007225DF">
        <w:rPr>
          <w:rFonts w:cs="Arial"/>
        </w:rPr>
        <w:t xml:space="preserve"> Initial</w:t>
      </w:r>
      <w:r w:rsidRPr="00DE5D68">
        <w:rPr>
          <w:rFonts w:cs="Arial"/>
        </w:rPr>
        <w:t xml:space="preserve"> Admission, no Director will have any interest, whether beneficial or non-beneficial, in the share or loan capital of the Company.</w:t>
      </w:r>
    </w:p>
    <w:p w:rsidRPr="007222F9" w:rsidR="00C2282C" w:rsidP="00C27D12" w:rsidRDefault="00C2282C" w14:paraId="6D1AB90B" w14:textId="5911B277">
      <w:pPr>
        <w:pStyle w:val="Heading2"/>
        <w:rPr>
          <w:rFonts w:cs="Arial"/>
        </w:rPr>
      </w:pPr>
      <w:r w:rsidRPr="007222F9">
        <w:rPr>
          <w:rFonts w:cs="Arial"/>
        </w:rPr>
        <w:t xml:space="preserve">No Director has a service contract with the Company, nor are any such contracts proposed, each Director having been appointed pursuant to a letter of appointment entered into with </w:t>
      </w:r>
      <w:r w:rsidRPr="007222F9" w:rsidR="003077AC">
        <w:rPr>
          <w:rFonts w:cs="Arial"/>
        </w:rPr>
        <w:t>the Company.</w:t>
      </w:r>
      <w:r w:rsidRPr="007222F9" w:rsidR="007225DF">
        <w:rPr>
          <w:rFonts w:cs="Arial"/>
        </w:rPr>
        <w:t xml:space="preserve"> </w:t>
      </w:r>
      <w:r w:rsidRPr="007222F9" w:rsidR="00C370F4">
        <w:rPr>
          <w:rFonts w:cs="Arial"/>
        </w:rPr>
        <w:t xml:space="preserve">Each Director will retire from office at each annual general meeting except </w:t>
      </w:r>
      <w:r w:rsidR="007222F9">
        <w:rPr>
          <w:rFonts w:cs="Arial"/>
        </w:rPr>
        <w:t xml:space="preserve">any Director </w:t>
      </w:r>
      <w:r w:rsidRPr="007222F9" w:rsidR="00C370F4">
        <w:rPr>
          <w:rFonts w:cs="Arial"/>
        </w:rPr>
        <w:t xml:space="preserve">appointed by the Board after the notice of that annual general meeting has been given and before that annual general meeting has been </w:t>
      </w:r>
      <w:r w:rsidRPr="00527A68" w:rsidR="00C370F4">
        <w:rPr>
          <w:rFonts w:cs="Arial"/>
        </w:rPr>
        <w:t xml:space="preserve">held. </w:t>
      </w:r>
      <w:r w:rsidRPr="00527A68" w:rsidR="00F8055F">
        <w:rPr>
          <w:rFonts w:cs="Arial"/>
        </w:rPr>
        <w:t>The Directors’ appointments can be terminated</w:t>
      </w:r>
      <w:r w:rsidRPr="00527A68" w:rsidR="00F11C79">
        <w:rPr>
          <w:rFonts w:cs="Arial"/>
        </w:rPr>
        <w:t xml:space="preserve"> by either party</w:t>
      </w:r>
      <w:r w:rsidRPr="00527A68" w:rsidR="00F8055F">
        <w:rPr>
          <w:rFonts w:cs="Arial"/>
        </w:rPr>
        <w:t xml:space="preserve"> in accordance with the Articles and on three months' written notice</w:t>
      </w:r>
      <w:r w:rsidRPr="00527A68" w:rsidR="009542C7">
        <w:rPr>
          <w:rFonts w:cs="Arial"/>
        </w:rPr>
        <w:t>, in both cases without compensation</w:t>
      </w:r>
      <w:r w:rsidRPr="00527A68" w:rsidR="00F8055F">
        <w:rPr>
          <w:rFonts w:cs="Arial"/>
        </w:rPr>
        <w:t xml:space="preserve">. </w:t>
      </w:r>
      <w:r w:rsidRPr="00527A68" w:rsidR="00E3474F">
        <w:rPr>
          <w:rFonts w:cs="Arial"/>
        </w:rPr>
        <w:t>The</w:t>
      </w:r>
      <w:r w:rsidRPr="00527A68">
        <w:rPr>
          <w:rFonts w:cs="Arial"/>
        </w:rPr>
        <w:t xml:space="preserve"> Articles provide that the office of Director shall be terminated by, among other things: (</w:t>
      </w:r>
      <w:proofErr w:type="spellStart"/>
      <w:r w:rsidRPr="00527A68">
        <w:rPr>
          <w:rFonts w:cs="Arial"/>
        </w:rPr>
        <w:t>i</w:t>
      </w:r>
      <w:proofErr w:type="spellEnd"/>
      <w:r w:rsidRPr="00527A68">
        <w:rPr>
          <w:rFonts w:cs="Arial"/>
        </w:rPr>
        <w:t xml:space="preserve">) written resignation; (ii) unauthorised absences from </w:t>
      </w:r>
      <w:r w:rsidRPr="00527A68" w:rsidR="000C0D70">
        <w:rPr>
          <w:rFonts w:cs="Arial"/>
        </w:rPr>
        <w:t>Board</w:t>
      </w:r>
      <w:r w:rsidRPr="007222F9">
        <w:rPr>
          <w:rFonts w:cs="Arial"/>
        </w:rPr>
        <w:t xml:space="preserve"> meetings for six consecutive months or more; or (iii) written request of all of the other Directors.</w:t>
      </w:r>
    </w:p>
    <w:p w:rsidRPr="005B64CB" w:rsidR="00C2282C" w:rsidP="00C27D12" w:rsidRDefault="00107014" w14:paraId="3539C0E6" w14:textId="22C3739D">
      <w:pPr>
        <w:pStyle w:val="Heading2"/>
        <w:rPr>
          <w:rFonts w:cs="Arial"/>
        </w:rPr>
      </w:pPr>
      <w:bookmarkStart w:name="_Hlk188880599" w:id="255"/>
      <w:r>
        <w:rPr>
          <w:rFonts w:cs="Arial"/>
        </w:rPr>
        <w:t>E</w:t>
      </w:r>
      <w:r w:rsidRPr="005B64CB" w:rsidR="00FA50DF">
        <w:rPr>
          <w:rFonts w:cs="Arial"/>
        </w:rPr>
        <w:t>ach of the Di</w:t>
      </w:r>
      <w:r w:rsidR="00935BBE">
        <w:rPr>
          <w:rFonts w:cs="Arial"/>
        </w:rPr>
        <w:t>rectors</w:t>
      </w:r>
      <w:r w:rsidRPr="005B64CB" w:rsidR="00596624">
        <w:rPr>
          <w:rFonts w:cs="Arial"/>
        </w:rPr>
        <w:t xml:space="preserve"> </w:t>
      </w:r>
      <w:r w:rsidRPr="005B64CB" w:rsidR="00FA50DF">
        <w:rPr>
          <w:rFonts w:cs="Arial"/>
        </w:rPr>
        <w:t xml:space="preserve">is entitled to receive a fee from the Company at such rate as may be determined in accordance with the </w:t>
      </w:r>
      <w:r w:rsidRPr="005B64CB" w:rsidR="00D20876">
        <w:rPr>
          <w:rFonts w:cs="Arial"/>
        </w:rPr>
        <w:t>A</w:t>
      </w:r>
      <w:r w:rsidRPr="005B64CB" w:rsidR="003077AC">
        <w:rPr>
          <w:rFonts w:cs="Arial"/>
        </w:rPr>
        <w:t xml:space="preserve">rticles. </w:t>
      </w:r>
      <w:r w:rsidR="00194E2B">
        <w:rPr>
          <w:rFonts w:cs="Arial"/>
        </w:rPr>
        <w:t>For acting as Chair, the</w:t>
      </w:r>
      <w:r w:rsidRPr="005B64CB" w:rsidR="00FA50DF">
        <w:rPr>
          <w:rFonts w:cs="Arial"/>
        </w:rPr>
        <w:t xml:space="preserve"> initial fee</w:t>
      </w:r>
      <w:r w:rsidR="00194E2B">
        <w:rPr>
          <w:rFonts w:cs="Arial"/>
        </w:rPr>
        <w:t xml:space="preserve"> payable to Charlotte Denton</w:t>
      </w:r>
      <w:r w:rsidRPr="005B64CB" w:rsidR="00FA50DF">
        <w:rPr>
          <w:rFonts w:cs="Arial"/>
        </w:rPr>
        <w:t xml:space="preserve"> will be £</w:t>
      </w:r>
      <w:r w:rsidR="00F85BA6">
        <w:rPr>
          <w:rFonts w:cs="Arial"/>
        </w:rPr>
        <w:t>25,000</w:t>
      </w:r>
      <w:r w:rsidRPr="005B64CB" w:rsidR="007225DF">
        <w:rPr>
          <w:rFonts w:cs="Arial"/>
        </w:rPr>
        <w:t xml:space="preserve"> </w:t>
      </w:r>
      <w:r w:rsidRPr="005B64CB" w:rsidR="00FA50DF">
        <w:rPr>
          <w:rFonts w:cs="Arial"/>
        </w:rPr>
        <w:t>per annum</w:t>
      </w:r>
      <w:r w:rsidRPr="005B64CB" w:rsidR="005633D1">
        <w:rPr>
          <w:rFonts w:cs="Arial"/>
        </w:rPr>
        <w:t xml:space="preserve">. </w:t>
      </w:r>
      <w:r>
        <w:rPr>
          <w:rFonts w:cs="Arial"/>
        </w:rPr>
        <w:t xml:space="preserve">Helen Green and Brett Miller </w:t>
      </w:r>
      <w:r w:rsidR="00194E2B">
        <w:rPr>
          <w:rFonts w:cs="Arial"/>
        </w:rPr>
        <w:t xml:space="preserve">will </w:t>
      </w:r>
      <w:r>
        <w:rPr>
          <w:rFonts w:cs="Arial"/>
        </w:rPr>
        <w:t xml:space="preserve">each </w:t>
      </w:r>
      <w:r w:rsidR="00194E2B">
        <w:rPr>
          <w:rFonts w:cs="Arial"/>
        </w:rPr>
        <w:t>receive an initial fee of £</w:t>
      </w:r>
      <w:r w:rsidR="00F85BA6">
        <w:rPr>
          <w:rFonts w:cs="Arial"/>
        </w:rPr>
        <w:t>20,000</w:t>
      </w:r>
      <w:r w:rsidR="00194E2B">
        <w:rPr>
          <w:rFonts w:cs="Arial"/>
        </w:rPr>
        <w:t xml:space="preserve"> for acting as a Director of the Company </w:t>
      </w:r>
      <w:r w:rsidR="00F4219D">
        <w:rPr>
          <w:rFonts w:cs="Arial"/>
        </w:rPr>
        <w:t>(</w:t>
      </w:r>
      <w:r w:rsidR="00194E2B">
        <w:rPr>
          <w:rFonts w:cs="Arial"/>
        </w:rPr>
        <w:t>and</w:t>
      </w:r>
      <w:r w:rsidR="00F4219D">
        <w:rPr>
          <w:rFonts w:cs="Arial"/>
        </w:rPr>
        <w:t>,</w:t>
      </w:r>
      <w:r w:rsidR="00194E2B">
        <w:rPr>
          <w:rFonts w:cs="Arial"/>
        </w:rPr>
        <w:t xml:space="preserve"> </w:t>
      </w:r>
      <w:r>
        <w:rPr>
          <w:rFonts w:cs="Arial"/>
        </w:rPr>
        <w:t>in the case of Helen Green</w:t>
      </w:r>
      <w:r w:rsidR="00F4219D">
        <w:rPr>
          <w:rFonts w:cs="Arial"/>
        </w:rPr>
        <w:t>,</w:t>
      </w:r>
      <w:r>
        <w:rPr>
          <w:rFonts w:cs="Arial"/>
        </w:rPr>
        <w:t xml:space="preserve"> </w:t>
      </w:r>
      <w:r w:rsidR="00194E2B">
        <w:rPr>
          <w:rFonts w:cs="Arial"/>
        </w:rPr>
        <w:t>as Chair of the Audit Committee</w:t>
      </w:r>
      <w:r w:rsidR="00F4219D">
        <w:rPr>
          <w:rFonts w:cs="Arial"/>
        </w:rPr>
        <w:t>)</w:t>
      </w:r>
      <w:r w:rsidRPr="005B64CB" w:rsidR="00392E59">
        <w:rPr>
          <w:rFonts w:cs="Arial"/>
        </w:rPr>
        <w:t>.</w:t>
      </w:r>
      <w:r w:rsidRPr="005B64CB" w:rsidR="0057326D">
        <w:rPr>
          <w:rFonts w:cs="Arial"/>
        </w:rPr>
        <w:t xml:space="preserve"> </w:t>
      </w:r>
      <w:bookmarkEnd w:id="255"/>
      <w:r w:rsidRPr="005B64CB" w:rsidR="00FA50DF">
        <w:rPr>
          <w:rFonts w:cs="Arial"/>
        </w:rPr>
        <w:t>The Dir</w:t>
      </w:r>
      <w:r w:rsidRPr="005B64CB" w:rsidR="00F17782">
        <w:rPr>
          <w:rFonts w:cs="Arial"/>
        </w:rPr>
        <w:t>ectors are also entitled to out-of-</w:t>
      </w:r>
      <w:r w:rsidRPr="005B64CB" w:rsidR="00FA50DF">
        <w:rPr>
          <w:rFonts w:cs="Arial"/>
        </w:rPr>
        <w:t>pocket expenses incurred in the prope</w:t>
      </w:r>
      <w:r w:rsidRPr="005B64CB" w:rsidR="003077AC">
        <w:rPr>
          <w:rFonts w:cs="Arial"/>
        </w:rPr>
        <w:t>r perfor</w:t>
      </w:r>
      <w:r w:rsidRPr="005B64CB" w:rsidR="00060374">
        <w:rPr>
          <w:rFonts w:cs="Arial"/>
        </w:rPr>
        <w:t>mance of their duties.</w:t>
      </w:r>
      <w:r w:rsidRPr="005B64CB" w:rsidR="00596624">
        <w:rPr>
          <w:rFonts w:cs="Arial"/>
        </w:rPr>
        <w:t xml:space="preserve"> </w:t>
      </w:r>
    </w:p>
    <w:p w:rsidRPr="00DE5D68" w:rsidR="00882F65" w:rsidP="00C27D12" w:rsidRDefault="00882F65" w14:paraId="03AA1299" w14:textId="16F870AD">
      <w:pPr>
        <w:pStyle w:val="Heading2"/>
        <w:rPr>
          <w:rFonts w:cs="Arial"/>
        </w:rPr>
      </w:pPr>
      <w:r w:rsidRPr="00DE5D68">
        <w:rPr>
          <w:rFonts w:cs="Arial"/>
        </w:rPr>
        <w:t>No amount has been set aside or accrued by the Company to provide pensions, retirement or other similar benefits.</w:t>
      </w:r>
    </w:p>
    <w:p w:rsidRPr="00DE5D68" w:rsidR="00882F65" w:rsidP="00C27D12" w:rsidRDefault="00506068" w14:paraId="2E981F4C" w14:textId="20127041">
      <w:pPr>
        <w:pStyle w:val="Heading2"/>
        <w:rPr>
          <w:rFonts w:cs="Arial"/>
        </w:rPr>
      </w:pPr>
      <w:r w:rsidRPr="00DE5D68">
        <w:rPr>
          <w:rFonts w:cs="Arial"/>
        </w:rPr>
        <w:t xml:space="preserve">Save as set out </w:t>
      </w:r>
      <w:r w:rsidR="004811DA">
        <w:rPr>
          <w:rFonts w:cs="Arial"/>
        </w:rPr>
        <w:t>elsewhere in this document</w:t>
      </w:r>
      <w:r w:rsidRPr="00DE5D68">
        <w:rPr>
          <w:rFonts w:cs="Arial"/>
        </w:rPr>
        <w:t xml:space="preserve">, </w:t>
      </w:r>
      <w:r w:rsidR="006E6978">
        <w:rPr>
          <w:rFonts w:cs="Arial"/>
        </w:rPr>
        <w:t>n</w:t>
      </w:r>
      <w:r w:rsidRPr="00DE5D68" w:rsidR="00882F65">
        <w:rPr>
          <w:rFonts w:cs="Arial"/>
        </w:rPr>
        <w:t xml:space="preserve">one of the Directors has, or has had, an interest in any transaction which is or was unusual in its nature or conditions or significant to the business of the Company or </w:t>
      </w:r>
      <w:r w:rsidRPr="00DE5D68" w:rsidR="00D20876">
        <w:rPr>
          <w:rFonts w:cs="Arial"/>
        </w:rPr>
        <w:t>that</w:t>
      </w:r>
      <w:r w:rsidRPr="00DE5D68" w:rsidR="00882F65">
        <w:rPr>
          <w:rFonts w:cs="Arial"/>
        </w:rPr>
        <w:t xml:space="preserve"> has been </w:t>
      </w:r>
      <w:proofErr w:type="gramStart"/>
      <w:r w:rsidRPr="00DE5D68" w:rsidR="00882F65">
        <w:rPr>
          <w:rFonts w:cs="Arial"/>
        </w:rPr>
        <w:t>effected</w:t>
      </w:r>
      <w:proofErr w:type="gramEnd"/>
      <w:r w:rsidRPr="00DE5D68" w:rsidR="00882F65">
        <w:rPr>
          <w:rFonts w:cs="Arial"/>
        </w:rPr>
        <w:t xml:space="preserve"> by the Company since its incorporation.</w:t>
      </w:r>
    </w:p>
    <w:p w:rsidRPr="00DE5D68" w:rsidR="00C2282C" w:rsidP="00C27D12" w:rsidRDefault="00C2282C" w14:paraId="1CF5646D" w14:textId="77777777">
      <w:pPr>
        <w:pStyle w:val="Heading2"/>
        <w:rPr>
          <w:rFonts w:cs="Arial"/>
        </w:rPr>
      </w:pPr>
      <w:r w:rsidRPr="00DE5D68">
        <w:rPr>
          <w:rFonts w:cs="Arial"/>
        </w:rPr>
        <w:t>The Company has not made any loans to the Directors which are outstanding, nor has it ever provided any guarantees for the benefit of any Director or the Directors collectively.</w:t>
      </w:r>
    </w:p>
    <w:p w:rsidRPr="00DE5D68" w:rsidR="00C2282C" w:rsidP="00F32BF2" w:rsidRDefault="00C2282C" w14:paraId="0D1A7DD2" w14:textId="54075079">
      <w:pPr>
        <w:pStyle w:val="Heading2"/>
        <w:keepNext/>
        <w:rPr>
          <w:rFonts w:cs="Arial"/>
        </w:rPr>
      </w:pPr>
      <w:r w:rsidRPr="00DE5D68">
        <w:rPr>
          <w:rFonts w:cs="Arial"/>
        </w:rPr>
        <w:lastRenderedPageBreak/>
        <w:t xml:space="preserve">Over the five years preceding the date of this document, the Directors hold or have held the following directorships (apart from their directorships of the Company) or memberships </w:t>
      </w:r>
      <w:r w:rsidRPr="00DE5D68" w:rsidR="00751E5D">
        <w:rPr>
          <w:rFonts w:cs="Arial"/>
        </w:rPr>
        <w:t xml:space="preserve">of </w:t>
      </w:r>
      <w:r w:rsidRPr="00DE5D68">
        <w:rPr>
          <w:rFonts w:cs="Arial"/>
        </w:rPr>
        <w:t>administrative, management or supervisory bodies and/or partnerships:</w:t>
      </w:r>
    </w:p>
    <w:tbl>
      <w:tblPr>
        <w:tblStyle w:val="TableGrid"/>
        <w:tblW w:w="8868" w:type="dxa"/>
        <w:tblInd w:w="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56"/>
        <w:gridCol w:w="2956"/>
        <w:gridCol w:w="2956"/>
      </w:tblGrid>
      <w:tr w:rsidRPr="00DE5D68" w:rsidR="00C2282C" w:rsidTr="00935BBE" w14:paraId="32BC9476" w14:textId="77777777">
        <w:tc>
          <w:tcPr>
            <w:tcW w:w="2956" w:type="dxa"/>
          </w:tcPr>
          <w:p w:rsidRPr="006E6978" w:rsidR="00C2282C" w:rsidP="00F32BF2" w:rsidRDefault="00C2282C" w14:paraId="4C599B0F" w14:textId="77777777">
            <w:pPr>
              <w:keepNext/>
              <w:rPr>
                <w:rFonts w:cs="Arial"/>
                <w:b/>
                <w:i/>
              </w:rPr>
            </w:pPr>
            <w:r w:rsidRPr="006E6978">
              <w:rPr>
                <w:rFonts w:cs="Arial"/>
                <w:b/>
                <w:i/>
              </w:rPr>
              <w:t>Name</w:t>
            </w:r>
          </w:p>
        </w:tc>
        <w:tc>
          <w:tcPr>
            <w:tcW w:w="2956" w:type="dxa"/>
          </w:tcPr>
          <w:p w:rsidRPr="006E6978" w:rsidR="00C2282C" w:rsidP="00F32BF2" w:rsidRDefault="00C2282C" w14:paraId="249E6A03" w14:textId="77777777">
            <w:pPr>
              <w:keepNext/>
              <w:rPr>
                <w:rFonts w:cs="Arial"/>
                <w:b/>
                <w:i/>
              </w:rPr>
            </w:pPr>
            <w:r w:rsidRPr="006E6978">
              <w:rPr>
                <w:rFonts w:cs="Arial"/>
                <w:b/>
                <w:i/>
              </w:rPr>
              <w:t>Current</w:t>
            </w:r>
          </w:p>
        </w:tc>
        <w:tc>
          <w:tcPr>
            <w:tcW w:w="2956" w:type="dxa"/>
          </w:tcPr>
          <w:p w:rsidRPr="006E6978" w:rsidR="00C2282C" w:rsidP="00F32BF2" w:rsidRDefault="00C2282C" w14:paraId="6C55CD94" w14:textId="77777777">
            <w:pPr>
              <w:keepNext/>
              <w:rPr>
                <w:rFonts w:cs="Arial"/>
                <w:b/>
                <w:i/>
              </w:rPr>
            </w:pPr>
            <w:r w:rsidRPr="006E6978">
              <w:rPr>
                <w:rFonts w:cs="Arial"/>
                <w:b/>
                <w:i/>
              </w:rPr>
              <w:t>Previous</w:t>
            </w:r>
          </w:p>
        </w:tc>
      </w:tr>
      <w:tr w:rsidRPr="00DE5D68" w:rsidR="00AD1E25" w:rsidTr="00935BBE" w14:paraId="6C4E56DF" w14:textId="77777777">
        <w:tc>
          <w:tcPr>
            <w:tcW w:w="2956" w:type="dxa"/>
          </w:tcPr>
          <w:p w:rsidRPr="00DE5D68" w:rsidR="00AD1E25" w:rsidP="00AD1E25" w:rsidRDefault="00AD1E25" w14:paraId="736DA0B3" w14:textId="03CD6B6D">
            <w:pPr>
              <w:rPr>
                <w:rFonts w:cs="Arial"/>
              </w:rPr>
            </w:pPr>
            <w:r>
              <w:rPr>
                <w:rFonts w:cs="Arial"/>
              </w:rPr>
              <w:t>Charlotte Denton</w:t>
            </w:r>
          </w:p>
        </w:tc>
        <w:tc>
          <w:tcPr>
            <w:tcW w:w="2956" w:type="dxa"/>
          </w:tcPr>
          <w:p w:rsidR="00202D08" w:rsidP="00107014" w:rsidRDefault="00202D08" w14:paraId="28A1DF53" w14:textId="77777777">
            <w:pPr>
              <w:jc w:val="left"/>
              <w:rPr>
                <w:rFonts w:cs="Arial"/>
                <w:szCs w:val="20"/>
              </w:rPr>
            </w:pPr>
            <w:r w:rsidRPr="00FE64DB">
              <w:rPr>
                <w:rFonts w:cs="Arial"/>
                <w:szCs w:val="20"/>
              </w:rPr>
              <w:t>Alpha Real Capital Limited</w:t>
            </w:r>
          </w:p>
          <w:p w:rsidRPr="00FE64DB" w:rsidR="00202D08" w:rsidP="00AD1E25" w:rsidRDefault="00202D08" w14:paraId="6501384F" w14:textId="77777777">
            <w:pPr>
              <w:jc w:val="left"/>
              <w:rPr>
                <w:rFonts w:cs="Arial"/>
                <w:szCs w:val="20"/>
              </w:rPr>
            </w:pPr>
            <w:proofErr w:type="spellStart"/>
            <w:r w:rsidRPr="00FE64DB">
              <w:rPr>
                <w:rFonts w:cs="Arial"/>
                <w:szCs w:val="20"/>
              </w:rPr>
              <w:t>Cinven</w:t>
            </w:r>
            <w:proofErr w:type="spellEnd"/>
            <w:r w:rsidRPr="00FE64DB">
              <w:rPr>
                <w:rFonts w:cs="Arial"/>
                <w:szCs w:val="20"/>
              </w:rPr>
              <w:t xml:space="preserve"> Capital Management (SFF) General Partner Limited</w:t>
            </w:r>
          </w:p>
          <w:p w:rsidRPr="00FE64DB" w:rsidR="00202D08" w:rsidP="00AD1E25" w:rsidRDefault="00202D08" w14:paraId="7ADA21A3" w14:textId="77777777">
            <w:pPr>
              <w:jc w:val="left"/>
              <w:rPr>
                <w:rFonts w:cs="Arial"/>
                <w:szCs w:val="20"/>
              </w:rPr>
            </w:pPr>
            <w:proofErr w:type="spellStart"/>
            <w:r w:rsidRPr="00FE64DB">
              <w:rPr>
                <w:rFonts w:cs="Arial"/>
                <w:szCs w:val="20"/>
              </w:rPr>
              <w:t>Cinven</w:t>
            </w:r>
            <w:proofErr w:type="spellEnd"/>
            <w:r w:rsidRPr="00FE64DB">
              <w:rPr>
                <w:rFonts w:cs="Arial"/>
                <w:szCs w:val="20"/>
              </w:rPr>
              <w:t xml:space="preserve"> Capital Management (V) General Partner Limited</w:t>
            </w:r>
          </w:p>
          <w:p w:rsidRPr="00FE64DB" w:rsidR="00202D08" w:rsidP="00AD1E25" w:rsidRDefault="00202D08" w14:paraId="1D495C7C" w14:textId="77777777">
            <w:pPr>
              <w:jc w:val="left"/>
              <w:rPr>
                <w:rFonts w:cs="Arial"/>
                <w:szCs w:val="20"/>
              </w:rPr>
            </w:pPr>
            <w:proofErr w:type="spellStart"/>
            <w:r w:rsidRPr="00FE64DB">
              <w:rPr>
                <w:rFonts w:cs="Arial"/>
                <w:szCs w:val="20"/>
              </w:rPr>
              <w:t>Cinven</w:t>
            </w:r>
            <w:proofErr w:type="spellEnd"/>
            <w:r w:rsidRPr="00FE64DB">
              <w:rPr>
                <w:rFonts w:cs="Arial"/>
                <w:szCs w:val="20"/>
              </w:rPr>
              <w:t xml:space="preserve"> Capital Management (VI) General Partner Limited</w:t>
            </w:r>
          </w:p>
          <w:p w:rsidRPr="00FE64DB" w:rsidR="00202D08" w:rsidP="00AD1E25" w:rsidRDefault="00202D08" w14:paraId="226DB4AD" w14:textId="77777777">
            <w:pPr>
              <w:jc w:val="left"/>
              <w:rPr>
                <w:rFonts w:cs="Arial"/>
                <w:szCs w:val="20"/>
              </w:rPr>
            </w:pPr>
            <w:proofErr w:type="spellStart"/>
            <w:r w:rsidRPr="00FE64DB">
              <w:rPr>
                <w:rFonts w:cs="Arial"/>
                <w:szCs w:val="20"/>
              </w:rPr>
              <w:t>Cinven</w:t>
            </w:r>
            <w:proofErr w:type="spellEnd"/>
            <w:r w:rsidRPr="00FE64DB">
              <w:rPr>
                <w:rFonts w:cs="Arial"/>
                <w:szCs w:val="20"/>
              </w:rPr>
              <w:t xml:space="preserve"> Capital Management (VII) General Partner Limited</w:t>
            </w:r>
          </w:p>
          <w:p w:rsidRPr="00FE64DB" w:rsidR="00202D08" w:rsidP="00107014" w:rsidRDefault="00202D08" w14:paraId="65B90A17" w14:textId="77777777">
            <w:pPr>
              <w:jc w:val="left"/>
              <w:rPr>
                <w:rFonts w:cs="Arial"/>
                <w:szCs w:val="20"/>
              </w:rPr>
            </w:pPr>
            <w:proofErr w:type="spellStart"/>
            <w:r w:rsidRPr="00FE64DB">
              <w:rPr>
                <w:rFonts w:cs="Arial"/>
                <w:szCs w:val="20"/>
              </w:rPr>
              <w:t>HitecVision</w:t>
            </w:r>
            <w:proofErr w:type="spellEnd"/>
            <w:r w:rsidRPr="00FE64DB">
              <w:rPr>
                <w:rFonts w:cs="Arial"/>
                <w:szCs w:val="20"/>
              </w:rPr>
              <w:t xml:space="preserve"> Asset Solutions (GP) Limited</w:t>
            </w:r>
          </w:p>
          <w:p w:rsidRPr="00FE64DB" w:rsidR="00202D08" w:rsidP="00AD1E25" w:rsidRDefault="00202D08" w14:paraId="06C50BDF" w14:textId="77777777">
            <w:pPr>
              <w:jc w:val="left"/>
              <w:rPr>
                <w:rFonts w:cs="Arial"/>
                <w:szCs w:val="20"/>
              </w:rPr>
            </w:pPr>
            <w:proofErr w:type="spellStart"/>
            <w:r w:rsidRPr="00FE64DB">
              <w:rPr>
                <w:rFonts w:cs="Arial"/>
                <w:szCs w:val="20"/>
              </w:rPr>
              <w:t>HitecVision</w:t>
            </w:r>
            <w:proofErr w:type="spellEnd"/>
            <w:r w:rsidRPr="00FE64DB">
              <w:rPr>
                <w:rFonts w:cs="Arial"/>
                <w:szCs w:val="20"/>
              </w:rPr>
              <w:t xml:space="preserve"> NSOF (GP) Limited</w:t>
            </w:r>
          </w:p>
          <w:p w:rsidRPr="00FE64DB" w:rsidR="00202D08" w:rsidP="00AD1E25" w:rsidRDefault="00202D08" w14:paraId="5065129F" w14:textId="77777777">
            <w:pPr>
              <w:jc w:val="left"/>
              <w:rPr>
                <w:rFonts w:cs="Arial"/>
                <w:szCs w:val="20"/>
              </w:rPr>
            </w:pPr>
            <w:proofErr w:type="spellStart"/>
            <w:r w:rsidRPr="00FE64DB">
              <w:rPr>
                <w:rFonts w:cs="Arial"/>
                <w:szCs w:val="20"/>
              </w:rPr>
              <w:t>HitecVision</w:t>
            </w:r>
            <w:proofErr w:type="spellEnd"/>
            <w:r w:rsidRPr="00FE64DB">
              <w:rPr>
                <w:rFonts w:cs="Arial"/>
                <w:szCs w:val="20"/>
              </w:rPr>
              <w:t xml:space="preserve"> </w:t>
            </w:r>
            <w:proofErr w:type="spellStart"/>
            <w:r w:rsidRPr="00FE64DB">
              <w:rPr>
                <w:rFonts w:cs="Arial"/>
                <w:szCs w:val="20"/>
              </w:rPr>
              <w:t>SpringPoint</w:t>
            </w:r>
            <w:proofErr w:type="spellEnd"/>
            <w:r w:rsidRPr="00FE64DB">
              <w:rPr>
                <w:rFonts w:cs="Arial"/>
                <w:szCs w:val="20"/>
              </w:rPr>
              <w:t xml:space="preserve"> (GP) Limited</w:t>
            </w:r>
          </w:p>
          <w:p w:rsidRPr="00FE64DB" w:rsidR="00202D08" w:rsidP="00AD1E25" w:rsidRDefault="00202D08" w14:paraId="508848D5" w14:textId="77777777">
            <w:pPr>
              <w:jc w:val="left"/>
              <w:rPr>
                <w:rFonts w:cs="Arial"/>
                <w:szCs w:val="20"/>
              </w:rPr>
            </w:pPr>
            <w:proofErr w:type="spellStart"/>
            <w:r w:rsidRPr="00FE64DB">
              <w:rPr>
                <w:rFonts w:cs="Arial"/>
                <w:szCs w:val="20"/>
              </w:rPr>
              <w:t>HitecVision</w:t>
            </w:r>
            <w:proofErr w:type="spellEnd"/>
            <w:r w:rsidRPr="00FE64DB">
              <w:rPr>
                <w:rFonts w:cs="Arial"/>
                <w:szCs w:val="20"/>
              </w:rPr>
              <w:t xml:space="preserve"> V (GP) Limited</w:t>
            </w:r>
          </w:p>
          <w:p w:rsidRPr="00FE64DB" w:rsidR="00202D08" w:rsidP="00AD1E25" w:rsidRDefault="00202D08" w14:paraId="175F02E0" w14:textId="77777777">
            <w:pPr>
              <w:jc w:val="left"/>
              <w:rPr>
                <w:rFonts w:cs="Arial"/>
                <w:szCs w:val="20"/>
              </w:rPr>
            </w:pPr>
            <w:proofErr w:type="spellStart"/>
            <w:r w:rsidRPr="00FE64DB">
              <w:rPr>
                <w:rFonts w:cs="Arial"/>
                <w:szCs w:val="20"/>
              </w:rPr>
              <w:t>HitecVision</w:t>
            </w:r>
            <w:proofErr w:type="spellEnd"/>
            <w:r w:rsidRPr="00FE64DB">
              <w:rPr>
                <w:rFonts w:cs="Arial"/>
                <w:szCs w:val="20"/>
              </w:rPr>
              <w:t xml:space="preserve"> VI (GP) Limited</w:t>
            </w:r>
          </w:p>
          <w:p w:rsidRPr="00FE64DB" w:rsidR="00202D08" w:rsidP="00AD1E25" w:rsidRDefault="00202D08" w14:paraId="32FE09A4" w14:textId="77777777">
            <w:pPr>
              <w:jc w:val="left"/>
              <w:rPr>
                <w:rFonts w:cs="Arial"/>
                <w:szCs w:val="20"/>
              </w:rPr>
            </w:pPr>
            <w:proofErr w:type="spellStart"/>
            <w:r w:rsidRPr="00FE64DB">
              <w:rPr>
                <w:rFonts w:cs="Arial"/>
                <w:szCs w:val="20"/>
              </w:rPr>
              <w:t>HitecVision</w:t>
            </w:r>
            <w:proofErr w:type="spellEnd"/>
            <w:r w:rsidRPr="00FE64DB">
              <w:rPr>
                <w:rFonts w:cs="Arial"/>
                <w:szCs w:val="20"/>
              </w:rPr>
              <w:t xml:space="preserve"> VII (GP) Limited</w:t>
            </w:r>
          </w:p>
          <w:p w:rsidRPr="00FE64DB" w:rsidR="00202D08" w:rsidP="00AD1E25" w:rsidRDefault="00202D08" w14:paraId="56C4B03E" w14:textId="77777777">
            <w:pPr>
              <w:jc w:val="left"/>
              <w:rPr>
                <w:rFonts w:cs="Arial"/>
                <w:szCs w:val="20"/>
              </w:rPr>
            </w:pPr>
            <w:r w:rsidRPr="00FE64DB">
              <w:rPr>
                <w:rFonts w:cs="Arial"/>
                <w:szCs w:val="20"/>
              </w:rPr>
              <w:t>HVPE IV (GP) Limited</w:t>
            </w:r>
          </w:p>
          <w:p w:rsidRPr="00FE64DB" w:rsidR="00202D08" w:rsidP="00AD1E25" w:rsidRDefault="00202D08" w14:paraId="52AA284B" w14:textId="77777777">
            <w:pPr>
              <w:jc w:val="left"/>
              <w:rPr>
                <w:rFonts w:cs="Arial"/>
                <w:szCs w:val="20"/>
              </w:rPr>
            </w:pPr>
            <w:r w:rsidRPr="00FE64DB">
              <w:rPr>
                <w:rFonts w:cs="Arial"/>
                <w:szCs w:val="20"/>
              </w:rPr>
              <w:t>Next Energy Capital IM Limited</w:t>
            </w:r>
          </w:p>
          <w:p w:rsidR="00202D08" w:rsidP="00AD1E25" w:rsidRDefault="00202D08" w14:paraId="64D8A30E" w14:textId="77777777">
            <w:pPr>
              <w:jc w:val="left"/>
              <w:rPr>
                <w:rFonts w:cs="Arial"/>
                <w:szCs w:val="20"/>
              </w:rPr>
            </w:pPr>
            <w:r w:rsidRPr="003D738F">
              <w:rPr>
                <w:rFonts w:cs="Arial"/>
                <w:szCs w:val="20"/>
              </w:rPr>
              <w:t>Pershing Square Holdings Limited</w:t>
            </w:r>
            <w:r w:rsidRPr="00FE64DB">
              <w:rPr>
                <w:rFonts w:cs="Arial"/>
                <w:szCs w:val="20"/>
              </w:rPr>
              <w:t xml:space="preserve"> </w:t>
            </w:r>
          </w:p>
          <w:p w:rsidRPr="00DE5D68" w:rsidR="003D738F" w:rsidP="00AD1E25" w:rsidRDefault="00202D08" w14:paraId="4FBAE18C" w14:textId="65F439CF">
            <w:pPr>
              <w:jc w:val="left"/>
              <w:rPr>
                <w:rFonts w:cs="Arial"/>
                <w:szCs w:val="20"/>
              </w:rPr>
            </w:pPr>
            <w:r w:rsidRPr="00FE64DB">
              <w:rPr>
                <w:rFonts w:cs="Arial"/>
                <w:szCs w:val="20"/>
              </w:rPr>
              <w:t>Starwood European Real Estate Finance Limited</w:t>
            </w:r>
          </w:p>
        </w:tc>
        <w:tc>
          <w:tcPr>
            <w:tcW w:w="2956" w:type="dxa"/>
          </w:tcPr>
          <w:p w:rsidR="00AD1E25" w:rsidP="00AD1E25" w:rsidRDefault="00AD1E25" w14:paraId="423F495C" w14:textId="77777777">
            <w:pPr>
              <w:jc w:val="left"/>
              <w:rPr>
                <w:rFonts w:cs="Arial"/>
                <w:szCs w:val="20"/>
              </w:rPr>
            </w:pPr>
            <w:r w:rsidRPr="00FE64DB">
              <w:rPr>
                <w:rFonts w:cs="Arial"/>
                <w:szCs w:val="20"/>
              </w:rPr>
              <w:t>Butterfield Bank (Guernsey) Limited</w:t>
            </w:r>
          </w:p>
          <w:p w:rsidR="00AD1E25" w:rsidP="00AD1E25" w:rsidRDefault="003D738F" w14:paraId="7F316B73" w14:textId="368A6602">
            <w:pPr>
              <w:rPr>
                <w:rFonts w:cs="Arial"/>
                <w:szCs w:val="20"/>
              </w:rPr>
            </w:pPr>
            <w:r w:rsidRPr="003D738F">
              <w:rPr>
                <w:rFonts w:cs="Arial"/>
                <w:szCs w:val="20"/>
              </w:rPr>
              <w:t>PS Holdings Independent Voting Company Limited</w:t>
            </w:r>
          </w:p>
          <w:p w:rsidRPr="00DE5D68" w:rsidR="003D738F" w:rsidP="00AD1E25" w:rsidRDefault="003D738F" w14:paraId="4F6B8EB3" w14:textId="5812F58D">
            <w:pPr>
              <w:rPr>
                <w:rFonts w:cs="Arial"/>
                <w:bCs/>
                <w:szCs w:val="20"/>
              </w:rPr>
            </w:pPr>
            <w:r w:rsidRPr="003D738F">
              <w:rPr>
                <w:rFonts w:cs="Arial"/>
                <w:bCs/>
                <w:szCs w:val="20"/>
              </w:rPr>
              <w:t>River and Mercantile UK Micro Cap Investment Company Limited</w:t>
            </w:r>
          </w:p>
        </w:tc>
      </w:tr>
      <w:tr w:rsidRPr="00DE5D68" w:rsidR="0027111B" w:rsidTr="00935BBE" w14:paraId="56B653FF" w14:textId="77777777">
        <w:tc>
          <w:tcPr>
            <w:tcW w:w="2956" w:type="dxa"/>
          </w:tcPr>
          <w:p w:rsidR="0027111B" w:rsidP="001F4B13" w:rsidRDefault="00107014" w14:paraId="437C7B6B" w14:textId="0E2A8F7A">
            <w:pPr>
              <w:rPr>
                <w:rFonts w:cs="Arial"/>
              </w:rPr>
            </w:pPr>
            <w:r>
              <w:rPr>
                <w:rFonts w:cs="Arial"/>
              </w:rPr>
              <w:t>Helen Green</w:t>
            </w:r>
          </w:p>
        </w:tc>
        <w:tc>
          <w:tcPr>
            <w:tcW w:w="2956" w:type="dxa"/>
          </w:tcPr>
          <w:p w:rsidR="00000AF0" w:rsidP="00000AF0" w:rsidRDefault="00000AF0" w14:paraId="634BB086" w14:textId="77777777">
            <w:pPr>
              <w:jc w:val="left"/>
              <w:rPr>
                <w:rFonts w:cs="Arial"/>
              </w:rPr>
            </w:pPr>
            <w:proofErr w:type="spellStart"/>
            <w:r>
              <w:rPr>
                <w:rFonts w:cs="Arial"/>
              </w:rPr>
              <w:t>abrdn</w:t>
            </w:r>
            <w:proofErr w:type="spellEnd"/>
            <w:r>
              <w:rPr>
                <w:rFonts w:cs="Arial"/>
              </w:rPr>
              <w:t xml:space="preserve"> China Investment Company Limited</w:t>
            </w:r>
          </w:p>
          <w:p w:rsidR="00202D08" w:rsidP="001F4B13" w:rsidRDefault="00202D08" w14:paraId="225F4C83" w14:textId="658292DC">
            <w:pPr>
              <w:jc w:val="left"/>
              <w:rPr>
                <w:rFonts w:cs="Arial"/>
              </w:rPr>
            </w:pPr>
            <w:r>
              <w:rPr>
                <w:rFonts w:cs="Arial"/>
              </w:rPr>
              <w:t>Alpha Real Capital Limited</w:t>
            </w:r>
          </w:p>
          <w:p w:rsidR="00202D08" w:rsidP="001F4B13" w:rsidRDefault="00202D08" w14:paraId="5256357D" w14:textId="77777777">
            <w:pPr>
              <w:jc w:val="left"/>
              <w:rPr>
                <w:rFonts w:cs="Arial"/>
              </w:rPr>
            </w:pPr>
            <w:r>
              <w:rPr>
                <w:rFonts w:cs="Arial"/>
              </w:rPr>
              <w:t>Belfast GP Limited</w:t>
            </w:r>
          </w:p>
          <w:p w:rsidR="00202D08" w:rsidP="001F4B13" w:rsidRDefault="00202D08" w14:paraId="4B8443DD" w14:textId="77777777">
            <w:pPr>
              <w:jc w:val="left"/>
              <w:rPr>
                <w:rFonts w:cs="Arial"/>
              </w:rPr>
            </w:pPr>
            <w:r>
              <w:rPr>
                <w:rFonts w:cs="Arial"/>
              </w:rPr>
              <w:t>Chelsea Investment Corporation Limited</w:t>
            </w:r>
          </w:p>
          <w:p w:rsidR="00202D08" w:rsidP="001F4B13" w:rsidRDefault="00202D08" w14:paraId="4FF40971" w14:textId="77777777">
            <w:pPr>
              <w:jc w:val="left"/>
              <w:rPr>
                <w:rFonts w:cs="Arial"/>
              </w:rPr>
            </w:pPr>
            <w:r>
              <w:rPr>
                <w:rFonts w:cs="Arial"/>
              </w:rPr>
              <w:t>Corbiere Trust Company Limited</w:t>
            </w:r>
          </w:p>
          <w:p w:rsidR="00202D08" w:rsidP="001F4B13" w:rsidRDefault="00202D08" w14:paraId="68AC86BB" w14:textId="77777777">
            <w:pPr>
              <w:jc w:val="left"/>
              <w:rPr>
                <w:rFonts w:cs="Arial"/>
              </w:rPr>
            </w:pPr>
            <w:r>
              <w:rPr>
                <w:rFonts w:cs="Arial"/>
              </w:rPr>
              <w:t>Davos Trust Company Limited</w:t>
            </w:r>
          </w:p>
          <w:p w:rsidR="00202D08" w:rsidP="001F4B13" w:rsidRDefault="00202D08" w14:paraId="73985275" w14:textId="77777777">
            <w:pPr>
              <w:jc w:val="left"/>
              <w:rPr>
                <w:rFonts w:cs="Arial"/>
              </w:rPr>
            </w:pPr>
            <w:r>
              <w:rPr>
                <w:rFonts w:cs="Arial"/>
              </w:rPr>
              <w:lastRenderedPageBreak/>
              <w:t>Falstaff Investments Limited</w:t>
            </w:r>
          </w:p>
          <w:p w:rsidR="00202D08" w:rsidP="001F4B13" w:rsidRDefault="00202D08" w14:paraId="0FC6B9E9" w14:textId="77777777">
            <w:pPr>
              <w:jc w:val="left"/>
              <w:rPr>
                <w:rFonts w:cs="Arial"/>
              </w:rPr>
            </w:pPr>
            <w:r>
              <w:rPr>
                <w:rFonts w:cs="Arial"/>
              </w:rPr>
              <w:t>Goshawk Trust Company Limited</w:t>
            </w:r>
          </w:p>
          <w:p w:rsidR="00694E1E" w:rsidP="001F4B13" w:rsidRDefault="00694E1E" w14:paraId="54926546" w14:textId="5CB3D89D">
            <w:pPr>
              <w:jc w:val="left"/>
              <w:rPr>
                <w:rFonts w:cs="Arial"/>
              </w:rPr>
            </w:pPr>
            <w:r>
              <w:rPr>
                <w:rFonts w:cs="Arial"/>
              </w:rPr>
              <w:t>Hoddesdon GP Limited</w:t>
            </w:r>
          </w:p>
          <w:p w:rsidR="00202D08" w:rsidP="001F4B13" w:rsidRDefault="00202D08" w14:paraId="06EEC0E4" w14:textId="77777777">
            <w:pPr>
              <w:jc w:val="left"/>
              <w:rPr>
                <w:rFonts w:cs="Arial"/>
              </w:rPr>
            </w:pPr>
            <w:r>
              <w:rPr>
                <w:rFonts w:cs="Arial"/>
              </w:rPr>
              <w:t>Jameson Services (Jersey) Limited</w:t>
            </w:r>
          </w:p>
          <w:p w:rsidR="00694E1E" w:rsidP="00694E1E" w:rsidRDefault="00694E1E" w14:paraId="6FEC8100" w14:textId="77777777">
            <w:pPr>
              <w:jc w:val="left"/>
              <w:rPr>
                <w:rFonts w:cs="Arial"/>
              </w:rPr>
            </w:pPr>
            <w:r>
              <w:rPr>
                <w:rFonts w:cs="Arial"/>
              </w:rPr>
              <w:t>JPMorgan Global Core Real Assets Limited</w:t>
            </w:r>
          </w:p>
          <w:p w:rsidR="00202D08" w:rsidP="001F4B13" w:rsidRDefault="00202D08" w14:paraId="5932FBE2" w14:textId="5E94DB99">
            <w:pPr>
              <w:jc w:val="left"/>
              <w:rPr>
                <w:rFonts w:cs="Arial"/>
              </w:rPr>
            </w:pPr>
            <w:r>
              <w:rPr>
                <w:rFonts w:cs="Arial"/>
              </w:rPr>
              <w:t>Klosters Limited</w:t>
            </w:r>
          </w:p>
          <w:p w:rsidR="00694E1E" w:rsidP="00694E1E" w:rsidRDefault="00694E1E" w14:paraId="11537C58" w14:textId="77777777">
            <w:pPr>
              <w:jc w:val="left"/>
              <w:rPr>
                <w:rFonts w:cs="Arial"/>
              </w:rPr>
            </w:pPr>
            <w:proofErr w:type="spellStart"/>
            <w:r>
              <w:rPr>
                <w:rFonts w:cs="Arial"/>
              </w:rPr>
              <w:t>Landore</w:t>
            </w:r>
            <w:proofErr w:type="spellEnd"/>
            <w:r>
              <w:rPr>
                <w:rFonts w:cs="Arial"/>
              </w:rPr>
              <w:t xml:space="preserve"> Resources Limited</w:t>
            </w:r>
          </w:p>
          <w:p w:rsidR="00202D08" w:rsidP="001F4B13" w:rsidRDefault="00202D08" w14:paraId="1DD32D45" w14:textId="77777777">
            <w:pPr>
              <w:jc w:val="left"/>
              <w:rPr>
                <w:rFonts w:cs="Arial"/>
              </w:rPr>
            </w:pPr>
            <w:proofErr w:type="spellStart"/>
            <w:r>
              <w:rPr>
                <w:rFonts w:cs="Arial"/>
              </w:rPr>
              <w:t>Lewdown</w:t>
            </w:r>
            <w:proofErr w:type="spellEnd"/>
            <w:r>
              <w:rPr>
                <w:rFonts w:cs="Arial"/>
              </w:rPr>
              <w:t xml:space="preserve"> Holdings Limited</w:t>
            </w:r>
          </w:p>
          <w:p w:rsidR="00202D08" w:rsidP="001F4B13" w:rsidRDefault="00202D08" w14:paraId="062C29E2" w14:textId="77777777">
            <w:pPr>
              <w:jc w:val="left"/>
              <w:rPr>
                <w:rFonts w:cs="Arial"/>
              </w:rPr>
            </w:pPr>
            <w:r>
              <w:rPr>
                <w:rFonts w:cs="Arial"/>
              </w:rPr>
              <w:t>Lions Hill Limited</w:t>
            </w:r>
          </w:p>
          <w:p w:rsidR="00202D08" w:rsidP="001F4B13" w:rsidRDefault="00202D08" w14:paraId="4E346C3B" w14:textId="77777777">
            <w:pPr>
              <w:jc w:val="left"/>
              <w:rPr>
                <w:rFonts w:cs="Arial"/>
              </w:rPr>
            </w:pPr>
            <w:r>
              <w:rPr>
                <w:rFonts w:cs="Arial"/>
              </w:rPr>
              <w:t>Mica Enterprises Limited SA</w:t>
            </w:r>
          </w:p>
          <w:p w:rsidR="00202D08" w:rsidP="001F4B13" w:rsidRDefault="00202D08" w14:paraId="4BDC4D37" w14:textId="194B6D45">
            <w:pPr>
              <w:jc w:val="left"/>
              <w:rPr>
                <w:rFonts w:cs="Arial"/>
              </w:rPr>
            </w:pPr>
            <w:r>
              <w:rPr>
                <w:rFonts w:cs="Arial"/>
              </w:rPr>
              <w:t xml:space="preserve">Palmus Trust </w:t>
            </w:r>
            <w:r w:rsidR="00694E1E">
              <w:rPr>
                <w:rFonts w:cs="Arial"/>
              </w:rPr>
              <w:t>Company</w:t>
            </w:r>
            <w:r>
              <w:rPr>
                <w:rFonts w:cs="Arial"/>
              </w:rPr>
              <w:t xml:space="preserve"> Limited</w:t>
            </w:r>
          </w:p>
          <w:p w:rsidR="00202D08" w:rsidP="001F4B13" w:rsidRDefault="00202D08" w14:paraId="5A6965C1" w14:textId="77777777">
            <w:pPr>
              <w:jc w:val="left"/>
              <w:rPr>
                <w:rFonts w:cs="Arial"/>
              </w:rPr>
            </w:pPr>
            <w:proofErr w:type="spellStart"/>
            <w:r>
              <w:rPr>
                <w:rFonts w:cs="Arial"/>
              </w:rPr>
              <w:t>Poincaré</w:t>
            </w:r>
            <w:proofErr w:type="spellEnd"/>
            <w:r>
              <w:rPr>
                <w:rFonts w:cs="Arial"/>
              </w:rPr>
              <w:t xml:space="preserve"> Advisors Limited</w:t>
            </w:r>
          </w:p>
          <w:p w:rsidR="00202D08" w:rsidP="001F4B13" w:rsidRDefault="00202D08" w14:paraId="33E93499" w14:textId="77777777">
            <w:pPr>
              <w:jc w:val="left"/>
              <w:rPr>
                <w:rFonts w:cs="Arial"/>
              </w:rPr>
            </w:pPr>
            <w:proofErr w:type="spellStart"/>
            <w:r>
              <w:rPr>
                <w:rFonts w:cs="Arial"/>
              </w:rPr>
              <w:t>Queripel</w:t>
            </w:r>
            <w:proofErr w:type="spellEnd"/>
            <w:r>
              <w:rPr>
                <w:rFonts w:cs="Arial"/>
              </w:rPr>
              <w:t xml:space="preserve"> Partners GP IV Limited</w:t>
            </w:r>
          </w:p>
          <w:p w:rsidR="00202D08" w:rsidP="001F4B13" w:rsidRDefault="00202D08" w14:paraId="642B0CEE" w14:textId="77777777">
            <w:pPr>
              <w:jc w:val="left"/>
              <w:rPr>
                <w:rFonts w:cs="Arial"/>
              </w:rPr>
            </w:pPr>
            <w:proofErr w:type="spellStart"/>
            <w:r>
              <w:rPr>
                <w:rFonts w:cs="Arial"/>
              </w:rPr>
              <w:t>Rysaffe</w:t>
            </w:r>
            <w:proofErr w:type="spellEnd"/>
            <w:r>
              <w:rPr>
                <w:rFonts w:cs="Arial"/>
              </w:rPr>
              <w:t xml:space="preserve"> Director Limited</w:t>
            </w:r>
          </w:p>
          <w:p w:rsidR="00202D08" w:rsidP="001F4B13" w:rsidRDefault="00202D08" w14:paraId="38F0D87A" w14:textId="427E375E">
            <w:pPr>
              <w:jc w:val="left"/>
              <w:rPr>
                <w:rFonts w:cs="Arial"/>
              </w:rPr>
            </w:pPr>
            <w:proofErr w:type="spellStart"/>
            <w:r>
              <w:rPr>
                <w:rFonts w:cs="Arial"/>
              </w:rPr>
              <w:t>Rysaffe</w:t>
            </w:r>
            <w:proofErr w:type="spellEnd"/>
            <w:r>
              <w:rPr>
                <w:rFonts w:cs="Arial"/>
              </w:rPr>
              <w:t xml:space="preserve"> International Services Limited</w:t>
            </w:r>
          </w:p>
          <w:p w:rsidR="00202D08" w:rsidP="001F4B13" w:rsidRDefault="00202D08" w14:paraId="1F4A7DF4" w14:textId="77777777">
            <w:pPr>
              <w:jc w:val="left"/>
              <w:rPr>
                <w:rFonts w:cs="Arial"/>
              </w:rPr>
            </w:pPr>
            <w:proofErr w:type="spellStart"/>
            <w:r>
              <w:rPr>
                <w:rFonts w:cs="Arial"/>
              </w:rPr>
              <w:t>Rysaffe</w:t>
            </w:r>
            <w:proofErr w:type="spellEnd"/>
            <w:r>
              <w:rPr>
                <w:rFonts w:cs="Arial"/>
              </w:rPr>
              <w:t xml:space="preserve"> Nominees (C.I.) Limited</w:t>
            </w:r>
          </w:p>
          <w:p w:rsidR="00202D08" w:rsidP="001F4B13" w:rsidRDefault="00202D08" w14:paraId="2B2C5082" w14:textId="77777777">
            <w:pPr>
              <w:jc w:val="left"/>
              <w:rPr>
                <w:rFonts w:cs="Arial"/>
              </w:rPr>
            </w:pPr>
            <w:proofErr w:type="spellStart"/>
            <w:r>
              <w:rPr>
                <w:rFonts w:cs="Arial"/>
              </w:rPr>
              <w:t>Rysaffe</w:t>
            </w:r>
            <w:proofErr w:type="spellEnd"/>
            <w:r>
              <w:rPr>
                <w:rFonts w:cs="Arial"/>
              </w:rPr>
              <w:t xml:space="preserve"> North American Property PCC Limited</w:t>
            </w:r>
          </w:p>
          <w:p w:rsidR="00202D08" w:rsidP="001F4B13" w:rsidRDefault="00202D08" w14:paraId="7C9ADB99" w14:textId="5B6E73F9">
            <w:pPr>
              <w:jc w:val="left"/>
              <w:rPr>
                <w:rFonts w:cs="Arial"/>
              </w:rPr>
            </w:pPr>
            <w:proofErr w:type="spellStart"/>
            <w:r>
              <w:rPr>
                <w:rFonts w:cs="Arial"/>
              </w:rPr>
              <w:t>Rysaffe</w:t>
            </w:r>
            <w:proofErr w:type="spellEnd"/>
            <w:r>
              <w:rPr>
                <w:rFonts w:cs="Arial"/>
              </w:rPr>
              <w:t xml:space="preserve"> Trustee Company (C.I.) Limited</w:t>
            </w:r>
          </w:p>
          <w:p w:rsidR="00202D08" w:rsidP="001F4B13" w:rsidRDefault="00202D08" w14:paraId="3CC62AF8" w14:textId="43107760">
            <w:pPr>
              <w:jc w:val="left"/>
              <w:rPr>
                <w:rFonts w:cs="Arial"/>
              </w:rPr>
            </w:pPr>
            <w:r>
              <w:rPr>
                <w:rFonts w:cs="Arial"/>
              </w:rPr>
              <w:t>Saffery Holdings Limited</w:t>
            </w:r>
          </w:p>
          <w:p w:rsidR="00202D08" w:rsidP="001F4B13" w:rsidRDefault="00202D08" w14:paraId="362275BE" w14:textId="77777777">
            <w:pPr>
              <w:jc w:val="left"/>
              <w:rPr>
                <w:rFonts w:cs="Arial"/>
              </w:rPr>
            </w:pPr>
            <w:r>
              <w:rPr>
                <w:rFonts w:cs="Arial"/>
              </w:rPr>
              <w:t>Saffery Trust (Guernsey) Limited</w:t>
            </w:r>
          </w:p>
          <w:p w:rsidR="00202D08" w:rsidP="001F4B13" w:rsidRDefault="00202D08" w14:paraId="4FE52C58" w14:textId="77777777">
            <w:pPr>
              <w:jc w:val="left"/>
              <w:rPr>
                <w:rFonts w:cs="Arial"/>
              </w:rPr>
            </w:pPr>
            <w:r>
              <w:rPr>
                <w:rFonts w:cs="Arial"/>
              </w:rPr>
              <w:t>Saffery SARL</w:t>
            </w:r>
          </w:p>
          <w:p w:rsidR="00202D08" w:rsidP="001F4B13" w:rsidRDefault="00202D08" w14:paraId="69084A6B" w14:textId="77777777">
            <w:pPr>
              <w:jc w:val="left"/>
              <w:rPr>
                <w:rFonts w:cs="Arial"/>
              </w:rPr>
            </w:pPr>
            <w:r>
              <w:rPr>
                <w:rFonts w:cs="Arial"/>
              </w:rPr>
              <w:t>Saffery Champness Trust Corporation</w:t>
            </w:r>
          </w:p>
          <w:p w:rsidR="00202D08" w:rsidP="001F4B13" w:rsidRDefault="00202D08" w14:paraId="30553A55" w14:textId="77777777">
            <w:pPr>
              <w:jc w:val="left"/>
              <w:rPr>
                <w:rFonts w:cs="Arial"/>
              </w:rPr>
            </w:pPr>
            <w:r>
              <w:rPr>
                <w:rFonts w:cs="Arial"/>
              </w:rPr>
              <w:t xml:space="preserve">Saffery Director Limited </w:t>
            </w:r>
          </w:p>
          <w:p w:rsidR="00202D08" w:rsidP="001F4B13" w:rsidRDefault="00202D08" w14:paraId="68981B85" w14:textId="77777777">
            <w:pPr>
              <w:jc w:val="left"/>
              <w:rPr>
                <w:rFonts w:cs="Arial"/>
              </w:rPr>
            </w:pPr>
            <w:r>
              <w:rPr>
                <w:rFonts w:cs="Arial"/>
              </w:rPr>
              <w:t>Saffery Trustee Company (C.I.) Limited</w:t>
            </w:r>
          </w:p>
          <w:p w:rsidR="00202D08" w:rsidP="001F4B13" w:rsidRDefault="00202D08" w14:paraId="7079E204" w14:textId="77777777">
            <w:pPr>
              <w:jc w:val="left"/>
              <w:rPr>
                <w:rFonts w:cs="Arial"/>
              </w:rPr>
            </w:pPr>
            <w:proofErr w:type="spellStart"/>
            <w:r>
              <w:rPr>
                <w:rFonts w:cs="Arial"/>
              </w:rPr>
              <w:lastRenderedPageBreak/>
              <w:t>Sansiri</w:t>
            </w:r>
            <w:proofErr w:type="spellEnd"/>
            <w:r>
              <w:rPr>
                <w:rFonts w:cs="Arial"/>
              </w:rPr>
              <w:t xml:space="preserve"> Guernsey (2009) Limited</w:t>
            </w:r>
          </w:p>
          <w:p w:rsidR="00202D08" w:rsidP="001F4B13" w:rsidRDefault="00202D08" w14:paraId="3534FCF6" w14:textId="77777777">
            <w:pPr>
              <w:jc w:val="left"/>
              <w:rPr>
                <w:rFonts w:cs="Arial"/>
              </w:rPr>
            </w:pPr>
            <w:proofErr w:type="spellStart"/>
            <w:r>
              <w:rPr>
                <w:rFonts w:cs="Arial"/>
              </w:rPr>
              <w:t>Sansiri</w:t>
            </w:r>
            <w:proofErr w:type="spellEnd"/>
            <w:r>
              <w:rPr>
                <w:rFonts w:cs="Arial"/>
              </w:rPr>
              <w:t xml:space="preserve"> Guernsey (2015) Limited</w:t>
            </w:r>
          </w:p>
          <w:p w:rsidR="00202D08" w:rsidP="001F4B13" w:rsidRDefault="00202D08" w14:paraId="24F13510" w14:textId="77777777">
            <w:pPr>
              <w:jc w:val="left"/>
              <w:rPr>
                <w:rFonts w:cs="Arial"/>
              </w:rPr>
            </w:pPr>
            <w:r>
              <w:rPr>
                <w:rFonts w:cs="Arial"/>
              </w:rPr>
              <w:t>SGM Advisors (C.I.) Limited</w:t>
            </w:r>
          </w:p>
          <w:p w:rsidR="00202D08" w:rsidP="001F4B13" w:rsidRDefault="00202D08" w14:paraId="0A784B69" w14:textId="77777777">
            <w:pPr>
              <w:jc w:val="left"/>
              <w:rPr>
                <w:rFonts w:cs="Arial"/>
              </w:rPr>
            </w:pPr>
            <w:r>
              <w:rPr>
                <w:rFonts w:cs="Arial"/>
              </w:rPr>
              <w:t>The Finance Sector Non-Executive Director Forum LBG</w:t>
            </w:r>
          </w:p>
          <w:p w:rsidRPr="00044E36" w:rsidR="00202D08" w:rsidP="00523936" w:rsidRDefault="00202D08" w14:paraId="19977F0E" w14:textId="3E8E3CA2">
            <w:pPr>
              <w:jc w:val="left"/>
              <w:rPr>
                <w:rFonts w:cs="Arial"/>
              </w:rPr>
            </w:pPr>
            <w:r>
              <w:rPr>
                <w:rFonts w:cs="Arial"/>
              </w:rPr>
              <w:t>True North EREP (Guernsey) Limited</w:t>
            </w:r>
          </w:p>
        </w:tc>
        <w:tc>
          <w:tcPr>
            <w:tcW w:w="2956" w:type="dxa"/>
          </w:tcPr>
          <w:p w:rsidR="00523936" w:rsidP="00631F61" w:rsidRDefault="00523936" w14:paraId="11F91548" w14:textId="6D0651E7">
            <w:pPr>
              <w:jc w:val="left"/>
              <w:rPr>
                <w:rFonts w:cs="Arial"/>
              </w:rPr>
            </w:pPr>
            <w:bookmarkStart w:name="_Hlk190104971" w:id="256"/>
            <w:r>
              <w:rPr>
                <w:rFonts w:cs="Arial"/>
              </w:rPr>
              <w:lastRenderedPageBreak/>
              <w:t>Coles Holdings Limited</w:t>
            </w:r>
          </w:p>
          <w:p w:rsidR="00202D08" w:rsidP="001F4B13" w:rsidRDefault="00202D08" w14:paraId="5729F76B" w14:textId="24EA4D83">
            <w:pPr>
              <w:jc w:val="left"/>
              <w:rPr>
                <w:rFonts w:cs="Arial"/>
              </w:rPr>
            </w:pPr>
            <w:r>
              <w:rPr>
                <w:rFonts w:cs="Arial"/>
              </w:rPr>
              <w:t>CQS Natural Resources Growth and Income plc</w:t>
            </w:r>
          </w:p>
          <w:p w:rsidR="00523936" w:rsidP="001F4B13" w:rsidRDefault="00523936" w14:paraId="6603D5AA" w14:textId="77777777">
            <w:pPr>
              <w:jc w:val="left"/>
              <w:rPr>
                <w:rFonts w:cs="Arial"/>
              </w:rPr>
            </w:pPr>
            <w:r>
              <w:rPr>
                <w:rFonts w:cs="Arial"/>
              </w:rPr>
              <w:t>Hunter REIM Guernsey Limited</w:t>
            </w:r>
          </w:p>
          <w:p w:rsidR="00523936" w:rsidP="001F4B13" w:rsidRDefault="00523936" w14:paraId="32717365" w14:textId="77777777">
            <w:pPr>
              <w:jc w:val="left"/>
              <w:rPr>
                <w:rFonts w:cs="Arial"/>
              </w:rPr>
            </w:pPr>
            <w:r>
              <w:rPr>
                <w:rFonts w:cs="Arial"/>
              </w:rPr>
              <w:t xml:space="preserve">RESS II (GP) Limited </w:t>
            </w:r>
          </w:p>
          <w:p w:rsidR="00523936" w:rsidP="001F4B13" w:rsidRDefault="00523936" w14:paraId="1877FA03" w14:textId="3764D5F9">
            <w:pPr>
              <w:jc w:val="left"/>
              <w:rPr>
                <w:rFonts w:cs="Arial"/>
              </w:rPr>
            </w:pPr>
            <w:r>
              <w:rPr>
                <w:rFonts w:cs="Arial"/>
              </w:rPr>
              <w:t>Saffery Champness Fund Services Limited</w:t>
            </w:r>
          </w:p>
          <w:p w:rsidR="00523936" w:rsidP="001F4B13" w:rsidRDefault="00523936" w14:paraId="64425DE1" w14:textId="388E0F8D">
            <w:pPr>
              <w:jc w:val="left"/>
              <w:rPr>
                <w:rFonts w:cs="Arial"/>
              </w:rPr>
            </w:pPr>
            <w:r>
              <w:rPr>
                <w:rFonts w:cs="Arial"/>
              </w:rPr>
              <w:t xml:space="preserve">Saffery Champness GAT LLP </w:t>
            </w:r>
          </w:p>
          <w:p w:rsidRPr="00044E36" w:rsidR="0027111B" w:rsidP="001F4B13" w:rsidRDefault="00631F61" w14:paraId="63F204FD" w14:textId="63AFA463">
            <w:pPr>
              <w:jc w:val="left"/>
              <w:rPr>
                <w:rFonts w:cs="Arial"/>
                <w:bCs/>
              </w:rPr>
            </w:pPr>
            <w:r>
              <w:rPr>
                <w:rFonts w:cs="Arial"/>
              </w:rPr>
              <w:lastRenderedPageBreak/>
              <w:t>UK Mortgages Limited</w:t>
            </w:r>
            <w:bookmarkEnd w:id="256"/>
          </w:p>
        </w:tc>
      </w:tr>
      <w:tr w:rsidRPr="00DE5D68" w:rsidR="00107014" w:rsidTr="00935BBE" w14:paraId="43B2EFD6" w14:textId="77777777">
        <w:tc>
          <w:tcPr>
            <w:tcW w:w="2956" w:type="dxa"/>
          </w:tcPr>
          <w:p w:rsidR="00107014" w:rsidP="00107014" w:rsidRDefault="00107014" w14:paraId="65B8F551" w14:textId="70B6595F">
            <w:pPr>
              <w:rPr>
                <w:rFonts w:cs="Arial"/>
              </w:rPr>
            </w:pPr>
            <w:r>
              <w:rPr>
                <w:rFonts w:cs="Arial"/>
              </w:rPr>
              <w:lastRenderedPageBreak/>
              <w:t>Brett Miller</w:t>
            </w:r>
          </w:p>
        </w:tc>
        <w:tc>
          <w:tcPr>
            <w:tcW w:w="2956" w:type="dxa"/>
          </w:tcPr>
          <w:p w:rsidR="00107014" w:rsidP="00107014" w:rsidRDefault="00107014" w14:paraId="484B9110" w14:textId="77777777">
            <w:pPr>
              <w:jc w:val="left"/>
              <w:rPr>
                <w:rFonts w:cs="Arial"/>
              </w:rPr>
            </w:pPr>
            <w:r>
              <w:rPr>
                <w:rFonts w:cs="Arial"/>
              </w:rPr>
              <w:t>SLF Realisation Fund Limited</w:t>
            </w:r>
          </w:p>
          <w:p w:rsidR="00107014" w:rsidP="00107014" w:rsidRDefault="00107014" w14:paraId="4C6CFB0B" w14:textId="77777777">
            <w:pPr>
              <w:jc w:val="left"/>
              <w:rPr>
                <w:rFonts w:cs="Arial"/>
              </w:rPr>
            </w:pPr>
            <w:r>
              <w:rPr>
                <w:rFonts w:cs="Arial"/>
              </w:rPr>
              <w:t>Manchester and London Investment Trust plc</w:t>
            </w:r>
          </w:p>
          <w:p w:rsidR="00107014" w:rsidP="00107014" w:rsidRDefault="00107014" w14:paraId="1BBF51B5" w14:textId="1E5FB51F">
            <w:pPr>
              <w:jc w:val="left"/>
              <w:rPr>
                <w:rFonts w:cs="Arial"/>
              </w:rPr>
            </w:pPr>
            <w:r>
              <w:rPr>
                <w:rFonts w:cs="Arial"/>
              </w:rPr>
              <w:t xml:space="preserve">Ecofin U.S. Renewables Infrastructure </w:t>
            </w:r>
            <w:r w:rsidR="00C63FCB">
              <w:rPr>
                <w:rFonts w:cs="Arial"/>
              </w:rPr>
              <w:t xml:space="preserve">Trust </w:t>
            </w:r>
            <w:r>
              <w:rPr>
                <w:rFonts w:cs="Arial"/>
              </w:rPr>
              <w:t>plc</w:t>
            </w:r>
          </w:p>
          <w:p w:rsidR="00107014" w:rsidP="00107014" w:rsidRDefault="00107014" w14:paraId="554CBC4A" w14:textId="77777777">
            <w:pPr>
              <w:jc w:val="left"/>
              <w:rPr>
                <w:rFonts w:cs="Arial"/>
              </w:rPr>
            </w:pPr>
            <w:proofErr w:type="spellStart"/>
            <w:r>
              <w:rPr>
                <w:rFonts w:cs="Arial"/>
              </w:rPr>
              <w:t>Damille</w:t>
            </w:r>
            <w:proofErr w:type="spellEnd"/>
            <w:r>
              <w:rPr>
                <w:rFonts w:cs="Arial"/>
              </w:rPr>
              <w:t xml:space="preserve"> Partners Limited</w:t>
            </w:r>
          </w:p>
          <w:p w:rsidR="00107014" w:rsidP="00107014" w:rsidRDefault="00107014" w14:paraId="15AB7E9D" w14:textId="77777777">
            <w:pPr>
              <w:jc w:val="left"/>
              <w:rPr>
                <w:rFonts w:cs="Arial"/>
              </w:rPr>
            </w:pPr>
            <w:r>
              <w:rPr>
                <w:rFonts w:cs="Arial"/>
              </w:rPr>
              <w:t>Secured Income Fund plc</w:t>
            </w:r>
          </w:p>
          <w:p w:rsidR="00107014" w:rsidP="00107014" w:rsidRDefault="00107014" w14:paraId="34C472F7" w14:textId="77777777">
            <w:pPr>
              <w:jc w:val="left"/>
              <w:rPr>
                <w:rFonts w:cs="Arial"/>
              </w:rPr>
            </w:pPr>
            <w:r>
              <w:rPr>
                <w:rFonts w:cs="Arial"/>
              </w:rPr>
              <w:t>EIH plc</w:t>
            </w:r>
          </w:p>
          <w:p w:rsidR="00107014" w:rsidP="00107014" w:rsidRDefault="00107014" w14:paraId="6B23025E" w14:textId="77777777">
            <w:pPr>
              <w:jc w:val="left"/>
              <w:rPr>
                <w:rFonts w:cs="Arial"/>
              </w:rPr>
            </w:pPr>
            <w:r>
              <w:rPr>
                <w:rFonts w:cs="Arial"/>
              </w:rPr>
              <w:t>TR Industries Limited</w:t>
            </w:r>
          </w:p>
          <w:p w:rsidR="00107014" w:rsidP="00107014" w:rsidRDefault="00107014" w14:paraId="7D5B1306" w14:textId="77777777">
            <w:pPr>
              <w:jc w:val="left"/>
              <w:rPr>
                <w:rFonts w:cs="Arial"/>
              </w:rPr>
            </w:pPr>
            <w:r>
              <w:rPr>
                <w:rFonts w:cs="Arial"/>
              </w:rPr>
              <w:t>TR Capital IV General Partner Limited</w:t>
            </w:r>
          </w:p>
          <w:p w:rsidR="00107014" w:rsidP="00107014" w:rsidRDefault="00107014" w14:paraId="037AB9E6" w14:textId="77777777">
            <w:pPr>
              <w:jc w:val="left"/>
              <w:rPr>
                <w:rFonts w:cs="Arial"/>
              </w:rPr>
            </w:pPr>
            <w:r>
              <w:rPr>
                <w:rFonts w:cs="Arial"/>
              </w:rPr>
              <w:t>TR Capital V General Partner Limited</w:t>
            </w:r>
          </w:p>
          <w:p w:rsidR="00107014" w:rsidP="00107014" w:rsidRDefault="00107014" w14:paraId="03A811C0" w14:textId="1884E184">
            <w:pPr>
              <w:jc w:val="left"/>
              <w:rPr>
                <w:rFonts w:cs="Arial"/>
              </w:rPr>
            </w:pPr>
            <w:r>
              <w:rPr>
                <w:rFonts w:cs="Arial"/>
              </w:rPr>
              <w:t xml:space="preserve">TR Capital Management International Limited </w:t>
            </w:r>
          </w:p>
        </w:tc>
        <w:tc>
          <w:tcPr>
            <w:tcW w:w="2956" w:type="dxa"/>
          </w:tcPr>
          <w:p w:rsidR="00995AE9" w:rsidP="00107014" w:rsidRDefault="00995AE9" w14:paraId="7FEFBBFA" w14:textId="77777777">
            <w:pPr>
              <w:jc w:val="left"/>
              <w:rPr>
                <w:rFonts w:cs="Arial"/>
                <w:bCs/>
              </w:rPr>
            </w:pPr>
            <w:r>
              <w:rPr>
                <w:rFonts w:cs="Arial"/>
                <w:bCs/>
              </w:rPr>
              <w:t>HWSI Realisation Fund Limited</w:t>
            </w:r>
          </w:p>
          <w:p w:rsidR="00995AE9" w:rsidP="00107014" w:rsidRDefault="00995AE9" w14:paraId="46E861BC" w14:textId="77777777">
            <w:pPr>
              <w:jc w:val="left"/>
              <w:rPr>
                <w:rFonts w:cs="Arial"/>
                <w:bCs/>
              </w:rPr>
            </w:pPr>
            <w:r>
              <w:rPr>
                <w:rFonts w:cs="Arial"/>
                <w:bCs/>
              </w:rPr>
              <w:t>M&amp;L Capital Management Global Funds ICAV</w:t>
            </w:r>
          </w:p>
          <w:p w:rsidR="00995AE9" w:rsidP="00107014" w:rsidRDefault="00995AE9" w14:paraId="1F8B20EB" w14:textId="77777777">
            <w:pPr>
              <w:jc w:val="left"/>
              <w:rPr>
                <w:rFonts w:cs="Arial"/>
                <w:bCs/>
              </w:rPr>
            </w:pPr>
            <w:r>
              <w:rPr>
                <w:rFonts w:cs="Arial"/>
                <w:bCs/>
              </w:rPr>
              <w:t>TR Asia Value Fund Limited</w:t>
            </w:r>
          </w:p>
          <w:p w:rsidR="00995AE9" w:rsidP="00107014" w:rsidRDefault="00995AE9" w14:paraId="4A8AD2DE" w14:textId="77777777">
            <w:pPr>
              <w:jc w:val="left"/>
              <w:rPr>
                <w:rFonts w:cs="Arial"/>
                <w:bCs/>
              </w:rPr>
            </w:pPr>
            <w:r>
              <w:rPr>
                <w:rFonts w:cs="Arial"/>
                <w:bCs/>
              </w:rPr>
              <w:t>RDL Realisation plc</w:t>
            </w:r>
          </w:p>
          <w:p w:rsidR="00995AE9" w:rsidP="00107014" w:rsidRDefault="00995AE9" w14:paraId="61BDA6C0" w14:textId="18A417B3">
            <w:pPr>
              <w:jc w:val="left"/>
              <w:rPr>
                <w:rFonts w:cs="Arial"/>
                <w:bCs/>
              </w:rPr>
            </w:pPr>
            <w:r>
              <w:rPr>
                <w:rFonts w:cs="Arial"/>
                <w:bCs/>
              </w:rPr>
              <w:t>Digital 9 Infrastructure plc</w:t>
            </w:r>
          </w:p>
        </w:tc>
      </w:tr>
    </w:tbl>
    <w:p w:rsidRPr="00DE5D68" w:rsidR="00C2282C" w:rsidP="00C27D12" w:rsidRDefault="003D452E" w14:paraId="7F6D93E1" w14:textId="57D4E5DF">
      <w:pPr>
        <w:pStyle w:val="Heading2"/>
        <w:rPr>
          <w:rFonts w:cs="Arial"/>
        </w:rPr>
      </w:pPr>
      <w:r>
        <w:rPr>
          <w:rFonts w:cs="Arial"/>
        </w:rPr>
        <w:t>T</w:t>
      </w:r>
      <w:r w:rsidRPr="00DE5D68" w:rsidR="00C2282C">
        <w:rPr>
          <w:rFonts w:cs="Arial"/>
        </w:rPr>
        <w:t>he Directors in the five years before the date of this document:</w:t>
      </w:r>
    </w:p>
    <w:p w:rsidRPr="00DE5D68" w:rsidR="00C2282C" w:rsidP="00C27D12" w:rsidRDefault="00C2282C" w14:paraId="29CF26BC" w14:textId="77777777">
      <w:pPr>
        <w:pStyle w:val="Heading3"/>
        <w:rPr>
          <w:rFonts w:cs="Arial"/>
        </w:rPr>
      </w:pPr>
      <w:r w:rsidRPr="00DE5D68">
        <w:rPr>
          <w:rFonts w:cs="Arial"/>
        </w:rPr>
        <w:t>do not have any convictions in relation to fraudulent offences;</w:t>
      </w:r>
    </w:p>
    <w:p w:rsidRPr="00DE5D68" w:rsidR="00C2282C" w:rsidP="00C27D12" w:rsidRDefault="00F4219D" w14:paraId="0B0DC7DA" w14:textId="25BDE9B1">
      <w:pPr>
        <w:pStyle w:val="Heading3"/>
        <w:rPr>
          <w:rFonts w:cs="Arial"/>
        </w:rPr>
      </w:pPr>
      <w:r>
        <w:rPr>
          <w:rFonts w:cs="Arial"/>
        </w:rPr>
        <w:t xml:space="preserve">save as set out in paragraph </w:t>
      </w:r>
      <w:r w:rsidR="00A61A30">
        <w:rPr>
          <w:rFonts w:cs="Arial"/>
        </w:rPr>
        <w:fldChar w:fldCharType="begin"/>
      </w:r>
      <w:r w:rsidR="00A61A30">
        <w:rPr>
          <w:rFonts w:cs="Arial"/>
        </w:rPr>
        <w:instrText xml:space="preserve"> REF _Ref190159450 \r \h </w:instrText>
      </w:r>
      <w:r w:rsidR="00A61A30">
        <w:rPr>
          <w:rFonts w:cs="Arial"/>
        </w:rPr>
      </w:r>
      <w:r w:rsidR="00A61A30">
        <w:rPr>
          <w:rFonts w:cs="Arial"/>
        </w:rPr>
        <w:fldChar w:fldCharType="separate"/>
      </w:r>
      <w:r w:rsidR="00AE6553">
        <w:rPr>
          <w:rFonts w:cs="Arial"/>
        </w:rPr>
        <w:t>3.9</w:t>
      </w:r>
      <w:r w:rsidR="00A61A30">
        <w:rPr>
          <w:rFonts w:cs="Arial"/>
        </w:rPr>
        <w:fldChar w:fldCharType="end"/>
      </w:r>
      <w:r w:rsidR="00A61A30">
        <w:rPr>
          <w:rFonts w:cs="Arial"/>
        </w:rPr>
        <w:t xml:space="preserve"> </w:t>
      </w:r>
      <w:r>
        <w:rPr>
          <w:rFonts w:cs="Arial"/>
        </w:rPr>
        <w:t xml:space="preserve">below, </w:t>
      </w:r>
      <w:r w:rsidRPr="00DE5D68" w:rsidR="00C2282C">
        <w:rPr>
          <w:rFonts w:cs="Arial"/>
        </w:rPr>
        <w:t>have not been associated with any bankruptcies, receiverships</w:t>
      </w:r>
      <w:r w:rsidRPr="00DE5D68" w:rsidR="00DE2E1E">
        <w:rPr>
          <w:rFonts w:cs="Arial"/>
        </w:rPr>
        <w:t>,</w:t>
      </w:r>
      <w:r w:rsidRPr="00DE5D68" w:rsidR="00C2282C">
        <w:rPr>
          <w:rFonts w:cs="Arial"/>
        </w:rPr>
        <w:t xml:space="preserve"> liquidations</w:t>
      </w:r>
      <w:r w:rsidRPr="00DE5D68" w:rsidR="00DE2E1E">
        <w:rPr>
          <w:rFonts w:cs="Arial"/>
        </w:rPr>
        <w:t xml:space="preserve"> or administration</w:t>
      </w:r>
      <w:r w:rsidRPr="00DE5D68" w:rsidR="00C2282C">
        <w:rPr>
          <w:rFonts w:cs="Arial"/>
        </w:rPr>
        <w:t xml:space="preserve"> of any partnership or company through acting in the capacity as a member of the administrative, management or supervisory body or as a partner, founder or senior manager of such partnership or company; and</w:t>
      </w:r>
    </w:p>
    <w:p w:rsidRPr="00DE5D68" w:rsidR="00C2282C" w:rsidP="00C27D12" w:rsidRDefault="00C2282C" w14:paraId="2AB8A999" w14:textId="77777777">
      <w:pPr>
        <w:pStyle w:val="Heading3"/>
        <w:rPr>
          <w:rFonts w:cs="Arial"/>
        </w:rPr>
      </w:pPr>
      <w:r w:rsidRPr="00DE5D68">
        <w:rPr>
          <w:rFonts w:cs="Arial"/>
        </w:rPr>
        <w:t>do not have any official public incrimination and/or sanctions by statutory or regulatory authorities (including designated professional bodies) and have not been disqualified by a court from acting as a member of the administration, management or supervisory bodies of any issuer or from acting in the management or conduct of the affairs of any issuer.</w:t>
      </w:r>
    </w:p>
    <w:p w:rsidR="00F4219D" w:rsidP="00935BBE" w:rsidRDefault="00694E1E" w14:paraId="380375C4" w14:textId="10E4DE63">
      <w:pPr>
        <w:pStyle w:val="Heading2"/>
        <w:rPr>
          <w:rFonts w:cs="Arial"/>
        </w:rPr>
      </w:pPr>
      <w:bookmarkStart w:name="_Ref190159450" w:id="257"/>
      <w:bookmarkStart w:name="_Hlk190104902" w:id="258"/>
      <w:r>
        <w:rPr>
          <w:rFonts w:cs="Arial"/>
        </w:rPr>
        <w:t>Helen Green</w:t>
      </w:r>
      <w:r w:rsidR="00B00951">
        <w:rPr>
          <w:rFonts w:cs="Arial"/>
        </w:rPr>
        <w:t>: (</w:t>
      </w:r>
      <w:proofErr w:type="spellStart"/>
      <w:r w:rsidR="00B00951">
        <w:rPr>
          <w:rFonts w:cs="Arial"/>
        </w:rPr>
        <w:t>i</w:t>
      </w:r>
      <w:proofErr w:type="spellEnd"/>
      <w:r w:rsidR="00B00951">
        <w:rPr>
          <w:rFonts w:cs="Arial"/>
        </w:rPr>
        <w:t>)</w:t>
      </w:r>
      <w:r>
        <w:rPr>
          <w:rFonts w:cs="Arial"/>
        </w:rPr>
        <w:t xml:space="preserve"> is a director of </w:t>
      </w:r>
      <w:proofErr w:type="spellStart"/>
      <w:r w:rsidRPr="00694E1E">
        <w:rPr>
          <w:rFonts w:cs="Arial"/>
        </w:rPr>
        <w:t>abrdn</w:t>
      </w:r>
      <w:proofErr w:type="spellEnd"/>
      <w:r w:rsidRPr="00694E1E">
        <w:rPr>
          <w:rFonts w:cs="Arial"/>
        </w:rPr>
        <w:t xml:space="preserve"> China Investment Company Limited</w:t>
      </w:r>
      <w:r>
        <w:rPr>
          <w:rFonts w:cs="Arial"/>
        </w:rPr>
        <w:t xml:space="preserve">, which </w:t>
      </w:r>
      <w:r w:rsidR="00712377">
        <w:rPr>
          <w:rFonts w:cs="Arial"/>
        </w:rPr>
        <w:t xml:space="preserve">was </w:t>
      </w:r>
      <w:r>
        <w:rPr>
          <w:rFonts w:cs="Arial"/>
        </w:rPr>
        <w:t xml:space="preserve">placed into voluntary winding up pursuant to section 391(1)(b) of the Companies Law following the passing of a </w:t>
      </w:r>
      <w:r w:rsidR="00712377">
        <w:rPr>
          <w:rFonts w:cs="Arial"/>
        </w:rPr>
        <w:t xml:space="preserve">special resolution of its shareholders to do so </w:t>
      </w:r>
      <w:r>
        <w:rPr>
          <w:rFonts w:cs="Arial"/>
        </w:rPr>
        <w:t>on 13 March 2024</w:t>
      </w:r>
      <w:r w:rsidR="00B00951">
        <w:rPr>
          <w:rFonts w:cs="Arial"/>
        </w:rPr>
        <w:t>; (ii)</w:t>
      </w:r>
      <w:r w:rsidR="00712377">
        <w:rPr>
          <w:rFonts w:cs="Arial"/>
        </w:rPr>
        <w:t xml:space="preserve"> </w:t>
      </w:r>
      <w:r w:rsidR="00B00951">
        <w:rPr>
          <w:rFonts w:cs="Arial"/>
        </w:rPr>
        <w:t xml:space="preserve">was previously a director of UK Mortgages Limited, which went into voluntary winding up on 18 March 2022; and (iii) is </w:t>
      </w:r>
      <w:r w:rsidR="00712377">
        <w:rPr>
          <w:rFonts w:cs="Arial"/>
        </w:rPr>
        <w:t xml:space="preserve">a director of Lions Hill Limited, which </w:t>
      </w:r>
      <w:r w:rsidR="00B00951">
        <w:rPr>
          <w:rFonts w:cs="Arial"/>
        </w:rPr>
        <w:t>is in creditors</w:t>
      </w:r>
      <w:r w:rsidR="00523936">
        <w:rPr>
          <w:rFonts w:cs="Arial"/>
        </w:rPr>
        <w:t>'</w:t>
      </w:r>
      <w:r w:rsidR="00B00951">
        <w:rPr>
          <w:rFonts w:cs="Arial"/>
        </w:rPr>
        <w:t xml:space="preserve"> liquidation as of 15 January 2024</w:t>
      </w:r>
      <w:r w:rsidR="00712377">
        <w:rPr>
          <w:rFonts w:cs="Arial"/>
        </w:rPr>
        <w:t>.</w:t>
      </w:r>
      <w:r w:rsidR="00B00951">
        <w:rPr>
          <w:rFonts w:cs="Arial"/>
        </w:rPr>
        <w:t xml:space="preserve"> Brett Miller</w:t>
      </w:r>
      <w:r w:rsidR="00523936">
        <w:rPr>
          <w:rFonts w:cs="Arial"/>
        </w:rPr>
        <w:t xml:space="preserve"> was previously a director of RDL Realisation plc which is in members' voluntary liquidation</w:t>
      </w:r>
      <w:bookmarkEnd w:id="257"/>
      <w:r w:rsidR="00523936">
        <w:rPr>
          <w:rFonts w:cs="Arial"/>
        </w:rPr>
        <w:t xml:space="preserve"> </w:t>
      </w:r>
      <w:r w:rsidR="00273780">
        <w:rPr>
          <w:rFonts w:cs="Arial"/>
        </w:rPr>
        <w:t xml:space="preserve">as of </w:t>
      </w:r>
      <w:r w:rsidR="00523936">
        <w:rPr>
          <w:rFonts w:cs="Arial"/>
        </w:rPr>
        <w:t>15 January 2024</w:t>
      </w:r>
      <w:r w:rsidR="00273780">
        <w:rPr>
          <w:rFonts w:cs="Arial"/>
        </w:rPr>
        <w:t xml:space="preserve"> pursuant to a managed wind down approved by its members.  </w:t>
      </w:r>
    </w:p>
    <w:bookmarkEnd w:id="258"/>
    <w:p w:rsidRPr="00935BBE" w:rsidR="00D33C44" w:rsidP="00935BBE" w:rsidRDefault="00C2282C" w14:paraId="6B07948F" w14:textId="37A71191">
      <w:pPr>
        <w:pStyle w:val="Heading2"/>
        <w:rPr>
          <w:rFonts w:cs="Arial"/>
        </w:rPr>
      </w:pPr>
      <w:r w:rsidRPr="00DE5D68">
        <w:rPr>
          <w:rFonts w:cs="Arial"/>
        </w:rPr>
        <w:lastRenderedPageBreak/>
        <w:t xml:space="preserve">As at </w:t>
      </w:r>
      <w:r w:rsidRPr="00DE5D68" w:rsidR="00CA1F35">
        <w:rPr>
          <w:rFonts w:cs="Arial"/>
        </w:rPr>
        <w:t>the date of this document</w:t>
      </w:r>
      <w:r w:rsidRPr="00DE5D68" w:rsidR="00EA2CD9">
        <w:rPr>
          <w:rFonts w:cs="Arial"/>
        </w:rPr>
        <w:t xml:space="preserve"> </w:t>
      </w:r>
      <w:r w:rsidRPr="00DE5D68">
        <w:rPr>
          <w:rFonts w:cs="Arial"/>
        </w:rPr>
        <w:t>insofar as known to the Company, there are no parties known to have a notifiable interest under English</w:t>
      </w:r>
      <w:r w:rsidRPr="00DE5D68" w:rsidR="00530EA3">
        <w:rPr>
          <w:rFonts w:cs="Arial"/>
        </w:rPr>
        <w:t xml:space="preserve"> or </w:t>
      </w:r>
      <w:r w:rsidRPr="00DE5D68" w:rsidR="00DE3960">
        <w:rPr>
          <w:rFonts w:cs="Arial"/>
        </w:rPr>
        <w:t>Guernsey</w:t>
      </w:r>
      <w:r w:rsidRPr="00DE5D68">
        <w:rPr>
          <w:rFonts w:cs="Arial"/>
        </w:rPr>
        <w:t xml:space="preserve"> law in the Company</w:t>
      </w:r>
      <w:r w:rsidRPr="00DE5D68" w:rsidR="00A10967">
        <w:rPr>
          <w:rFonts w:cs="Arial"/>
        </w:rPr>
        <w:t>’</w:t>
      </w:r>
      <w:r w:rsidRPr="00DE5D68">
        <w:rPr>
          <w:rFonts w:cs="Arial"/>
        </w:rPr>
        <w:t>s capital or voting rights.</w:t>
      </w:r>
    </w:p>
    <w:p w:rsidRPr="00DE5D68" w:rsidR="00C2282C" w:rsidP="00C27D12" w:rsidRDefault="00C2282C" w14:paraId="3B235708" w14:textId="1F59B8D3">
      <w:pPr>
        <w:pStyle w:val="Heading2"/>
        <w:rPr>
          <w:rFonts w:cs="Arial"/>
        </w:rPr>
      </w:pPr>
      <w:r w:rsidRPr="00DE5D68">
        <w:rPr>
          <w:rFonts w:cs="Arial"/>
        </w:rPr>
        <w:t>All Shareholders have the same voting rights in respect of</w:t>
      </w:r>
      <w:r w:rsidR="00D06CEC">
        <w:rPr>
          <w:rFonts w:cs="Arial"/>
        </w:rPr>
        <w:t xml:space="preserve"> </w:t>
      </w:r>
      <w:r w:rsidR="00935BBE">
        <w:rPr>
          <w:rFonts w:cs="Arial"/>
        </w:rPr>
        <w:t xml:space="preserve">Ordinary </w:t>
      </w:r>
      <w:r w:rsidR="00D06CEC">
        <w:rPr>
          <w:rFonts w:cs="Arial"/>
        </w:rPr>
        <w:t>S</w:t>
      </w:r>
      <w:r w:rsidRPr="00DE5D68" w:rsidR="005F7E76">
        <w:rPr>
          <w:rFonts w:cs="Arial"/>
        </w:rPr>
        <w:t>hares of the same class in</w:t>
      </w:r>
      <w:r w:rsidRPr="00DE5D68">
        <w:rPr>
          <w:rFonts w:cs="Arial"/>
        </w:rPr>
        <w:t xml:space="preserve"> the share capital of the Company.</w:t>
      </w:r>
    </w:p>
    <w:p w:rsidRPr="00DE5D68" w:rsidR="00C2282C" w:rsidP="00C27D12" w:rsidRDefault="00C2282C" w14:paraId="55CE9BC1" w14:textId="501445A0">
      <w:pPr>
        <w:pStyle w:val="Heading2"/>
        <w:rPr>
          <w:rFonts w:cs="Arial"/>
        </w:rPr>
      </w:pPr>
      <w:r w:rsidRPr="00DE5D68">
        <w:rPr>
          <w:rFonts w:cs="Arial"/>
        </w:rPr>
        <w:t xml:space="preserve">Pending the </w:t>
      </w:r>
      <w:r w:rsidRPr="00DE5D68" w:rsidR="009B2499">
        <w:rPr>
          <w:rFonts w:cs="Arial"/>
        </w:rPr>
        <w:t xml:space="preserve">issue </w:t>
      </w:r>
      <w:r w:rsidRPr="00DE5D68">
        <w:rPr>
          <w:rFonts w:cs="Arial"/>
        </w:rPr>
        <w:t xml:space="preserve">of </w:t>
      </w:r>
      <w:r w:rsidRPr="00DE5D68" w:rsidR="003016E6">
        <w:rPr>
          <w:rFonts w:cs="Arial"/>
        </w:rPr>
        <w:t xml:space="preserve">Ordinary </w:t>
      </w:r>
      <w:r w:rsidRPr="00DE5D68">
        <w:rPr>
          <w:rFonts w:cs="Arial"/>
        </w:rPr>
        <w:t>Shares pursuant to the</w:t>
      </w:r>
      <w:r w:rsidRPr="00DE5D68" w:rsidR="00DE3960">
        <w:rPr>
          <w:rFonts w:cs="Arial"/>
        </w:rPr>
        <w:t xml:space="preserve"> </w:t>
      </w:r>
      <w:r w:rsidR="00E64580">
        <w:rPr>
          <w:rFonts w:cs="Arial"/>
        </w:rPr>
        <w:t>Initial Placing</w:t>
      </w:r>
      <w:r w:rsidRPr="00DE5D68">
        <w:rPr>
          <w:rFonts w:cs="Arial"/>
        </w:rPr>
        <w:t xml:space="preserve">, the Company is controlled by </w:t>
      </w:r>
      <w:r w:rsidR="00044E36">
        <w:rPr>
          <w:rFonts w:cs="Arial"/>
        </w:rPr>
        <w:t xml:space="preserve">Harwood Capital </w:t>
      </w:r>
      <w:r w:rsidR="005B78A8">
        <w:rPr>
          <w:rFonts w:cs="Arial"/>
        </w:rPr>
        <w:t>Management (Gibraltar) Limited</w:t>
      </w:r>
      <w:r w:rsidRPr="00DE5D68" w:rsidR="004B2B0E">
        <w:rPr>
          <w:rFonts w:cs="Arial"/>
        </w:rPr>
        <w:t>,</w:t>
      </w:r>
      <w:r w:rsidRPr="00DE5D68">
        <w:rPr>
          <w:rFonts w:cs="Arial"/>
        </w:rPr>
        <w:t xml:space="preserve"> as described in paragraph</w:t>
      </w:r>
      <w:r w:rsidR="00991583">
        <w:rPr>
          <w:rFonts w:cs="Arial"/>
        </w:rPr>
        <w:t xml:space="preserve"> </w:t>
      </w:r>
      <w:r w:rsidR="00033076">
        <w:rPr>
          <w:rFonts w:cs="Arial"/>
        </w:rPr>
        <w:fldChar w:fldCharType="begin" w:fldLock="1"/>
      </w:r>
      <w:r w:rsidR="00033076">
        <w:rPr>
          <w:rFonts w:cs="Arial"/>
        </w:rPr>
        <w:instrText xml:space="preserve"> REF _Ref65782775 \r \h </w:instrText>
      </w:r>
      <w:r w:rsidR="00033076">
        <w:rPr>
          <w:rFonts w:cs="Arial"/>
        </w:rPr>
      </w:r>
      <w:r w:rsidR="00033076">
        <w:rPr>
          <w:rFonts w:cs="Arial"/>
        </w:rPr>
        <w:fldChar w:fldCharType="separate"/>
      </w:r>
      <w:r w:rsidR="00DA4048">
        <w:rPr>
          <w:rFonts w:cs="Arial"/>
        </w:rPr>
        <w:t>2.2</w:t>
      </w:r>
      <w:r w:rsidR="00033076">
        <w:rPr>
          <w:rFonts w:cs="Arial"/>
        </w:rPr>
        <w:fldChar w:fldCharType="end"/>
      </w:r>
      <w:r w:rsidR="0029109F">
        <w:rPr>
          <w:rFonts w:cs="Arial"/>
        </w:rPr>
        <w:t xml:space="preserve"> </w:t>
      </w:r>
      <w:r w:rsidRPr="00DE5D68">
        <w:rPr>
          <w:rFonts w:cs="Arial"/>
        </w:rPr>
        <w:t xml:space="preserve">of this </w:t>
      </w:r>
      <w:r w:rsidR="00577D1F">
        <w:rPr>
          <w:rFonts w:cs="Arial"/>
        </w:rPr>
        <w:fldChar w:fldCharType="begin" w:fldLock="1"/>
      </w:r>
      <w:r w:rsidR="00577D1F">
        <w:rPr>
          <w:rFonts w:cs="Arial"/>
        </w:rPr>
        <w:instrText xml:space="preserve"> REF _Ref65762141 \r \h </w:instrText>
      </w:r>
      <w:r w:rsidR="00577D1F">
        <w:rPr>
          <w:rFonts w:cs="Arial"/>
        </w:rPr>
      </w:r>
      <w:r w:rsidR="00577D1F">
        <w:rPr>
          <w:rFonts w:cs="Arial"/>
        </w:rPr>
        <w:fldChar w:fldCharType="separate"/>
      </w:r>
      <w:r w:rsidR="00DA4048">
        <w:rPr>
          <w:rFonts w:cs="Arial"/>
        </w:rPr>
        <w:t>Part 6</w:t>
      </w:r>
      <w:r w:rsidR="00577D1F">
        <w:rPr>
          <w:rFonts w:cs="Arial"/>
        </w:rPr>
        <w:fldChar w:fldCharType="end"/>
      </w:r>
      <w:r w:rsidRPr="00DE5D68" w:rsidR="005D33A8">
        <w:rPr>
          <w:rFonts w:cs="Arial"/>
        </w:rPr>
        <w:t xml:space="preserve">. </w:t>
      </w:r>
      <w:r w:rsidRPr="00DE5D68" w:rsidR="00C75FF9">
        <w:rPr>
          <w:rFonts w:cs="Arial"/>
        </w:rPr>
        <w:t xml:space="preserve">Save as disclosed in </w:t>
      </w:r>
      <w:r w:rsidR="0029109F">
        <w:rPr>
          <w:rFonts w:cs="Arial"/>
        </w:rPr>
        <w:t xml:space="preserve">this </w:t>
      </w:r>
      <w:r w:rsidR="00991583">
        <w:rPr>
          <w:rFonts w:cs="Arial"/>
        </w:rPr>
        <w:fldChar w:fldCharType="begin" w:fldLock="1"/>
      </w:r>
      <w:r w:rsidR="00991583">
        <w:rPr>
          <w:rFonts w:cs="Arial"/>
        </w:rPr>
        <w:instrText xml:space="preserve"> REF _Ref65762141 \r \h </w:instrText>
      </w:r>
      <w:r w:rsidR="00991583">
        <w:rPr>
          <w:rFonts w:cs="Arial"/>
        </w:rPr>
      </w:r>
      <w:r w:rsidR="00991583">
        <w:rPr>
          <w:rFonts w:cs="Arial"/>
        </w:rPr>
        <w:fldChar w:fldCharType="separate"/>
      </w:r>
      <w:r w:rsidR="00DA4048">
        <w:rPr>
          <w:rFonts w:cs="Arial"/>
        </w:rPr>
        <w:t>Part 6</w:t>
      </w:r>
      <w:r w:rsidR="00991583">
        <w:rPr>
          <w:rFonts w:cs="Arial"/>
        </w:rPr>
        <w:fldChar w:fldCharType="end"/>
      </w:r>
      <w:r w:rsidRPr="00DE5D68" w:rsidR="00C75FF9">
        <w:rPr>
          <w:rFonts w:cs="Arial"/>
        </w:rPr>
        <w:t>, t</w:t>
      </w:r>
      <w:r w:rsidRPr="00DE5D68">
        <w:rPr>
          <w:rFonts w:cs="Arial"/>
        </w:rPr>
        <w:t>he Company and the Directors are not aware of any other person who, directly or indirectly, jointly or severally, exercises or could exercise control over the Company.</w:t>
      </w:r>
      <w:r w:rsidRPr="00DE5D68" w:rsidR="00DE3960">
        <w:rPr>
          <w:rFonts w:cs="Arial"/>
        </w:rPr>
        <w:t xml:space="preserve"> </w:t>
      </w:r>
      <w:r w:rsidRPr="00DE5D68" w:rsidR="0085006E">
        <w:rPr>
          <w:rFonts w:cs="Arial"/>
        </w:rPr>
        <w:t xml:space="preserve"> </w:t>
      </w:r>
    </w:p>
    <w:p w:rsidRPr="00DE5D68" w:rsidR="00C2282C" w:rsidP="00C27D12" w:rsidRDefault="006370FF" w14:paraId="723A30BF" w14:textId="34BFF633">
      <w:pPr>
        <w:pStyle w:val="Heading2"/>
        <w:rPr>
          <w:rFonts w:cs="Arial"/>
        </w:rPr>
      </w:pPr>
      <w:r w:rsidRPr="00DE5D68">
        <w:rPr>
          <w:rFonts w:cs="Arial"/>
        </w:rPr>
        <w:t>Save as disclosed in</w:t>
      </w:r>
      <w:r w:rsidR="0029109F">
        <w:rPr>
          <w:rFonts w:cs="Arial"/>
        </w:rPr>
        <w:t xml:space="preserve"> this</w:t>
      </w:r>
      <w:r w:rsidRPr="00DE5D68">
        <w:rPr>
          <w:rFonts w:cs="Arial"/>
        </w:rPr>
        <w:t xml:space="preserve"> </w:t>
      </w:r>
      <w:r w:rsidR="00991583">
        <w:rPr>
          <w:rFonts w:cs="Arial"/>
        </w:rPr>
        <w:fldChar w:fldCharType="begin" w:fldLock="1"/>
      </w:r>
      <w:r w:rsidR="00991583">
        <w:rPr>
          <w:rFonts w:cs="Arial"/>
        </w:rPr>
        <w:instrText xml:space="preserve"> REF _Ref65762141 \r \h </w:instrText>
      </w:r>
      <w:r w:rsidR="00991583">
        <w:rPr>
          <w:rFonts w:cs="Arial"/>
        </w:rPr>
      </w:r>
      <w:r w:rsidR="00991583">
        <w:rPr>
          <w:rFonts w:cs="Arial"/>
        </w:rPr>
        <w:fldChar w:fldCharType="separate"/>
      </w:r>
      <w:r w:rsidR="00DA4048">
        <w:rPr>
          <w:rFonts w:cs="Arial"/>
        </w:rPr>
        <w:t>Part 6</w:t>
      </w:r>
      <w:r w:rsidR="00991583">
        <w:rPr>
          <w:rFonts w:cs="Arial"/>
        </w:rPr>
        <w:fldChar w:fldCharType="end"/>
      </w:r>
      <w:r w:rsidRPr="00DE5D68">
        <w:rPr>
          <w:rFonts w:cs="Arial"/>
        </w:rPr>
        <w:t>, t</w:t>
      </w:r>
      <w:r w:rsidRPr="00DE5D68" w:rsidR="00C2282C">
        <w:rPr>
          <w:rFonts w:cs="Arial"/>
        </w:rPr>
        <w:t>he Company and the Directors are not aware of any arrangements, the operation of which may at a subsequent date result in a change in control of the Company.</w:t>
      </w:r>
    </w:p>
    <w:p w:rsidRPr="00DE5D68" w:rsidR="00C2282C" w:rsidP="00C27D12" w:rsidRDefault="00C2282C" w14:paraId="3D6D1655" w14:textId="66F041B7">
      <w:pPr>
        <w:pStyle w:val="Heading2"/>
        <w:rPr>
          <w:rFonts w:cs="Arial"/>
        </w:rPr>
      </w:pPr>
      <w:r w:rsidRPr="00DE5D68">
        <w:rPr>
          <w:rFonts w:cs="Arial"/>
        </w:rPr>
        <w:t xml:space="preserve">Save for the entry into of the </w:t>
      </w:r>
      <w:r w:rsidRPr="00DE5D68" w:rsidR="005D4040">
        <w:rPr>
          <w:rFonts w:cs="Arial"/>
        </w:rPr>
        <w:t>Directors</w:t>
      </w:r>
      <w:r w:rsidR="00A10F64">
        <w:rPr>
          <w:rFonts w:cs="Arial"/>
        </w:rPr>
        <w:t>'</w:t>
      </w:r>
      <w:r w:rsidRPr="00DE5D68" w:rsidR="005D4040">
        <w:rPr>
          <w:rFonts w:cs="Arial"/>
        </w:rPr>
        <w:t xml:space="preserve"> appointment letters</w:t>
      </w:r>
      <w:r w:rsidR="002B4311">
        <w:rPr>
          <w:rFonts w:cs="Arial"/>
        </w:rPr>
        <w:t xml:space="preserve"> and</w:t>
      </w:r>
      <w:r w:rsidR="0029109F">
        <w:rPr>
          <w:rFonts w:cs="Arial"/>
        </w:rPr>
        <w:t xml:space="preserve"> </w:t>
      </w:r>
      <w:r w:rsidRPr="00DE5D68" w:rsidR="00946C83">
        <w:rPr>
          <w:rFonts w:cs="Arial"/>
        </w:rPr>
        <w:t xml:space="preserve">the </w:t>
      </w:r>
      <w:r w:rsidRPr="00DE5D68" w:rsidR="00CD6A69">
        <w:rPr>
          <w:rFonts w:cs="Arial"/>
        </w:rPr>
        <w:t>Investment Management</w:t>
      </w:r>
      <w:r w:rsidRPr="00DE5D68" w:rsidR="00DE3960">
        <w:rPr>
          <w:rFonts w:cs="Arial"/>
        </w:rPr>
        <w:t xml:space="preserve"> Agreement,</w:t>
      </w:r>
      <w:r w:rsidRPr="00DE5D68">
        <w:rPr>
          <w:rFonts w:cs="Arial"/>
        </w:rPr>
        <w:t xml:space="preserve"> the Company has not entered into any related party transaction at any time during the period from incorporation to </w:t>
      </w:r>
      <w:r w:rsidR="007A1FC2">
        <w:rPr>
          <w:rFonts w:cs="Arial"/>
        </w:rPr>
        <w:t>1</w:t>
      </w:r>
      <w:r w:rsidR="00C615BB">
        <w:rPr>
          <w:rFonts w:cs="Arial"/>
        </w:rPr>
        <w:t>9</w:t>
      </w:r>
      <w:r w:rsidR="00A10F64">
        <w:rPr>
          <w:rFonts w:cs="Arial"/>
        </w:rPr>
        <w:t xml:space="preserve"> February</w:t>
      </w:r>
      <w:r w:rsidRPr="00DE5D68" w:rsidR="00392E59">
        <w:rPr>
          <w:rFonts w:cs="Arial"/>
        </w:rPr>
        <w:t xml:space="preserve"> </w:t>
      </w:r>
      <w:r w:rsidRPr="00DE5D68" w:rsidR="00186941">
        <w:rPr>
          <w:rFonts w:cs="Arial"/>
        </w:rPr>
        <w:t>20</w:t>
      </w:r>
      <w:r w:rsidR="002B4311">
        <w:rPr>
          <w:rFonts w:cs="Arial"/>
        </w:rPr>
        <w:t>2</w:t>
      </w:r>
      <w:r w:rsidR="00044E36">
        <w:rPr>
          <w:rFonts w:cs="Arial"/>
        </w:rPr>
        <w:t>5</w:t>
      </w:r>
      <w:r w:rsidRPr="00DE5D68">
        <w:rPr>
          <w:rFonts w:cs="Arial"/>
        </w:rPr>
        <w:t xml:space="preserve"> </w:t>
      </w:r>
      <w:r w:rsidRPr="00DE5D68" w:rsidR="00EA2CD9">
        <w:rPr>
          <w:rFonts w:cs="Arial"/>
        </w:rPr>
        <w:t>(</w:t>
      </w:r>
      <w:r w:rsidR="0029109F">
        <w:rPr>
          <w:rFonts w:cs="Arial"/>
        </w:rPr>
        <w:t xml:space="preserve">being </w:t>
      </w:r>
      <w:r w:rsidRPr="00DE5D68" w:rsidR="00EA2CD9">
        <w:rPr>
          <w:rFonts w:cs="Arial"/>
        </w:rPr>
        <w:t>the latest practicable date prior to the publication of this document)</w:t>
      </w:r>
      <w:r w:rsidRPr="00DE5D68">
        <w:rPr>
          <w:rFonts w:cs="Arial"/>
        </w:rPr>
        <w:t>.</w:t>
      </w:r>
      <w:r w:rsidRPr="00DE5D68" w:rsidR="006E2A76">
        <w:rPr>
          <w:rFonts w:cs="Arial"/>
        </w:rPr>
        <w:t xml:space="preserve"> </w:t>
      </w:r>
    </w:p>
    <w:p w:rsidRPr="00DE5D68" w:rsidR="00FA50DF" w:rsidP="00C27D12" w:rsidRDefault="00107014" w14:paraId="1CFE99F7" w14:textId="2715D0A9">
      <w:pPr>
        <w:pStyle w:val="Heading2"/>
        <w:rPr>
          <w:rFonts w:cs="Arial"/>
        </w:rPr>
      </w:pPr>
      <w:r>
        <w:rPr>
          <w:rFonts w:cs="Arial"/>
        </w:rPr>
        <w:t>N</w:t>
      </w:r>
      <w:r w:rsidRPr="00DE5D68" w:rsidR="00FA50DF">
        <w:rPr>
          <w:rFonts w:cs="Arial"/>
        </w:rPr>
        <w:t>one of the Directors ha</w:t>
      </w:r>
      <w:r w:rsidRPr="00DE5D68" w:rsidR="00422354">
        <w:rPr>
          <w:rFonts w:cs="Arial"/>
        </w:rPr>
        <w:t>s</w:t>
      </w:r>
      <w:r w:rsidRPr="00DE5D68" w:rsidR="00FA50DF">
        <w:rPr>
          <w:rFonts w:cs="Arial"/>
        </w:rPr>
        <w:t xml:space="preserve"> any conflict of interest or potential conflict of interest between any duties to the Company and their private interests and/or other duties.</w:t>
      </w:r>
      <w:r w:rsidRPr="00DE5D68" w:rsidR="009B43E1">
        <w:rPr>
          <w:rFonts w:cs="Arial"/>
        </w:rPr>
        <w:t xml:space="preserve"> </w:t>
      </w:r>
    </w:p>
    <w:p w:rsidRPr="00DE5D68" w:rsidR="00FA50DF" w:rsidP="00C27D12" w:rsidRDefault="00FA50DF" w14:paraId="6E655F76" w14:textId="0C91C99B">
      <w:pPr>
        <w:pStyle w:val="Heading2"/>
        <w:rPr>
          <w:rFonts w:cs="Arial"/>
        </w:rPr>
      </w:pPr>
      <w:r w:rsidRPr="00DE5D68">
        <w:rPr>
          <w:rFonts w:cs="Arial"/>
        </w:rPr>
        <w:t xml:space="preserve">The Company intends to maintain </w:t>
      </w:r>
      <w:r w:rsidRPr="00DE5D68" w:rsidR="000C0D70">
        <w:rPr>
          <w:rFonts w:cs="Arial"/>
        </w:rPr>
        <w:t>Directors</w:t>
      </w:r>
      <w:r w:rsidRPr="00DE5D68" w:rsidR="00A10967">
        <w:rPr>
          <w:rFonts w:cs="Arial"/>
        </w:rPr>
        <w:t>’</w:t>
      </w:r>
      <w:r w:rsidRPr="00DE5D68">
        <w:rPr>
          <w:rFonts w:cs="Arial"/>
        </w:rPr>
        <w:t xml:space="preserve"> and officers</w:t>
      </w:r>
      <w:r w:rsidRPr="00DE5D68" w:rsidR="00A10967">
        <w:rPr>
          <w:rFonts w:cs="Arial"/>
        </w:rPr>
        <w:t>’</w:t>
      </w:r>
      <w:r w:rsidRPr="00DE5D68">
        <w:rPr>
          <w:rFonts w:cs="Arial"/>
        </w:rPr>
        <w:t xml:space="preserve"> liability insurance on behalf of the Directors at the expense of the Company.</w:t>
      </w:r>
    </w:p>
    <w:p w:rsidRPr="00DE5D68" w:rsidR="002A3F89" w:rsidP="00C27D12" w:rsidRDefault="008C22EF" w14:paraId="420C1DB0" w14:textId="0AF2BB10">
      <w:pPr>
        <w:pStyle w:val="Heading1"/>
        <w:rPr>
          <w:rFonts w:cs="Arial"/>
          <w:caps w:val="0"/>
        </w:rPr>
      </w:pPr>
      <w:bookmarkStart w:name="_Ref65762345" w:id="259"/>
      <w:r w:rsidRPr="00DE5D68">
        <w:rPr>
          <w:rFonts w:cs="Arial"/>
          <w:caps w:val="0"/>
        </w:rPr>
        <w:t>THE ARTICLES</w:t>
      </w:r>
      <w:bookmarkEnd w:id="259"/>
    </w:p>
    <w:p w:rsidRPr="00DE5D68" w:rsidR="0004233E" w:rsidP="00C27D12" w:rsidRDefault="005611E3" w14:paraId="65DBD176" w14:textId="779501AD">
      <w:pPr>
        <w:ind w:left="709"/>
        <w:rPr>
          <w:rFonts w:cs="Arial"/>
        </w:rPr>
      </w:pPr>
      <w:r w:rsidRPr="00DE5D68">
        <w:rPr>
          <w:rFonts w:cs="Arial"/>
        </w:rPr>
        <w:t>Under the Memorandum, the object</w:t>
      </w:r>
      <w:r w:rsidR="00D06CEC">
        <w:rPr>
          <w:rFonts w:cs="Arial"/>
        </w:rPr>
        <w:t>s</w:t>
      </w:r>
      <w:r w:rsidRPr="00DE5D68">
        <w:rPr>
          <w:rFonts w:cs="Arial"/>
        </w:rPr>
        <w:t xml:space="preserve"> of the Company are unrestricted. The Memorandum is available for inspection at the addresses specified in paragraph </w:t>
      </w:r>
      <w:r w:rsidR="00577D1F">
        <w:rPr>
          <w:rFonts w:cs="Arial"/>
        </w:rPr>
        <w:fldChar w:fldCharType="begin" w:fldLock="1"/>
      </w:r>
      <w:r w:rsidR="00577D1F">
        <w:rPr>
          <w:rFonts w:cs="Arial"/>
        </w:rPr>
        <w:instrText xml:space="preserve"> REF _Ref65763060 \r \h </w:instrText>
      </w:r>
      <w:r w:rsidR="00577D1F">
        <w:rPr>
          <w:rFonts w:cs="Arial"/>
        </w:rPr>
      </w:r>
      <w:r w:rsidR="00577D1F">
        <w:rPr>
          <w:rFonts w:cs="Arial"/>
        </w:rPr>
        <w:fldChar w:fldCharType="separate"/>
      </w:r>
      <w:r w:rsidR="00DA4048">
        <w:rPr>
          <w:rFonts w:cs="Arial"/>
        </w:rPr>
        <w:t>1.2</w:t>
      </w:r>
      <w:r w:rsidR="00577D1F">
        <w:rPr>
          <w:rFonts w:cs="Arial"/>
        </w:rPr>
        <w:fldChar w:fldCharType="end"/>
      </w:r>
      <w:r w:rsidRPr="00DE5D68">
        <w:rPr>
          <w:rFonts w:cs="Arial"/>
        </w:rPr>
        <w:t xml:space="preserve"> of this </w:t>
      </w:r>
      <w:r w:rsidR="00577D1F">
        <w:rPr>
          <w:rFonts w:cs="Arial"/>
        </w:rPr>
        <w:fldChar w:fldCharType="begin" w:fldLock="1"/>
      </w:r>
      <w:r w:rsidR="00577D1F">
        <w:rPr>
          <w:rFonts w:cs="Arial"/>
        </w:rPr>
        <w:instrText xml:space="preserve"> REF _Ref65762141 \r \h </w:instrText>
      </w:r>
      <w:r w:rsidR="00577D1F">
        <w:rPr>
          <w:rFonts w:cs="Arial"/>
        </w:rPr>
      </w:r>
      <w:r w:rsidR="00577D1F">
        <w:rPr>
          <w:rFonts w:cs="Arial"/>
        </w:rPr>
        <w:fldChar w:fldCharType="separate"/>
      </w:r>
      <w:r w:rsidR="00DA4048">
        <w:rPr>
          <w:rFonts w:cs="Arial"/>
        </w:rPr>
        <w:t>Part 6</w:t>
      </w:r>
      <w:r w:rsidR="00577D1F">
        <w:rPr>
          <w:rFonts w:cs="Arial"/>
        </w:rPr>
        <w:fldChar w:fldCharType="end"/>
      </w:r>
      <w:r w:rsidRPr="00DE5D68">
        <w:rPr>
          <w:rFonts w:cs="Arial"/>
        </w:rPr>
        <w:t>.</w:t>
      </w:r>
    </w:p>
    <w:p w:rsidRPr="00DE5D68" w:rsidR="005611E3" w:rsidP="00C27D12" w:rsidRDefault="005611E3" w14:paraId="0586081B" w14:textId="1AF289CE">
      <w:pPr>
        <w:ind w:left="709"/>
        <w:rPr>
          <w:rFonts w:cs="Arial"/>
        </w:rPr>
      </w:pPr>
      <w:r w:rsidRPr="00DE5D68">
        <w:rPr>
          <w:rFonts w:cs="Arial"/>
        </w:rPr>
        <w:t>The following is a summary of certain provisions of the Articles of the Company</w:t>
      </w:r>
      <w:r w:rsidR="00C32D54">
        <w:rPr>
          <w:rFonts w:cs="Arial"/>
        </w:rPr>
        <w:t xml:space="preserve">. </w:t>
      </w:r>
      <w:r w:rsidRPr="00C32D54" w:rsidR="00C32D54">
        <w:rPr>
          <w:rFonts w:cs="Arial"/>
        </w:rPr>
        <w:t xml:space="preserve">The Articles also contain provisions relating to the redemption of the Ordinary Shares. A summary of these provisions is set out in Part </w:t>
      </w:r>
      <w:r w:rsidR="00C32D54">
        <w:rPr>
          <w:rFonts w:cs="Arial"/>
        </w:rPr>
        <w:t>9</w:t>
      </w:r>
      <w:r w:rsidRPr="00C32D54" w:rsidR="00C32D54">
        <w:rPr>
          <w:rFonts w:cs="Arial"/>
        </w:rPr>
        <w:t xml:space="preserve"> of this </w:t>
      </w:r>
      <w:r w:rsidR="00C32D54">
        <w:rPr>
          <w:rFonts w:cs="Arial"/>
        </w:rPr>
        <w:t>document</w:t>
      </w:r>
      <w:r w:rsidRPr="00C32D54" w:rsidR="00C32D54">
        <w:rPr>
          <w:rFonts w:cs="Arial"/>
        </w:rPr>
        <w:t>.</w:t>
      </w:r>
      <w:r w:rsidRPr="00DE5D68">
        <w:rPr>
          <w:rFonts w:cs="Arial"/>
        </w:rPr>
        <w:t xml:space="preserve"> </w:t>
      </w:r>
    </w:p>
    <w:p w:rsidRPr="00DE5D68" w:rsidR="00811ACB" w:rsidP="00C27D12" w:rsidRDefault="00060374" w14:paraId="0998FCBE" w14:textId="52DFB4E3">
      <w:pPr>
        <w:pStyle w:val="Heading2"/>
        <w:keepNext/>
        <w:rPr>
          <w:rFonts w:cs="Arial"/>
          <w:b/>
        </w:rPr>
      </w:pPr>
      <w:bookmarkStart w:name="_Ref65763079" w:id="260"/>
      <w:r w:rsidRPr="00DE5D68">
        <w:rPr>
          <w:rFonts w:cs="Arial"/>
          <w:b/>
        </w:rPr>
        <w:t>Definitions</w:t>
      </w:r>
      <w:bookmarkEnd w:id="260"/>
    </w:p>
    <w:p w:rsidRPr="00DE5D68" w:rsidR="00811ACB" w:rsidP="00C27D12" w:rsidRDefault="00811ACB" w14:paraId="4D24BC18" w14:textId="588F5674">
      <w:pPr>
        <w:ind w:left="709"/>
        <w:rPr>
          <w:rFonts w:cs="Arial"/>
        </w:rPr>
      </w:pPr>
      <w:r w:rsidRPr="00DE5D68">
        <w:rPr>
          <w:rFonts w:cs="Arial"/>
        </w:rPr>
        <w:t xml:space="preserve">The following definitions apply for the purposes of this </w:t>
      </w:r>
      <w:r w:rsidRPr="00DE5D68" w:rsidR="007F2228">
        <w:rPr>
          <w:rFonts w:cs="Arial"/>
        </w:rPr>
        <w:t xml:space="preserve">paragraph </w:t>
      </w:r>
      <w:r w:rsidR="00577D1F">
        <w:rPr>
          <w:rFonts w:cs="Arial"/>
        </w:rPr>
        <w:fldChar w:fldCharType="begin" w:fldLock="1"/>
      </w:r>
      <w:r w:rsidR="00577D1F">
        <w:rPr>
          <w:rFonts w:cs="Arial"/>
        </w:rPr>
        <w:instrText xml:space="preserve"> REF _Ref65763079 \r \h </w:instrText>
      </w:r>
      <w:r w:rsidR="00577D1F">
        <w:rPr>
          <w:rFonts w:cs="Arial"/>
        </w:rPr>
      </w:r>
      <w:r w:rsidR="00577D1F">
        <w:rPr>
          <w:rFonts w:cs="Arial"/>
        </w:rPr>
        <w:fldChar w:fldCharType="separate"/>
      </w:r>
      <w:r w:rsidR="00DA4048">
        <w:rPr>
          <w:rFonts w:cs="Arial"/>
        </w:rPr>
        <w:t>4.1</w:t>
      </w:r>
      <w:r w:rsidR="00577D1F">
        <w:rPr>
          <w:rFonts w:cs="Arial"/>
        </w:rPr>
        <w:fldChar w:fldCharType="end"/>
      </w:r>
      <w:r w:rsidRPr="00DE5D68" w:rsidR="007F2228">
        <w:rPr>
          <w:rFonts w:cs="Arial"/>
        </w:rPr>
        <w:t xml:space="preserve"> of this </w:t>
      </w:r>
      <w:r w:rsidR="00577D1F">
        <w:rPr>
          <w:rFonts w:cs="Arial"/>
        </w:rPr>
        <w:fldChar w:fldCharType="begin" w:fldLock="1"/>
      </w:r>
      <w:r w:rsidR="00577D1F">
        <w:rPr>
          <w:rFonts w:cs="Arial"/>
        </w:rPr>
        <w:instrText xml:space="preserve"> REF _Ref65762141 \r \h </w:instrText>
      </w:r>
      <w:r w:rsidR="00577D1F">
        <w:rPr>
          <w:rFonts w:cs="Arial"/>
        </w:rPr>
      </w:r>
      <w:r w:rsidR="00577D1F">
        <w:rPr>
          <w:rFonts w:cs="Arial"/>
        </w:rPr>
        <w:fldChar w:fldCharType="separate"/>
      </w:r>
      <w:r w:rsidR="00DA4048">
        <w:rPr>
          <w:rFonts w:cs="Arial"/>
        </w:rPr>
        <w:t>Part 6</w:t>
      </w:r>
      <w:r w:rsidR="00577D1F">
        <w:rPr>
          <w:rFonts w:cs="Arial"/>
        </w:rPr>
        <w:fldChar w:fldCharType="end"/>
      </w:r>
      <w:r w:rsidRPr="00DE5D68">
        <w:rPr>
          <w:rFonts w:cs="Arial"/>
        </w:rPr>
        <w:t xml:space="preserve"> in addition to, or (where applicable) in substitution for, the definitions applicable elsewhere in this document: </w:t>
      </w:r>
    </w:p>
    <w:p w:rsidRPr="00DE5D68" w:rsidR="00811ACB" w:rsidP="00C27D12" w:rsidRDefault="00811ACB" w14:paraId="1550D1F8" w14:textId="77777777">
      <w:pPr>
        <w:ind w:left="709"/>
        <w:rPr>
          <w:rFonts w:cs="Arial"/>
        </w:rPr>
      </w:pPr>
      <w:r w:rsidRPr="00DE5D68">
        <w:rPr>
          <w:rFonts w:cs="Arial"/>
        </w:rPr>
        <w:t>"</w:t>
      </w:r>
      <w:r w:rsidRPr="00DE5D68">
        <w:rPr>
          <w:rFonts w:cs="Arial"/>
          <w:b/>
        </w:rPr>
        <w:t>Authorised Operator</w:t>
      </w:r>
      <w:r w:rsidRPr="00DE5D68">
        <w:rPr>
          <w:rFonts w:cs="Arial"/>
        </w:rPr>
        <w:t>"</w:t>
      </w:r>
      <w:r w:rsidRPr="00DE5D68">
        <w:rPr>
          <w:rFonts w:cs="Arial"/>
          <w:b/>
        </w:rPr>
        <w:t xml:space="preserve"> </w:t>
      </w:r>
      <w:r w:rsidRPr="00DE5D68">
        <w:rPr>
          <w:rFonts w:cs="Arial"/>
        </w:rPr>
        <w:t>means the authorised operator (as defined in the Regulations) of an Uncertificated System;</w:t>
      </w:r>
    </w:p>
    <w:p w:rsidRPr="00DE5D68" w:rsidR="00811ACB" w:rsidP="00C27D12" w:rsidRDefault="00811ACB" w14:paraId="5893C420" w14:textId="6EDCC684">
      <w:pPr>
        <w:ind w:left="709"/>
        <w:rPr>
          <w:rFonts w:cs="Arial"/>
        </w:rPr>
      </w:pPr>
      <w:r w:rsidRPr="00DE5D68">
        <w:rPr>
          <w:rFonts w:cs="Arial"/>
        </w:rPr>
        <w:t>"</w:t>
      </w:r>
      <w:r w:rsidRPr="00DE5D68">
        <w:rPr>
          <w:rFonts w:cs="Arial"/>
          <w:b/>
        </w:rPr>
        <w:t>CFTC</w:t>
      </w:r>
      <w:r w:rsidRPr="00DE5D68">
        <w:rPr>
          <w:rFonts w:cs="Arial"/>
        </w:rPr>
        <w:t>" means the United States Commodity Futures Trading Commission;</w:t>
      </w:r>
    </w:p>
    <w:p w:rsidRPr="00DE5D68" w:rsidR="00811ACB" w:rsidP="00C27D12" w:rsidRDefault="00811ACB" w14:paraId="37D7DFD5" w14:textId="60703264">
      <w:pPr>
        <w:ind w:left="709"/>
        <w:rPr>
          <w:rFonts w:cs="Arial"/>
        </w:rPr>
      </w:pPr>
      <w:r w:rsidRPr="00DE5D68">
        <w:rPr>
          <w:rFonts w:cs="Arial"/>
        </w:rPr>
        <w:t>"</w:t>
      </w:r>
      <w:r w:rsidRPr="00DE5D68">
        <w:rPr>
          <w:rFonts w:cs="Arial"/>
          <w:b/>
        </w:rPr>
        <w:t xml:space="preserve">Commodity Exchange </w:t>
      </w:r>
      <w:r w:rsidR="00640CB6">
        <w:rPr>
          <w:rFonts w:cs="Arial"/>
          <w:b/>
        </w:rPr>
        <w:fldChar w:fldCharType="begin">
          <w:fldData xml:space="preserve">dgAxAHwAMQAwADAAMwA5AHwAQQBjAHQAIgAgAG0AZQBhAG4AcwAgAHQAaABlACAAVQBuAGkAdABl
AGQAIABTAHQAYQB0AGUAcwAgAEMAbwBtAG0AbwBkAGkAdAB5ACAARQB4AGMAaABhAG4AZwBlACAA
QQBjAHQALAAgADEAOQAzADYAfABBAG0AYgBpAGcALQAxADAAMAAzADkAfAB8AA==
</w:fldData>
        </w:fldChar>
      </w:r>
      <w:r w:rsidR="00640CB6">
        <w:rPr>
          <w:rFonts w:cs="Arial"/>
          <w:b/>
        </w:rPr>
        <w:instrText xml:space="preserve"> ADDIN CiteCheck Marker </w:instrText>
      </w:r>
      <w:r w:rsidR="00640CB6">
        <w:rPr>
          <w:rFonts w:cs="Arial"/>
          <w:b/>
        </w:rPr>
      </w:r>
      <w:r w:rsidR="00640CB6">
        <w:rPr>
          <w:rFonts w:cs="Arial"/>
          <w:b/>
        </w:rPr>
        <w:fldChar w:fldCharType="end"/>
      </w:r>
      <w:r w:rsidRPr="00DE5D68">
        <w:rPr>
          <w:rFonts w:cs="Arial"/>
          <w:b/>
        </w:rPr>
        <w:t>Act</w:t>
      </w:r>
      <w:r w:rsidRPr="00DE5D68">
        <w:rPr>
          <w:rFonts w:cs="Arial"/>
        </w:rPr>
        <w:t>" means the United States Commodity Exchange Act, 1936, as amended or any substantially equivalent successor legislation;</w:t>
      </w:r>
    </w:p>
    <w:p w:rsidRPr="00DE5D68" w:rsidR="00811ACB" w:rsidP="00C27D12" w:rsidRDefault="00811ACB" w14:paraId="6FB2D0E8" w14:textId="790C2BED">
      <w:pPr>
        <w:ind w:left="709"/>
        <w:rPr>
          <w:rFonts w:cs="Arial"/>
        </w:rPr>
      </w:pPr>
      <w:r w:rsidRPr="00DE5D68">
        <w:rPr>
          <w:rFonts w:cs="Arial"/>
        </w:rPr>
        <w:t>"</w:t>
      </w:r>
      <w:r w:rsidRPr="00DE5D68">
        <w:rPr>
          <w:rFonts w:cs="Arial"/>
          <w:b/>
        </w:rPr>
        <w:t>Disclosure Notice</w:t>
      </w:r>
      <w:r w:rsidRPr="00DE5D68">
        <w:rPr>
          <w:rFonts w:cs="Arial"/>
        </w:rPr>
        <w:t xml:space="preserve">" has the meaning set out in sub-paragraph </w:t>
      </w:r>
      <w:r w:rsidR="00991583">
        <w:rPr>
          <w:rFonts w:cs="Arial"/>
        </w:rPr>
        <w:fldChar w:fldCharType="begin" w:fldLock="1"/>
      </w:r>
      <w:r w:rsidR="00991583">
        <w:rPr>
          <w:rFonts w:cs="Arial"/>
        </w:rPr>
        <w:instrText xml:space="preserve"> REF _Ref32003917 \r \h </w:instrText>
      </w:r>
      <w:r w:rsidR="00991583">
        <w:rPr>
          <w:rFonts w:cs="Arial"/>
        </w:rPr>
      </w:r>
      <w:r w:rsidR="00991583">
        <w:rPr>
          <w:rFonts w:cs="Arial"/>
        </w:rPr>
        <w:fldChar w:fldCharType="separate"/>
      </w:r>
      <w:r w:rsidR="00DA4048">
        <w:rPr>
          <w:rFonts w:cs="Arial"/>
        </w:rPr>
        <w:t>4.6.1</w:t>
      </w:r>
      <w:r w:rsidR="00991583">
        <w:rPr>
          <w:rFonts w:cs="Arial"/>
        </w:rPr>
        <w:fldChar w:fldCharType="end"/>
      </w:r>
      <w:r w:rsidRPr="00DE5D68">
        <w:rPr>
          <w:rFonts w:cs="Arial"/>
        </w:rPr>
        <w:t xml:space="preserve"> </w:t>
      </w:r>
      <w:proofErr w:type="gramStart"/>
      <w:r w:rsidRPr="00DE5D68">
        <w:rPr>
          <w:rFonts w:cs="Arial"/>
        </w:rPr>
        <w:t>below;</w:t>
      </w:r>
      <w:proofErr w:type="gramEnd"/>
    </w:p>
    <w:p w:rsidRPr="00DE5D68" w:rsidR="00811ACB" w:rsidP="00C27D12" w:rsidRDefault="00811ACB" w14:paraId="3A054F04" w14:textId="6984F987">
      <w:pPr>
        <w:ind w:left="709"/>
        <w:rPr>
          <w:rFonts w:cs="Arial"/>
        </w:rPr>
      </w:pPr>
      <w:r w:rsidRPr="00DE5D68">
        <w:rPr>
          <w:rFonts w:cs="Arial"/>
        </w:rPr>
        <w:t>"</w:t>
      </w:r>
      <w:r w:rsidRPr="00DE5D68">
        <w:rPr>
          <w:rFonts w:cs="Arial"/>
          <w:b/>
        </w:rPr>
        <w:t>equity securities</w:t>
      </w:r>
      <w:r w:rsidRPr="00DE5D68">
        <w:rPr>
          <w:rFonts w:cs="Arial"/>
        </w:rPr>
        <w:t>" means shares or a right to subscribe for or convert securities into shares;</w:t>
      </w:r>
    </w:p>
    <w:p w:rsidRPr="00DE5D68" w:rsidR="00811ACB" w:rsidP="00C27D12" w:rsidRDefault="00811ACB" w14:paraId="78B5144E" w14:textId="17A5A8AC">
      <w:pPr>
        <w:ind w:left="709"/>
        <w:rPr>
          <w:rFonts w:cs="Arial"/>
        </w:rPr>
      </w:pPr>
      <w:r w:rsidRPr="00DE5D68">
        <w:rPr>
          <w:rFonts w:cs="Arial"/>
        </w:rPr>
        <w:t>"</w:t>
      </w:r>
      <w:r w:rsidRPr="00DE5D68">
        <w:rPr>
          <w:rFonts w:cs="Arial"/>
          <w:b/>
        </w:rPr>
        <w:t>ERISA</w:t>
      </w:r>
      <w:r w:rsidRPr="00DE5D68">
        <w:rPr>
          <w:rFonts w:cs="Arial"/>
        </w:rPr>
        <w:t xml:space="preserve">" means the </w:t>
      </w:r>
      <w:r w:rsidR="00640CB6">
        <w:rPr>
          <w:rFonts w:cs="Arial"/>
        </w:rPr>
        <w:fldChar w:fldCharType="begin">
          <w:fldData xml:space="preserve">dgAxAHwAMQAwADAANAAwAHwAVQBuAGkAdABlAGQAIABTAHQAYQB0AGUAcwAgAEUAbQBwAGwAbwB5
AGUAZQAgAFIAZQB0AGkAcgBlAG0AZQBuAHQAIABJAG4AYwBvAG0AZQAgAFMAZQBjAHUAcgBpAHQA
eQAgAEEAYwB0ACAAbwBmACAAMQA5ADcANAB8AEEAbQBiAGkAZwAtADEAMAAwADQAMAB8AHwA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United States Employee Retirement Income Security Act of 1974, as amended, and applicable regulations thereunder;</w:t>
      </w:r>
    </w:p>
    <w:p w:rsidRPr="00DE5D68" w:rsidR="00811ACB" w:rsidP="00C27D12" w:rsidRDefault="00811ACB" w14:paraId="55D8FBF5" w14:textId="3BBE694F">
      <w:pPr>
        <w:ind w:left="709"/>
        <w:rPr>
          <w:rFonts w:cs="Arial"/>
        </w:rPr>
      </w:pPr>
      <w:r w:rsidRPr="00DE5D68">
        <w:rPr>
          <w:rFonts w:cs="Arial"/>
        </w:rPr>
        <w:t>"</w:t>
      </w:r>
      <w:r w:rsidRPr="00DE5D68">
        <w:rPr>
          <w:rFonts w:cs="Arial"/>
          <w:b/>
        </w:rPr>
        <w:t>International Tax Compliance Legislation</w:t>
      </w:r>
      <w:r w:rsidRPr="00DE5D68">
        <w:rPr>
          <w:rFonts w:cs="Arial"/>
        </w:rPr>
        <w:t>" means any existing or future legislation enacted by any jurisdiction that provides for or is intended to secure the exchange of information (including legislation implementing FATCA and legislation implementing CRS), any official interpretations or guidance thereof or relating thereto, or any law or regulations implementing an intergovernmental approach thereto, or any agreements made pursuant to the implementation of the foregoing, in each case as enacted, made, amended or replaced from time to time;</w:t>
      </w:r>
    </w:p>
    <w:p w:rsidRPr="00DE5D68" w:rsidR="00811ACB" w:rsidP="00C27D12" w:rsidRDefault="00811ACB" w14:paraId="0046B728" w14:textId="3E418389">
      <w:pPr>
        <w:ind w:left="709"/>
        <w:rPr>
          <w:rFonts w:cs="Arial"/>
        </w:rPr>
      </w:pPr>
      <w:r w:rsidRPr="00DE5D68">
        <w:rPr>
          <w:rFonts w:cs="Arial"/>
        </w:rPr>
        <w:lastRenderedPageBreak/>
        <w:t>"</w:t>
      </w:r>
      <w:r w:rsidRPr="00DE5D68">
        <w:rPr>
          <w:rFonts w:cs="Arial"/>
          <w:b/>
        </w:rPr>
        <w:t>Non-Qualified Holder</w:t>
      </w:r>
      <w:r w:rsidRPr="00DE5D68">
        <w:rPr>
          <w:rFonts w:cs="Arial"/>
        </w:rPr>
        <w:t>"</w:t>
      </w:r>
      <w:r w:rsidRPr="00DE5D68">
        <w:rPr>
          <w:rFonts w:cs="Arial"/>
          <w:b/>
        </w:rPr>
        <w:t xml:space="preserve"> </w:t>
      </w:r>
      <w:r w:rsidRPr="00DE5D68">
        <w:rPr>
          <w:rFonts w:cs="Arial"/>
        </w:rPr>
        <w:t>means any person whose holding or beneficial ownership of any shares in the Company (whether on its own or taken with other shares), in the opinion of the Directors: (</w:t>
      </w:r>
      <w:proofErr w:type="spellStart"/>
      <w:r w:rsidRPr="00DE5D68">
        <w:rPr>
          <w:rFonts w:cs="Arial"/>
        </w:rPr>
        <w:t>i</w:t>
      </w:r>
      <w:proofErr w:type="spellEnd"/>
      <w:r w:rsidRPr="00DE5D68">
        <w:rPr>
          <w:rFonts w:cs="Arial"/>
        </w:rPr>
        <w:t xml:space="preserve">) would or might cause the assets of the Company to be treated as “plan assets” of any </w:t>
      </w:r>
      <w:r w:rsidRPr="00DE5D68" w:rsidR="000C0D70">
        <w:rPr>
          <w:rFonts w:cs="Arial"/>
        </w:rPr>
        <w:t>Benefit Plan Investor</w:t>
      </w:r>
      <w:r w:rsidRPr="00DE5D68">
        <w:rPr>
          <w:rFonts w:cs="Arial"/>
        </w:rPr>
        <w:t xml:space="preserve"> under section 3(42) of ERISA or the U.S. Tax Code; or (ii) would or might result in the Company and/or its shares and/or any of its appointed investment manager or investment advisers being required to register or qualify under the U.S. Investment Company Act, and/or </w:t>
      </w:r>
      <w:r w:rsidR="00640CB6">
        <w:rPr>
          <w:rFonts w:cs="Arial"/>
        </w:rPr>
        <w:fldChar w:fldCharType="begin">
          <w:fldData xml:space="preserve">dgAxAHwAMQAwADAANAAxAHwAVQAuAFMALgAgAEkAbgB2AGUAcwB0AG0AZQBuAHQAIABBAGQAdgBp
AHMAZQByAHMAIABBAGMAdAAgAG8AZgAgADEAOQA0ADAAfABBAG0AYgBpAGcALQAxADAAMAA0ADEA
fAB8AA==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 xml:space="preserve">U.S. Investment Advisers Act of 1940 and/or the U.S. Securities Act and/or the U.S. Exchange Act, as amended and/or any laws of any state of the U.S. or other jurisdiction that regulate the offering and sale of securities; or (iii) may cause the Company not to be considered a “Foreign Private Issuer” under the U.S. Exchange Act, as amended; or (iv) may cause the Company to be a “controlled foreign corporation” for the purpose of the U.S. Tax Code; or (v) may result in the Company losing or forfeiting or not being able to claim the benefit of any exemption under the Commodity Exchange Act or the rules of the CFTC or analogous legislation or regulation or becoming subject to any unduly onerous filing, reporting or registration requirements; or (vi) creates a significant legal or regulatory </w:t>
      </w:r>
      <w:r w:rsidRPr="00DE5D68" w:rsidR="00A50C3E">
        <w:rPr>
          <w:rFonts w:cs="Arial"/>
        </w:rPr>
        <w:t>i</w:t>
      </w:r>
      <w:r w:rsidRPr="00DE5D68" w:rsidR="000C0D70">
        <w:rPr>
          <w:rFonts w:cs="Arial"/>
        </w:rPr>
        <w:t>ssue</w:t>
      </w:r>
      <w:r w:rsidRPr="00DE5D68">
        <w:rPr>
          <w:rFonts w:cs="Arial"/>
        </w:rPr>
        <w:t xml:space="preserve"> for the Company under the </w:t>
      </w:r>
      <w:r w:rsidR="00640CB6">
        <w:rPr>
          <w:rFonts w:cs="Arial"/>
        </w:rPr>
        <w:fldChar w:fldCharType="begin">
          <w:fldData xml:space="preserve">dgAxAHwAMQAwADAANAAyAHwAVQAuAFMALgAgAEIAYQBuAGsAIABIAG8AbABkAGkAbgBnACAAQwBv
AG0AcABhAG4AeQAgAEEAYwB0ACAAMQA5ADUANgB8AEEAbQBiAGkAZwAtADEAMAAwADQAMgB8AHwA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 xml:space="preserve">U.S. Bank Holding Company Act 1956, as amended or regulations or interpretations thereunder; or (vii) would cause the Company adverse consequences under the foreign account tax compliance provisions of the </w:t>
      </w:r>
      <w:r w:rsidR="00640CB6">
        <w:rPr>
          <w:rFonts w:cs="Arial"/>
        </w:rPr>
        <w:fldChar w:fldCharType="begin">
          <w:fldData xml:space="preserve">dgAxAHwAMQAwADAANAAzAHwAVQAuAFMALgAgAEgAaQByAGkAbgBnACAASQBuAGMAZQBuAHQAaQB2
AGUAcwAgAHQAbwAgAFIAZQBzAHQAbwByAGUAIABFAG0AcABsAG8AeQBtAGUAbgB0ACAAQQBjAHQA
IABvAGYAIAAyADAAMQAwAHwAQQBtAGIAaQBnAC0AMQAwADAANAAzAHwAfAA=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 xml:space="preserve">U.S. Hiring Incentives to Restore Employment Act of 2010, including the Company becoming subject to any withholding tax or reporting obligation (including by reason of the failure of the </w:t>
      </w:r>
      <w:r w:rsidRPr="00DE5D68" w:rsidR="000C0D70">
        <w:rPr>
          <w:rFonts w:cs="Arial"/>
        </w:rPr>
        <w:t>Shareholder</w:t>
      </w:r>
      <w:r w:rsidRPr="00DE5D68">
        <w:rPr>
          <w:rFonts w:cs="Arial"/>
        </w:rPr>
        <w:t xml:space="preserve"> concerned to provide promptly to the Company such information and documentation as the Company may have requested to enable the Company to avoid or minimise such withholding tax or to comply with such reporting obligations</w:t>
      </w:r>
      <w:r w:rsidR="009B3811">
        <w:rPr>
          <w:rFonts w:cs="Arial"/>
        </w:rPr>
        <w:t>)</w:t>
      </w:r>
      <w:r w:rsidRPr="00DE5D68">
        <w:rPr>
          <w:rFonts w:cs="Arial"/>
        </w:rPr>
        <w:t>; or (viii) may cause the Company (including for such purposes, its subsidiaries) to lose the benefit of, or suffer pecuniary disadvantage as a result of not being able to take advantage of, any applicable withholding tax treaty or similar arrangement;</w:t>
      </w:r>
    </w:p>
    <w:p w:rsidRPr="00DE5D68" w:rsidR="00811ACB" w:rsidP="00C27D12" w:rsidRDefault="00811ACB" w14:paraId="33ED2225" w14:textId="1E50C52D">
      <w:pPr>
        <w:ind w:left="709"/>
        <w:rPr>
          <w:rFonts w:cs="Arial"/>
        </w:rPr>
      </w:pPr>
      <w:r w:rsidRPr="00DE5D68">
        <w:rPr>
          <w:rFonts w:cs="Arial"/>
        </w:rPr>
        <w:t>"</w:t>
      </w:r>
      <w:r w:rsidRPr="00DE5D68">
        <w:rPr>
          <w:rFonts w:cs="Arial"/>
          <w:b/>
        </w:rPr>
        <w:t>Rules</w:t>
      </w:r>
      <w:r w:rsidRPr="00DE5D68">
        <w:rPr>
          <w:rFonts w:cs="Arial"/>
        </w:rPr>
        <w:t xml:space="preserve">" means the rules, including any manuals issued from time to time by an Authorised Operator governing the </w:t>
      </w:r>
      <w:r w:rsidR="00246246">
        <w:rPr>
          <w:rFonts w:cs="Arial"/>
        </w:rPr>
        <w:t>a</w:t>
      </w:r>
      <w:r w:rsidRPr="00DE5D68" w:rsidR="000C0D70">
        <w:rPr>
          <w:rFonts w:cs="Arial"/>
        </w:rPr>
        <w:t>dmission</w:t>
      </w:r>
      <w:r w:rsidRPr="00DE5D68">
        <w:rPr>
          <w:rFonts w:cs="Arial"/>
        </w:rPr>
        <w:t xml:space="preserve"> of securities to and the operation of the Uncertificated System managed by such Authorised Operator;</w:t>
      </w:r>
    </w:p>
    <w:p w:rsidRPr="00DE5D68" w:rsidR="00811ACB" w:rsidP="00C27D12" w:rsidRDefault="00811ACB" w14:paraId="2B43AA27" w14:textId="72416655">
      <w:pPr>
        <w:ind w:left="709"/>
        <w:rPr>
          <w:rFonts w:cs="Arial"/>
        </w:rPr>
      </w:pPr>
      <w:r w:rsidRPr="00DE5D68">
        <w:rPr>
          <w:rFonts w:cs="Arial"/>
        </w:rPr>
        <w:t>"</w:t>
      </w:r>
      <w:r w:rsidRPr="00DE5D68">
        <w:rPr>
          <w:rFonts w:cs="Arial"/>
          <w:b/>
        </w:rPr>
        <w:t>Uncertificated System</w:t>
      </w:r>
      <w:r w:rsidRPr="00DE5D68">
        <w:rPr>
          <w:rFonts w:cs="Arial"/>
        </w:rPr>
        <w:t>" means any computer based system and its related facilities and procedures that are provided by an Authorised Operator and by means of which title to units of a security (including shares) can be evidenced and transferred in accordance with the Regulations without a written certificate or instrument;</w:t>
      </w:r>
    </w:p>
    <w:p w:rsidRPr="00DE5D68" w:rsidR="00811ACB" w:rsidP="00C27D12" w:rsidRDefault="0029109F" w14:paraId="5DE371AF" w14:textId="31BBA210">
      <w:pPr>
        <w:ind w:left="709"/>
        <w:rPr>
          <w:rFonts w:cs="Arial"/>
        </w:rPr>
      </w:pPr>
      <w:r>
        <w:rPr>
          <w:rFonts w:cs="Arial"/>
        </w:rPr>
        <w:t>"</w:t>
      </w:r>
      <w:r w:rsidRPr="00DE5D68" w:rsidR="00811ACB">
        <w:rPr>
          <w:rFonts w:cs="Arial"/>
          <w:b/>
        </w:rPr>
        <w:t xml:space="preserve">U.S. Exchange </w:t>
      </w:r>
      <w:r w:rsidR="00640CB6">
        <w:rPr>
          <w:rFonts w:cs="Arial"/>
          <w:b/>
        </w:rPr>
        <w:fldChar w:fldCharType="begin">
          <w:fldData xml:space="preserve">dgAxAHwAMQAwADAANAA0AHwAQQBjAHQAIgAgAG0AZQBhAG4AcwAgAHQAaABlACAAVQBuAGkAdABl
AGQAIABTAHQAYQB0AGUAcwAgAFMAZQBjAHUAcgBpAHQAaQBlAHMAIABFAHgAYwBoAGEAbgBnAGUA
IABBAGMAdAAgAG8AZgAgADEAOQAzADQAfABBAG0AYgBpAGcALQAxADAAMAA0ADQAfAB8AA==
</w:fldData>
        </w:fldChar>
      </w:r>
      <w:r w:rsidR="00640CB6">
        <w:rPr>
          <w:rFonts w:cs="Arial"/>
          <w:b/>
        </w:rPr>
        <w:instrText xml:space="preserve"> ADDIN CiteCheck Marker </w:instrText>
      </w:r>
      <w:r w:rsidR="00640CB6">
        <w:rPr>
          <w:rFonts w:cs="Arial"/>
          <w:b/>
        </w:rPr>
      </w:r>
      <w:r w:rsidR="00640CB6">
        <w:rPr>
          <w:rFonts w:cs="Arial"/>
          <w:b/>
        </w:rPr>
        <w:fldChar w:fldCharType="end"/>
      </w:r>
      <w:r w:rsidRPr="00DE5D68" w:rsidR="00811ACB">
        <w:rPr>
          <w:rFonts w:cs="Arial"/>
          <w:b/>
        </w:rPr>
        <w:t>Act</w:t>
      </w:r>
      <w:r w:rsidRPr="00DE5D68" w:rsidR="00811ACB">
        <w:rPr>
          <w:rFonts w:cs="Arial"/>
        </w:rPr>
        <w:t>" means the United States Securities Exchange Act of 1934, as amended, and the rules and regulations of the United States Securities and Exchange Commission promulgated pursuant to it.</w:t>
      </w:r>
    </w:p>
    <w:p w:rsidRPr="00DE5D68" w:rsidR="00811ACB" w:rsidP="00C27D12" w:rsidRDefault="00811ACB" w14:paraId="2A87137A" w14:textId="1CFF1C39">
      <w:pPr>
        <w:keepNext/>
        <w:rPr>
          <w:rFonts w:cs="Arial"/>
          <w:b/>
          <w:i/>
        </w:rPr>
      </w:pPr>
      <w:r w:rsidRPr="00DE5D68">
        <w:rPr>
          <w:rFonts w:cs="Arial"/>
          <w:b/>
          <w:i/>
        </w:rPr>
        <w:t>Ordinary Shares</w:t>
      </w:r>
      <w:r w:rsidR="002B4311">
        <w:rPr>
          <w:rFonts w:cs="Arial"/>
          <w:b/>
          <w:i/>
        </w:rPr>
        <w:t xml:space="preserve"> </w:t>
      </w:r>
    </w:p>
    <w:p w:rsidRPr="00DE5D68" w:rsidR="00811ACB" w:rsidP="00C27D12" w:rsidRDefault="00811ACB" w14:paraId="3BB54540" w14:textId="01EA6E28">
      <w:pPr>
        <w:pStyle w:val="Heading2"/>
        <w:keepNext/>
        <w:rPr>
          <w:rFonts w:cs="Arial"/>
          <w:b/>
        </w:rPr>
      </w:pPr>
      <w:r w:rsidRPr="00DE5D68">
        <w:rPr>
          <w:rFonts w:cs="Arial"/>
          <w:b/>
        </w:rPr>
        <w:t>Dividends</w:t>
      </w:r>
    </w:p>
    <w:p w:rsidRPr="00DE5D68" w:rsidR="00230B3C" w:rsidP="00C27D12" w:rsidRDefault="00811ACB" w14:paraId="14537A24" w14:textId="60CEACAC">
      <w:pPr>
        <w:ind w:left="709"/>
        <w:rPr>
          <w:rFonts w:cs="Arial"/>
        </w:rPr>
      </w:pPr>
      <w:r w:rsidRPr="00DE5D68">
        <w:rPr>
          <w:rFonts w:cs="Arial"/>
        </w:rPr>
        <w:t>Holders of Ordinary Shares are entitled to receive, and participate in</w:t>
      </w:r>
      <w:r w:rsidR="00194E2B">
        <w:rPr>
          <w:rFonts w:cs="Arial"/>
        </w:rPr>
        <w:t>,</w:t>
      </w:r>
      <w:r w:rsidRPr="00DE5D68">
        <w:rPr>
          <w:rFonts w:cs="Arial"/>
        </w:rPr>
        <w:t xml:space="preserve"> any dividends or other distributions of the Company available for dividend or</w:t>
      </w:r>
      <w:r w:rsidRPr="00DE5D68" w:rsidR="008A37C4">
        <w:rPr>
          <w:rFonts w:cs="Arial"/>
        </w:rPr>
        <w:t xml:space="preserve"> distribution</w:t>
      </w:r>
      <w:r w:rsidRPr="00DE5D68">
        <w:rPr>
          <w:rFonts w:cs="Arial"/>
        </w:rPr>
        <w:t>.</w:t>
      </w:r>
      <w:r w:rsidRPr="00DE5D68" w:rsidR="00092810">
        <w:rPr>
          <w:rFonts w:cs="Arial"/>
        </w:rPr>
        <w:t xml:space="preserve"> </w:t>
      </w:r>
    </w:p>
    <w:p w:rsidRPr="00DE5D68" w:rsidR="00811ACB" w:rsidP="00C27D12" w:rsidRDefault="00811ACB" w14:paraId="34BC9F1B" w14:textId="77777777">
      <w:pPr>
        <w:pStyle w:val="Heading2"/>
        <w:keepNext/>
        <w:rPr>
          <w:rFonts w:cs="Arial"/>
          <w:b/>
        </w:rPr>
      </w:pPr>
      <w:r w:rsidRPr="00DE5D68">
        <w:rPr>
          <w:rFonts w:cs="Arial"/>
          <w:b/>
        </w:rPr>
        <w:t>Winding-up</w:t>
      </w:r>
    </w:p>
    <w:p w:rsidRPr="00DE5D68" w:rsidR="00B6664F" w:rsidP="00F31448" w:rsidRDefault="0080501B" w14:paraId="6229BBC2" w14:textId="5B1B8C96">
      <w:pPr>
        <w:ind w:left="709"/>
        <w:rPr>
          <w:rFonts w:cs="Arial"/>
        </w:rPr>
      </w:pPr>
      <w:r w:rsidRPr="00DE5D68">
        <w:rPr>
          <w:rFonts w:cs="Arial"/>
        </w:rPr>
        <w:t>O</w:t>
      </w:r>
      <w:r w:rsidRPr="00DE5D68" w:rsidR="00811ACB">
        <w:rPr>
          <w:rFonts w:cs="Arial"/>
        </w:rPr>
        <w:t>n a winding-up of the Company</w:t>
      </w:r>
      <w:r w:rsidR="00F31448">
        <w:rPr>
          <w:rFonts w:cs="Arial"/>
        </w:rPr>
        <w:t xml:space="preserve"> </w:t>
      </w:r>
      <w:r w:rsidRPr="00F31448" w:rsidR="00F31448">
        <w:rPr>
          <w:rFonts w:cs="Arial"/>
        </w:rPr>
        <w:t>or other return of capital (other</w:t>
      </w:r>
      <w:r w:rsidR="00F31448">
        <w:rPr>
          <w:rFonts w:cs="Arial"/>
        </w:rPr>
        <w:t xml:space="preserve"> than by way of a repurchase or </w:t>
      </w:r>
      <w:r w:rsidRPr="00F31448" w:rsidR="00F31448">
        <w:rPr>
          <w:rFonts w:cs="Arial"/>
        </w:rPr>
        <w:t xml:space="preserve">redemption of </w:t>
      </w:r>
      <w:r w:rsidR="00F31448">
        <w:rPr>
          <w:rFonts w:cs="Arial"/>
        </w:rPr>
        <w:t xml:space="preserve">Ordinary </w:t>
      </w:r>
      <w:r w:rsidRPr="00F31448" w:rsidR="00F31448">
        <w:rPr>
          <w:rFonts w:cs="Arial"/>
        </w:rPr>
        <w:t>Shares in accordance with the provisions of the Articles and the Companies Law)</w:t>
      </w:r>
      <w:r w:rsidRPr="00DE5D68" w:rsidR="00811ACB">
        <w:rPr>
          <w:rFonts w:cs="Arial"/>
        </w:rPr>
        <w:t xml:space="preserve">, the surplus assets of the Company available for distribution to the holders of Ordinary Shares (after payment of all other debts and liabilities of the Company attributable to the Ordinary Shares) shall be divided amongst the holders of Ordinary Shares </w:t>
      </w:r>
      <w:r w:rsidRPr="00DE5D68" w:rsidR="00811ACB">
        <w:rPr>
          <w:rFonts w:cs="Arial"/>
          <w:i/>
        </w:rPr>
        <w:t>pro rata</w:t>
      </w:r>
      <w:r w:rsidRPr="00DE5D68" w:rsidR="00811ACB">
        <w:rPr>
          <w:rFonts w:cs="Arial"/>
        </w:rPr>
        <w:t xml:space="preserve"> according to their respective holdings of Ordinary Shares.</w:t>
      </w:r>
      <w:r w:rsidRPr="00DE5D68" w:rsidR="00092810">
        <w:rPr>
          <w:rFonts w:cs="Arial"/>
        </w:rPr>
        <w:t xml:space="preserve"> </w:t>
      </w:r>
    </w:p>
    <w:p w:rsidRPr="00DE5D68" w:rsidR="00811ACB" w:rsidP="00C27D12" w:rsidRDefault="00811ACB" w14:paraId="63505665" w14:textId="24901D80">
      <w:pPr>
        <w:pStyle w:val="Heading2"/>
        <w:keepNext/>
        <w:rPr>
          <w:rFonts w:cs="Arial"/>
          <w:b/>
        </w:rPr>
      </w:pPr>
      <w:r w:rsidRPr="00DE5D68">
        <w:rPr>
          <w:rFonts w:cs="Arial"/>
          <w:b/>
        </w:rPr>
        <w:t>Voting</w:t>
      </w:r>
    </w:p>
    <w:p w:rsidRPr="00BD0C92" w:rsidR="00811ACB" w:rsidP="00C27D12" w:rsidRDefault="002B4311" w14:paraId="47C88EB7" w14:textId="427EAC50">
      <w:pPr>
        <w:ind w:left="709"/>
        <w:rPr>
          <w:rFonts w:cs="Arial"/>
          <w:i/>
        </w:rPr>
      </w:pPr>
      <w:r w:rsidRPr="002B4311">
        <w:rPr>
          <w:rFonts w:cs="Arial"/>
        </w:rPr>
        <w:t xml:space="preserve">The Ordinary Shares shall carry the right to receive notice of, attend, speak and vote at general meetings of the Company and each holder being present in person or by proxy shall upon a show of hands have one vote and upon a poll shall have one vote in respect of each Ordinary Share that they hold. The consent of the holders of the Ordinary Shares as a class will be required for the </w:t>
      </w:r>
      <w:r w:rsidRPr="00BD0C92">
        <w:rPr>
          <w:rFonts w:cs="Arial"/>
        </w:rPr>
        <w:t xml:space="preserve">variation of any rights attached to the Ordinary Shares. </w:t>
      </w:r>
    </w:p>
    <w:p w:rsidRPr="00DE5D68" w:rsidR="00811ACB" w:rsidP="00C27D12" w:rsidRDefault="00811ACB" w14:paraId="17232FAA" w14:textId="7C2F7C7B">
      <w:pPr>
        <w:pStyle w:val="Heading2"/>
        <w:keepNext/>
        <w:rPr>
          <w:rFonts w:cs="Arial"/>
          <w:b/>
        </w:rPr>
      </w:pPr>
      <w:r w:rsidRPr="00DE5D68">
        <w:rPr>
          <w:rFonts w:cs="Arial"/>
          <w:b/>
        </w:rPr>
        <w:lastRenderedPageBreak/>
        <w:t>Share Capital</w:t>
      </w:r>
    </w:p>
    <w:p w:rsidRPr="00DE5D68" w:rsidR="00811ACB" w:rsidP="00C27D12" w:rsidRDefault="007B48DB" w14:paraId="18C05C7E" w14:textId="308069FE">
      <w:pPr>
        <w:pStyle w:val="Heading3"/>
        <w:rPr>
          <w:rFonts w:cs="Arial"/>
          <w:i/>
        </w:rPr>
      </w:pPr>
      <w:bookmarkStart w:name="_Ref65763097" w:id="261"/>
      <w:r w:rsidRPr="00DE5D68">
        <w:rPr>
          <w:rFonts w:cs="Arial"/>
        </w:rPr>
        <w:t>Subject to the other provisions of the Articles, t</w:t>
      </w:r>
      <w:r w:rsidRPr="00DE5D68" w:rsidR="00A50C3E">
        <w:rPr>
          <w:rFonts w:cs="Arial"/>
        </w:rPr>
        <w:t xml:space="preserve">he </w:t>
      </w:r>
      <w:r w:rsidRPr="00DE5D68">
        <w:rPr>
          <w:rFonts w:cs="Arial"/>
        </w:rPr>
        <w:t>Directors</w:t>
      </w:r>
      <w:r w:rsidRPr="00DE5D68" w:rsidR="00A50C3E">
        <w:rPr>
          <w:rFonts w:cs="Arial"/>
        </w:rPr>
        <w:t xml:space="preserve"> may i</w:t>
      </w:r>
      <w:r w:rsidRPr="00DE5D68" w:rsidR="000C0D70">
        <w:rPr>
          <w:rFonts w:cs="Arial"/>
        </w:rPr>
        <w:t>ssue</w:t>
      </w:r>
      <w:r w:rsidRPr="00DE5D68" w:rsidR="00811ACB">
        <w:rPr>
          <w:rFonts w:cs="Arial"/>
        </w:rPr>
        <w:t xml:space="preserve"> an unlimited number of shares of a par value and/or no par value or a combination of both. Shares may be denominated in any currency and different classes of shares may be denominated in different currencies (or no currency in the case of shares of no par value).</w:t>
      </w:r>
      <w:bookmarkEnd w:id="261"/>
    </w:p>
    <w:p w:rsidRPr="00DE5D68" w:rsidR="00811ACB" w:rsidP="00C27D12" w:rsidRDefault="00811ACB" w14:paraId="156C04E8" w14:textId="77777777">
      <w:pPr>
        <w:pStyle w:val="Heading3"/>
        <w:rPr>
          <w:rFonts w:cs="Arial"/>
          <w:i/>
        </w:rPr>
      </w:pPr>
      <w:r w:rsidRPr="00DE5D68">
        <w:rPr>
          <w:rFonts w:cs="Arial"/>
        </w:rPr>
        <w:t xml:space="preserve">Subject to the provisions of the Companies Law and without prejudice to any rights attached to any existing shares or class of shares or to the provisions of the Articles, any share may be issued with such preferred, deferred, conversion or other rights or restrictions as the Company may by ordinary resolution </w:t>
      </w:r>
      <w:proofErr w:type="spellStart"/>
      <w:r w:rsidRPr="00DE5D68">
        <w:rPr>
          <w:rFonts w:cs="Arial"/>
        </w:rPr>
        <w:t>direct or</w:t>
      </w:r>
      <w:proofErr w:type="spellEnd"/>
      <w:r w:rsidRPr="00DE5D68">
        <w:rPr>
          <w:rFonts w:cs="Arial"/>
        </w:rPr>
        <w:t>, subject to or in default of any such direction, as the Directors may determine.</w:t>
      </w:r>
    </w:p>
    <w:p w:rsidRPr="00DE5D68" w:rsidR="00811ACB" w:rsidP="00C27D12" w:rsidRDefault="00811ACB" w14:paraId="0D76C86E" w14:textId="77777777">
      <w:pPr>
        <w:pStyle w:val="Heading3"/>
        <w:rPr>
          <w:rFonts w:cs="Arial"/>
          <w:i/>
        </w:rPr>
      </w:pPr>
      <w:r w:rsidRPr="00DE5D68">
        <w:rPr>
          <w:rFonts w:cs="Arial"/>
        </w:rPr>
        <w:t>The Company may acquire its own shares. Any such shares acquired by the Company may be cancelled or may be held as treasury shares, subject to and in accordance with the Companies Law.</w:t>
      </w:r>
    </w:p>
    <w:p w:rsidRPr="00DE5D68" w:rsidR="00811ACB" w:rsidP="00C27D12" w:rsidRDefault="00811ACB" w14:paraId="61E5B32A" w14:textId="07C9DE70">
      <w:pPr>
        <w:pStyle w:val="Heading3"/>
        <w:rPr>
          <w:rFonts w:cs="Arial"/>
          <w:i/>
        </w:rPr>
      </w:pPr>
      <w:r w:rsidRPr="00DE5D68">
        <w:rPr>
          <w:rFonts w:cs="Arial"/>
        </w:rPr>
        <w:t xml:space="preserve">Subject to the provisions of the Companies Law, the Company and any of its subsidiary companies may give financial assistance, as defined in the Companies Law, directly or indirectly for the purposes of or in connection with the </w:t>
      </w:r>
      <w:r w:rsidRPr="00DE5D68" w:rsidR="00A07CB4">
        <w:rPr>
          <w:rFonts w:cs="Arial"/>
        </w:rPr>
        <w:t>a</w:t>
      </w:r>
      <w:r w:rsidRPr="00DE5D68" w:rsidR="000C0D70">
        <w:rPr>
          <w:rFonts w:cs="Arial"/>
        </w:rPr>
        <w:t>cquisition</w:t>
      </w:r>
      <w:r w:rsidRPr="00DE5D68">
        <w:rPr>
          <w:rFonts w:cs="Arial"/>
        </w:rPr>
        <w:t xml:space="preserve"> of its shares.</w:t>
      </w:r>
    </w:p>
    <w:p w:rsidRPr="00DE5D68" w:rsidR="00811ACB" w:rsidP="00C27D12" w:rsidRDefault="00811ACB" w14:paraId="2FFD6568" w14:textId="0B7A31A5">
      <w:pPr>
        <w:pStyle w:val="Heading3"/>
        <w:rPr>
          <w:rFonts w:cs="Arial"/>
          <w:i/>
        </w:rPr>
      </w:pPr>
      <w:r w:rsidRPr="00DE5D68">
        <w:rPr>
          <w:rFonts w:cs="Arial"/>
        </w:rPr>
        <w:t xml:space="preserve">The Company may </w:t>
      </w:r>
      <w:r w:rsidRPr="00DE5D68" w:rsidR="00A50C3E">
        <w:rPr>
          <w:rFonts w:cs="Arial"/>
        </w:rPr>
        <w:t>i</w:t>
      </w:r>
      <w:r w:rsidRPr="00DE5D68" w:rsidR="000C0D70">
        <w:rPr>
          <w:rFonts w:cs="Arial"/>
        </w:rPr>
        <w:t>ssue</w:t>
      </w:r>
      <w:r w:rsidRPr="00DE5D68">
        <w:rPr>
          <w:rFonts w:cs="Arial"/>
        </w:rPr>
        <w:t xml:space="preserve"> shares which are, or at the option of the Company or the holder are, liable to be redeemed and convert all or any class of its shares into redeemable shares.</w:t>
      </w:r>
    </w:p>
    <w:p w:rsidRPr="00DE5D68" w:rsidR="00811ACB" w:rsidP="00C27D12" w:rsidRDefault="00811ACB" w14:paraId="7C3E647D" w14:textId="40F5103C">
      <w:pPr>
        <w:pStyle w:val="Heading3"/>
        <w:rPr>
          <w:rFonts w:cs="Arial"/>
          <w:i/>
        </w:rPr>
      </w:pPr>
      <w:r w:rsidRPr="00DE5D68">
        <w:rPr>
          <w:rFonts w:cs="Arial"/>
        </w:rPr>
        <w:t xml:space="preserve">The Company may </w:t>
      </w:r>
      <w:r w:rsidRPr="00DE5D68" w:rsidR="00A50C3E">
        <w:rPr>
          <w:rFonts w:cs="Arial"/>
        </w:rPr>
        <w:t>i</w:t>
      </w:r>
      <w:r w:rsidRPr="00DE5D68" w:rsidR="000C0D70">
        <w:rPr>
          <w:rFonts w:cs="Arial"/>
        </w:rPr>
        <w:t>ssue</w:t>
      </w:r>
      <w:r w:rsidRPr="00DE5D68">
        <w:rPr>
          <w:rFonts w:cs="Arial"/>
        </w:rPr>
        <w:t xml:space="preserve"> shares which do not entitle the holder to voting rights in any general meeting or entitle the holder to restricted voting rights in any general meeting.</w:t>
      </w:r>
    </w:p>
    <w:p w:rsidRPr="00DE5D68" w:rsidR="00811ACB" w:rsidP="00C27D12" w:rsidRDefault="00811ACB" w14:paraId="7A851478" w14:textId="700FF09C">
      <w:pPr>
        <w:pStyle w:val="Heading3"/>
        <w:rPr>
          <w:rFonts w:cs="Arial"/>
          <w:i/>
        </w:rPr>
      </w:pPr>
      <w:r w:rsidRPr="00DE5D68">
        <w:rPr>
          <w:rFonts w:cs="Arial"/>
        </w:rPr>
        <w:t xml:space="preserve">Whenever the capital of the Company is divided into different classes of shares the rights attached to any class may (subject to the terms of </w:t>
      </w:r>
      <w:r w:rsidRPr="00DE5D68" w:rsidR="00A50C3E">
        <w:rPr>
          <w:rFonts w:cs="Arial"/>
        </w:rPr>
        <w:t>i</w:t>
      </w:r>
      <w:r w:rsidRPr="00DE5D68" w:rsidR="000C0D70">
        <w:rPr>
          <w:rFonts w:cs="Arial"/>
        </w:rPr>
        <w:t>ssue</w:t>
      </w:r>
      <w:r w:rsidRPr="00DE5D68">
        <w:rPr>
          <w:rFonts w:cs="Arial"/>
        </w:rPr>
        <w:t xml:space="preserve"> of the shares of that class) be varied or abrogated, either whilst the Company is a going concern or during or in contemplation of a winding-up:</w:t>
      </w:r>
    </w:p>
    <w:p w:rsidRPr="00DE5D68" w:rsidR="00811ACB" w:rsidP="00C27D12" w:rsidRDefault="00811ACB" w14:paraId="68B025B3" w14:textId="77777777">
      <w:pPr>
        <w:pStyle w:val="Heading4"/>
        <w:rPr>
          <w:rFonts w:cs="Arial"/>
          <w:i/>
        </w:rPr>
      </w:pPr>
      <w:r w:rsidRPr="00DE5D68">
        <w:rPr>
          <w:rFonts w:cs="Arial"/>
        </w:rPr>
        <w:t>with the consent in writing of the holders of at least 75 per cent. of the issued shares of that class (excluding treasury shares); or</w:t>
      </w:r>
    </w:p>
    <w:p w:rsidRPr="00DE5D68" w:rsidR="00811ACB" w:rsidP="00C27D12" w:rsidRDefault="00811ACB" w14:paraId="247ED5A9" w14:textId="4D22C535">
      <w:pPr>
        <w:pStyle w:val="Heading4"/>
        <w:rPr>
          <w:rFonts w:cs="Arial"/>
          <w:i/>
        </w:rPr>
      </w:pPr>
      <w:r w:rsidRPr="00DE5D68">
        <w:rPr>
          <w:rFonts w:cs="Arial"/>
        </w:rPr>
        <w:t>with the sanction of a special resolution passed at a separate meeting of the holders of the shares of that class.</w:t>
      </w:r>
    </w:p>
    <w:p w:rsidRPr="00DE5D68" w:rsidR="00811ACB" w:rsidP="00C27D12" w:rsidRDefault="00811ACB" w14:paraId="299D74BF" w14:textId="77777777">
      <w:pPr>
        <w:pStyle w:val="Heading3"/>
        <w:rPr>
          <w:rFonts w:cs="Arial"/>
          <w:i/>
        </w:rPr>
      </w:pPr>
      <w:r w:rsidRPr="00DE5D68">
        <w:rPr>
          <w:rFonts w:cs="Arial"/>
        </w:rPr>
        <w:t xml:space="preserve">All the provisions of the Articles relating to general meetings of the Company or to the proceedings thereat shall, </w:t>
      </w:r>
      <w:r w:rsidRPr="00DE5D68">
        <w:rPr>
          <w:rFonts w:cs="Arial"/>
          <w:i/>
        </w:rPr>
        <w:t>mutatis mutandis</w:t>
      </w:r>
      <w:r w:rsidRPr="00DE5D68">
        <w:rPr>
          <w:rFonts w:cs="Arial"/>
        </w:rPr>
        <w:t>, apply to every such separate meeting except that, in accordance with the Companies Law:</w:t>
      </w:r>
    </w:p>
    <w:p w:rsidRPr="00DE5D68" w:rsidR="00811ACB" w:rsidP="00C27D12" w:rsidRDefault="00811ACB" w14:paraId="74413A87" w14:textId="77777777">
      <w:pPr>
        <w:pStyle w:val="Heading4"/>
        <w:rPr>
          <w:rFonts w:cs="Arial"/>
        </w:rPr>
      </w:pPr>
      <w:r w:rsidRPr="00DE5D68">
        <w:rPr>
          <w:rFonts w:cs="Arial"/>
        </w:rPr>
        <w:t>the necessary quorum shall be two persons present in person or represented by proxy (but so that if at any adjourned meeting of such holders a quorum is not present, one person present holding shares of the relevant class shall be a quorum) provided always that where the class has only one member, that member shall constitute the necessary quorum; and</w:t>
      </w:r>
    </w:p>
    <w:p w:rsidRPr="00DE5D68" w:rsidR="000454D1" w:rsidP="00C27D12" w:rsidRDefault="00811ACB" w14:paraId="5F567809" w14:textId="77777777">
      <w:pPr>
        <w:pStyle w:val="Heading4"/>
        <w:rPr>
          <w:rFonts w:cs="Arial"/>
          <w:i/>
        </w:rPr>
      </w:pPr>
      <w:r w:rsidRPr="00DE5D68">
        <w:rPr>
          <w:rFonts w:cs="Arial"/>
        </w:rPr>
        <w:t>any holder of shares of the class in question may demand a poll.</w:t>
      </w:r>
    </w:p>
    <w:p w:rsidRPr="00F31448" w:rsidR="00EE764D" w:rsidP="00F31448" w:rsidRDefault="00811ACB" w14:paraId="5DD06288" w14:textId="328F64C6">
      <w:pPr>
        <w:pStyle w:val="Heading3"/>
        <w:rPr>
          <w:rFonts w:cs="Arial"/>
        </w:rPr>
      </w:pPr>
      <w:r w:rsidRPr="00F31448">
        <w:rPr>
          <w:rFonts w:cs="Arial"/>
        </w:rPr>
        <w:t xml:space="preserve">The special rights conferred upon the holders of any shares or class of shares issued with preferred, deferred or other rights shall (unless otherwise expressly provided by the terms of </w:t>
      </w:r>
      <w:r w:rsidRPr="00F31448" w:rsidR="00A50C3E">
        <w:rPr>
          <w:rFonts w:cs="Arial"/>
        </w:rPr>
        <w:t>i</w:t>
      </w:r>
      <w:r w:rsidRPr="00F31448" w:rsidR="000C0D70">
        <w:rPr>
          <w:rFonts w:cs="Arial"/>
        </w:rPr>
        <w:t>ssue</w:t>
      </w:r>
      <w:r w:rsidRPr="00F31448">
        <w:rPr>
          <w:rFonts w:cs="Arial"/>
        </w:rPr>
        <w:t xml:space="preserve"> of such shares) be deemed not to be varied</w:t>
      </w:r>
      <w:r w:rsidRPr="00F31448" w:rsidR="00F31448">
        <w:rPr>
          <w:rFonts w:cs="Arial"/>
        </w:rPr>
        <w:t xml:space="preserve">: (a) </w:t>
      </w:r>
      <w:r w:rsidRPr="00F31448">
        <w:rPr>
          <w:rFonts w:cs="Arial"/>
        </w:rPr>
        <w:t xml:space="preserve"> by the creation or </w:t>
      </w:r>
      <w:r w:rsidRPr="00F31448" w:rsidR="00A50C3E">
        <w:rPr>
          <w:rFonts w:cs="Arial"/>
        </w:rPr>
        <w:t>i</w:t>
      </w:r>
      <w:r w:rsidRPr="00F31448" w:rsidR="000C0D70">
        <w:rPr>
          <w:rFonts w:cs="Arial"/>
        </w:rPr>
        <w:t>ssue</w:t>
      </w:r>
      <w:r w:rsidRPr="00F31448">
        <w:rPr>
          <w:rFonts w:cs="Arial"/>
        </w:rPr>
        <w:t xml:space="preserve"> of further shares ranking </w:t>
      </w:r>
      <w:proofErr w:type="spellStart"/>
      <w:r w:rsidRPr="00F31448">
        <w:rPr>
          <w:rFonts w:cs="Arial"/>
          <w:i/>
        </w:rPr>
        <w:t>pari</w:t>
      </w:r>
      <w:proofErr w:type="spellEnd"/>
      <w:r w:rsidRPr="00F31448">
        <w:rPr>
          <w:rFonts w:cs="Arial"/>
          <w:i/>
        </w:rPr>
        <w:t xml:space="preserve"> passu</w:t>
      </w:r>
      <w:r w:rsidRPr="00F31448">
        <w:rPr>
          <w:rFonts w:cs="Arial"/>
        </w:rPr>
        <w:t xml:space="preserve"> therewith</w:t>
      </w:r>
      <w:r w:rsidRPr="00F31448" w:rsidR="00F31448">
        <w:rPr>
          <w:rFonts w:cs="Arial"/>
        </w:rPr>
        <w:t xml:space="preserve"> or (b) the purchase or redemption by the</w:t>
      </w:r>
      <w:r w:rsidR="00F31448">
        <w:rPr>
          <w:rFonts w:cs="Arial"/>
        </w:rPr>
        <w:t xml:space="preserve"> </w:t>
      </w:r>
      <w:r w:rsidRPr="00F31448" w:rsidR="00F31448">
        <w:rPr>
          <w:rFonts w:cs="Arial"/>
        </w:rPr>
        <w:t>Company of any of its shares (or the holding of such shares as treasury shares)</w:t>
      </w:r>
      <w:r w:rsidRPr="00DE5D68">
        <w:t>.</w:t>
      </w:r>
    </w:p>
    <w:p w:rsidRPr="00DE5D68" w:rsidR="003D1201" w:rsidP="00C27D12" w:rsidRDefault="00811ACB" w14:paraId="37970443" w14:textId="77777777">
      <w:pPr>
        <w:pStyle w:val="Heading3"/>
        <w:rPr>
          <w:rFonts w:cs="Arial"/>
          <w:i/>
        </w:rPr>
      </w:pPr>
      <w:r w:rsidRPr="00DE5D68">
        <w:rPr>
          <w:rFonts w:cs="Arial"/>
        </w:rPr>
        <w:t>Subject to the provisions of the Companies Law, the Articles, and any resolution of the Company, the Directors have general and unconditional authority:</w:t>
      </w:r>
    </w:p>
    <w:p w:rsidRPr="00DE5D68" w:rsidR="003D1201" w:rsidP="0029109F" w:rsidRDefault="00811ACB" w14:paraId="35F55641" w14:textId="3FB40310">
      <w:pPr>
        <w:pStyle w:val="Heading4"/>
        <w:rPr>
          <w:rFonts w:cs="Arial"/>
        </w:rPr>
      </w:pPr>
      <w:r w:rsidRPr="00DE5D68">
        <w:rPr>
          <w:rFonts w:cs="Arial"/>
        </w:rPr>
        <w:t xml:space="preserve">to </w:t>
      </w:r>
      <w:r w:rsidRPr="00DE5D68" w:rsidR="00A50C3E">
        <w:rPr>
          <w:rFonts w:cs="Arial"/>
        </w:rPr>
        <w:t>i</w:t>
      </w:r>
      <w:r w:rsidRPr="00DE5D68" w:rsidR="000C0D70">
        <w:rPr>
          <w:rFonts w:cs="Arial"/>
        </w:rPr>
        <w:t>ssue</w:t>
      </w:r>
      <w:r w:rsidRPr="00DE5D68">
        <w:rPr>
          <w:rFonts w:cs="Arial"/>
        </w:rPr>
        <w:t xml:space="preserve"> (with or without conferring rights of renunciation), grant warrants, options or other rights over, offer or otherwise deal with or dispose of unissued shares of </w:t>
      </w:r>
      <w:r w:rsidRPr="00DE5D68">
        <w:rPr>
          <w:rFonts w:cs="Arial"/>
        </w:rPr>
        <w:lastRenderedPageBreak/>
        <w:t>the Company of an unlimited number or an unlimited aggregate value or rights to subscribe or convert any security into shares; or</w:t>
      </w:r>
    </w:p>
    <w:p w:rsidRPr="00DE5D68" w:rsidR="003D1201" w:rsidP="00C27D12" w:rsidRDefault="00811ACB" w14:paraId="76AE89A7" w14:textId="77777777">
      <w:pPr>
        <w:pStyle w:val="Heading4"/>
        <w:rPr>
          <w:rFonts w:cs="Arial"/>
        </w:rPr>
      </w:pPr>
      <w:r w:rsidRPr="00DE5D68">
        <w:rPr>
          <w:rFonts w:cs="Arial"/>
        </w:rPr>
        <w:t>to sell, transfer or cancel any treasury shares held by the Company,</w:t>
      </w:r>
    </w:p>
    <w:p w:rsidRPr="00DE5D68" w:rsidR="003D1201" w:rsidP="00C27D12" w:rsidRDefault="00811ACB" w14:paraId="1AC69DBB" w14:textId="39960A85">
      <w:pPr>
        <w:pStyle w:val="Heading4"/>
        <w:numPr>
          <w:ilvl w:val="0"/>
          <w:numId w:val="0"/>
        </w:numPr>
        <w:ind w:left="1418"/>
        <w:rPr>
          <w:rFonts w:cs="Arial"/>
          <w:i/>
        </w:rPr>
      </w:pPr>
      <w:r w:rsidRPr="00DE5D68">
        <w:rPr>
          <w:rFonts w:cs="Arial"/>
        </w:rPr>
        <w:t xml:space="preserve">in any such case to such persons, at such times and on such terms and conditions as the Directors may decide. Without limiting this sub-paragraph, the Directors may designate the unissued shares upon </w:t>
      </w:r>
      <w:r w:rsidRPr="00DE5D68" w:rsidR="00A50C3E">
        <w:rPr>
          <w:rFonts w:cs="Arial"/>
        </w:rPr>
        <w:t>i</w:t>
      </w:r>
      <w:r w:rsidRPr="00DE5D68" w:rsidR="000C0D70">
        <w:rPr>
          <w:rFonts w:cs="Arial"/>
        </w:rPr>
        <w:t>ssue</w:t>
      </w:r>
      <w:r w:rsidRPr="00DE5D68" w:rsidR="003D1201">
        <w:rPr>
          <w:rFonts w:cs="Arial"/>
        </w:rPr>
        <w:t xml:space="preserve"> as Ordinary Shares</w:t>
      </w:r>
      <w:r w:rsidRPr="00DE5D68">
        <w:rPr>
          <w:rFonts w:cs="Arial"/>
        </w:rPr>
        <w:t xml:space="preserve"> or such other class or classes of shares (and denominated in any currency or currencies as the Directors may determine) or as shares with special or other rights as the Directors may then determine.</w:t>
      </w:r>
    </w:p>
    <w:p w:rsidRPr="00DE5D68" w:rsidR="00162BFA" w:rsidP="00C27D12" w:rsidRDefault="00811ACB" w14:paraId="439257B3" w14:textId="77E656B9">
      <w:pPr>
        <w:pStyle w:val="Heading3"/>
        <w:rPr>
          <w:rFonts w:cs="Arial"/>
          <w:i/>
        </w:rPr>
      </w:pPr>
      <w:r w:rsidRPr="00DE5D68">
        <w:rPr>
          <w:rFonts w:cs="Arial"/>
        </w:rPr>
        <w:t xml:space="preserve">The Company may exercise the powers of paying commissions and in such an amount or at such a percentage rate as the Directors may determine. Subject to the provisions of the Companies Law any such commission may be satisfied by the payment of cash or by the </w:t>
      </w:r>
      <w:r w:rsidRPr="00DE5D68" w:rsidR="00A50C3E">
        <w:rPr>
          <w:rFonts w:cs="Arial"/>
        </w:rPr>
        <w:t>i</w:t>
      </w:r>
      <w:r w:rsidRPr="00DE5D68" w:rsidR="000C0D70">
        <w:rPr>
          <w:rFonts w:cs="Arial"/>
        </w:rPr>
        <w:t>ssue</w:t>
      </w:r>
      <w:r w:rsidRPr="00DE5D68">
        <w:rPr>
          <w:rFonts w:cs="Arial"/>
        </w:rPr>
        <w:t xml:space="preserve"> of fully or partly paid shares or partly in one way and partly in the other. The Company may also on any </w:t>
      </w:r>
      <w:r w:rsidRPr="00DE5D68" w:rsidR="00A50C3E">
        <w:rPr>
          <w:rFonts w:cs="Arial"/>
        </w:rPr>
        <w:t>i</w:t>
      </w:r>
      <w:r w:rsidRPr="00DE5D68" w:rsidR="000C0D70">
        <w:rPr>
          <w:rFonts w:cs="Arial"/>
        </w:rPr>
        <w:t>ssue</w:t>
      </w:r>
      <w:r w:rsidRPr="00DE5D68">
        <w:rPr>
          <w:rFonts w:cs="Arial"/>
        </w:rPr>
        <w:t xml:space="preserve"> of shares pay such brokerage as may be lawful.</w:t>
      </w:r>
    </w:p>
    <w:p w:rsidRPr="00DE5D68" w:rsidR="00162BFA" w:rsidP="00C27D12" w:rsidRDefault="00811ACB" w14:paraId="66D594C2" w14:textId="3EE3D6F5">
      <w:pPr>
        <w:pStyle w:val="Heading3"/>
        <w:rPr>
          <w:rFonts w:cs="Arial"/>
          <w:i/>
        </w:rPr>
      </w:pPr>
      <w:r w:rsidRPr="00DE5D68">
        <w:rPr>
          <w:rFonts w:cs="Arial"/>
        </w:rPr>
        <w:t>Except as required by law, no person shall be recognised by the Company as holding any share upon any trust and (except as otherwise provided by the Articles or by law) the Company shall not be bound by or recognise (even when having notice thereof) any interest in any share except an absolute right to the entirety thereof in the holder.</w:t>
      </w:r>
      <w:bookmarkEnd w:id="221"/>
    </w:p>
    <w:p w:rsidRPr="00DE5D68" w:rsidR="00162BFA" w:rsidP="00C27D12" w:rsidRDefault="005A7597" w14:paraId="647CA72C" w14:textId="7FA3DDD0">
      <w:pPr>
        <w:pStyle w:val="Heading2"/>
        <w:keepNext/>
        <w:rPr>
          <w:rFonts w:cs="Arial"/>
          <w:b/>
        </w:rPr>
      </w:pPr>
      <w:r w:rsidRPr="00DE5D68">
        <w:rPr>
          <w:rFonts w:cs="Arial"/>
          <w:b/>
        </w:rPr>
        <w:t>Disclosure Notice, Information Rights and the Disclosure Guidance and Transparency Rules</w:t>
      </w:r>
    </w:p>
    <w:p w:rsidRPr="00DE5D68" w:rsidR="00230B3C" w:rsidP="00230B3C" w:rsidRDefault="00230B3C" w14:paraId="4C816D6C" w14:textId="75116352">
      <w:pPr>
        <w:pStyle w:val="Heading2"/>
        <w:keepNext/>
        <w:numPr>
          <w:ilvl w:val="0"/>
          <w:numId w:val="0"/>
        </w:numPr>
        <w:ind w:left="709"/>
        <w:rPr>
          <w:rFonts w:cs="Arial"/>
        </w:rPr>
      </w:pPr>
      <w:r w:rsidRPr="00DE5D68">
        <w:rPr>
          <w:rFonts w:cs="Arial"/>
        </w:rPr>
        <w:t>Without prejudice to the Companies Law, where applicable:</w:t>
      </w:r>
    </w:p>
    <w:p w:rsidRPr="00DE5D68" w:rsidR="00C8523D" w:rsidP="00C27D12" w:rsidRDefault="005A7597" w14:paraId="356C50E5" w14:textId="2640BD90">
      <w:pPr>
        <w:pStyle w:val="Heading3"/>
        <w:keepNext/>
        <w:rPr>
          <w:rFonts w:cs="Arial"/>
          <w:b/>
          <w:i/>
        </w:rPr>
      </w:pPr>
      <w:bookmarkStart w:name="_Ref32003917" w:id="262"/>
      <w:r w:rsidRPr="00DE5D68">
        <w:rPr>
          <w:rFonts w:cs="Arial"/>
        </w:rPr>
        <w:t xml:space="preserve">The Company may, by notice in writing (a </w:t>
      </w:r>
      <w:r w:rsidRPr="00DE5D68" w:rsidR="00C8523D">
        <w:rPr>
          <w:rFonts w:cs="Arial"/>
        </w:rPr>
        <w:t>"</w:t>
      </w:r>
      <w:r w:rsidRPr="00DE5D68">
        <w:rPr>
          <w:rFonts w:cs="Arial"/>
          <w:b/>
        </w:rPr>
        <w:t>Disclosure Notice</w:t>
      </w:r>
      <w:r w:rsidRPr="00DE5D68" w:rsidR="00C8523D">
        <w:rPr>
          <w:rFonts w:cs="Arial"/>
        </w:rPr>
        <w:t>"</w:t>
      </w:r>
      <w:r w:rsidRPr="00DE5D68">
        <w:rPr>
          <w:rFonts w:cs="Arial"/>
        </w:rPr>
        <w:t>) require a person whom the Directors know to be or have reasonable cause to believe is or, at any time during the 3 years immediately preceding the date on which the Disclosure Notice is issued, to have been interested in any shares:</w:t>
      </w:r>
      <w:bookmarkEnd w:id="262"/>
    </w:p>
    <w:p w:rsidRPr="00DE5D68" w:rsidR="00C8523D" w:rsidP="00C27D12" w:rsidRDefault="005A7597" w14:paraId="2966795A" w14:textId="0782A174">
      <w:pPr>
        <w:pStyle w:val="Heading4"/>
        <w:tabs>
          <w:tab w:val="clear" w:pos="2268"/>
        </w:tabs>
        <w:rPr>
          <w:rFonts w:cs="Arial"/>
          <w:b/>
          <w:i/>
        </w:rPr>
      </w:pPr>
      <w:bookmarkStart w:name="_Ref32003900" w:id="263"/>
      <w:r w:rsidRPr="00DE5D68">
        <w:rPr>
          <w:rFonts w:cs="Arial"/>
        </w:rPr>
        <w:t>to confirm that fact or (as the case may be) to indicate whether or not it is the case; and</w:t>
      </w:r>
      <w:bookmarkEnd w:id="263"/>
    </w:p>
    <w:p w:rsidRPr="00DE5D68" w:rsidR="00C8523D" w:rsidP="00C27D12" w:rsidRDefault="005A7597" w14:paraId="5A576DE0" w14:textId="7098F701">
      <w:pPr>
        <w:pStyle w:val="Heading4"/>
        <w:tabs>
          <w:tab w:val="clear" w:pos="2268"/>
        </w:tabs>
        <w:rPr>
          <w:rFonts w:cs="Arial"/>
          <w:b/>
          <w:i/>
        </w:rPr>
      </w:pPr>
      <w:r w:rsidRPr="00DE5D68">
        <w:rPr>
          <w:rFonts w:cs="Arial"/>
        </w:rPr>
        <w:t xml:space="preserve">to give such further information as may be required in accordance with the Articles, as summarised in sub-paragraph below </w:t>
      </w:r>
      <w:r w:rsidR="00577D1F">
        <w:rPr>
          <w:rFonts w:cs="Arial"/>
        </w:rPr>
        <w:fldChar w:fldCharType="begin" w:fldLock="1"/>
      </w:r>
      <w:r w:rsidR="00577D1F">
        <w:rPr>
          <w:rFonts w:cs="Arial"/>
        </w:rPr>
        <w:instrText xml:space="preserve"> REF _Ref32003700 \r \h </w:instrText>
      </w:r>
      <w:r w:rsidR="00577D1F">
        <w:rPr>
          <w:rFonts w:cs="Arial"/>
        </w:rPr>
      </w:r>
      <w:r w:rsidR="00577D1F">
        <w:rPr>
          <w:rFonts w:cs="Arial"/>
        </w:rPr>
        <w:fldChar w:fldCharType="separate"/>
      </w:r>
      <w:r w:rsidR="00DA4048">
        <w:rPr>
          <w:rFonts w:cs="Arial"/>
        </w:rPr>
        <w:t>4.6.2</w:t>
      </w:r>
      <w:r w:rsidR="00577D1F">
        <w:rPr>
          <w:rFonts w:cs="Arial"/>
        </w:rPr>
        <w:fldChar w:fldCharType="end"/>
      </w:r>
      <w:r w:rsidRPr="00DE5D68">
        <w:rPr>
          <w:rFonts w:cs="Arial"/>
        </w:rPr>
        <w:t>.</w:t>
      </w:r>
    </w:p>
    <w:p w:rsidRPr="00DE5D68" w:rsidR="001B7F73" w:rsidP="00C27D12" w:rsidRDefault="005A7597" w14:paraId="2ED0822D" w14:textId="25C9B045">
      <w:pPr>
        <w:pStyle w:val="Heading3"/>
        <w:keepNext/>
        <w:rPr>
          <w:rFonts w:cs="Arial"/>
          <w:b/>
          <w:i/>
        </w:rPr>
      </w:pPr>
      <w:bookmarkStart w:name="_Ref32003700" w:id="264"/>
      <w:r w:rsidRPr="00DE5D68">
        <w:rPr>
          <w:rFonts w:cs="Arial"/>
        </w:rPr>
        <w:t>A Disclosure Notice may (without limitation) require the person to whom it is addressed:</w:t>
      </w:r>
      <w:bookmarkEnd w:id="264"/>
    </w:p>
    <w:p w:rsidRPr="00DE5D68" w:rsidR="001B7F73" w:rsidP="00C27D12" w:rsidRDefault="005A7597" w14:paraId="7CB9DD29" w14:textId="77777777">
      <w:pPr>
        <w:pStyle w:val="Heading4"/>
        <w:tabs>
          <w:tab w:val="clear" w:pos="2268"/>
        </w:tabs>
        <w:rPr>
          <w:rFonts w:cs="Arial"/>
        </w:rPr>
      </w:pPr>
      <w:r w:rsidRPr="00DE5D68">
        <w:rPr>
          <w:rFonts w:cs="Arial"/>
        </w:rPr>
        <w:t>to give particulars of the person’s status (including whether such person is a Non-Qualified Holder), domicile, nationality and residency;</w:t>
      </w:r>
    </w:p>
    <w:p w:rsidRPr="00DE5D68" w:rsidR="001B7F73" w:rsidP="00C27D12" w:rsidRDefault="005A7597" w14:paraId="18C8F42D" w14:textId="0208092B">
      <w:pPr>
        <w:pStyle w:val="Heading4"/>
        <w:tabs>
          <w:tab w:val="clear" w:pos="2268"/>
        </w:tabs>
        <w:rPr>
          <w:rFonts w:cs="Arial"/>
        </w:rPr>
      </w:pPr>
      <w:r w:rsidRPr="00DE5D68">
        <w:rPr>
          <w:rFonts w:cs="Arial"/>
        </w:rPr>
        <w:t xml:space="preserve">to give particulars of his </w:t>
      </w:r>
      <w:r w:rsidR="00B43818">
        <w:rPr>
          <w:rFonts w:cs="Arial"/>
        </w:rPr>
        <w:t xml:space="preserve">or her </w:t>
      </w:r>
      <w:r w:rsidRPr="00DE5D68">
        <w:rPr>
          <w:rFonts w:cs="Arial"/>
        </w:rPr>
        <w:t>own past or present interest in any shares (held by him</w:t>
      </w:r>
      <w:r w:rsidR="00524A7C">
        <w:rPr>
          <w:rFonts w:cs="Arial"/>
        </w:rPr>
        <w:t>/her</w:t>
      </w:r>
      <w:r w:rsidRPr="00DE5D68">
        <w:rPr>
          <w:rFonts w:cs="Arial"/>
        </w:rPr>
        <w:t xml:space="preserve"> at any time during the </w:t>
      </w:r>
      <w:proofErr w:type="gramStart"/>
      <w:r w:rsidRPr="00DE5D68">
        <w:rPr>
          <w:rFonts w:cs="Arial"/>
        </w:rPr>
        <w:t>3 year</w:t>
      </w:r>
      <w:proofErr w:type="gramEnd"/>
      <w:r w:rsidRPr="00DE5D68">
        <w:rPr>
          <w:rFonts w:cs="Arial"/>
        </w:rPr>
        <w:t xml:space="preserve"> period specified in the Articles, as summarised in sub-paragraph </w:t>
      </w:r>
      <w:r w:rsidR="00577D1F">
        <w:rPr>
          <w:rFonts w:cs="Arial"/>
        </w:rPr>
        <w:fldChar w:fldCharType="begin" w:fldLock="1"/>
      </w:r>
      <w:r w:rsidR="00577D1F">
        <w:rPr>
          <w:rFonts w:cs="Arial"/>
        </w:rPr>
        <w:instrText xml:space="preserve"> REF _Ref32003917 \r \h </w:instrText>
      </w:r>
      <w:r w:rsidR="00577D1F">
        <w:rPr>
          <w:rFonts w:cs="Arial"/>
        </w:rPr>
      </w:r>
      <w:r w:rsidR="00577D1F">
        <w:rPr>
          <w:rFonts w:cs="Arial"/>
        </w:rPr>
        <w:fldChar w:fldCharType="separate"/>
      </w:r>
      <w:r w:rsidR="00DA4048">
        <w:rPr>
          <w:rFonts w:cs="Arial"/>
        </w:rPr>
        <w:t>4.6.1</w:t>
      </w:r>
      <w:r w:rsidR="00577D1F">
        <w:rPr>
          <w:rFonts w:cs="Arial"/>
        </w:rPr>
        <w:fldChar w:fldCharType="end"/>
      </w:r>
      <w:r w:rsidRPr="00DE5D68" w:rsidR="001B7F73">
        <w:rPr>
          <w:rFonts w:cs="Arial"/>
        </w:rPr>
        <w:t xml:space="preserve"> </w:t>
      </w:r>
      <w:r w:rsidRPr="00DE5D68">
        <w:rPr>
          <w:rFonts w:cs="Arial"/>
        </w:rPr>
        <w:t>above) and the nature of such interest;</w:t>
      </w:r>
    </w:p>
    <w:p w:rsidRPr="00DE5D68" w:rsidR="001B7F73" w:rsidP="00C27D12" w:rsidRDefault="005A7597" w14:paraId="23BBCF2C" w14:textId="0634F5BC">
      <w:pPr>
        <w:pStyle w:val="Heading4"/>
        <w:tabs>
          <w:tab w:val="clear" w:pos="2268"/>
        </w:tabs>
        <w:rPr>
          <w:rFonts w:cs="Arial"/>
        </w:rPr>
      </w:pPr>
      <w:r w:rsidRPr="00DE5D68">
        <w:rPr>
          <w:rFonts w:cs="Arial"/>
        </w:rPr>
        <w:t>to disclose the identity of any other person who has a present interest in the shares held by him</w:t>
      </w:r>
      <w:r w:rsidR="00524A7C">
        <w:rPr>
          <w:rFonts w:cs="Arial"/>
        </w:rPr>
        <w:t>/her</w:t>
      </w:r>
      <w:r w:rsidRPr="00DE5D68">
        <w:rPr>
          <w:rFonts w:cs="Arial"/>
        </w:rPr>
        <w:t xml:space="preserve"> (or held by him</w:t>
      </w:r>
      <w:r w:rsidR="00524A7C">
        <w:rPr>
          <w:rFonts w:cs="Arial"/>
        </w:rPr>
        <w:t>/her</w:t>
      </w:r>
      <w:r w:rsidRPr="00DE5D68">
        <w:rPr>
          <w:rFonts w:cs="Arial"/>
        </w:rPr>
        <w:t xml:space="preserve"> at any time during the </w:t>
      </w:r>
      <w:proofErr w:type="gramStart"/>
      <w:r w:rsidRPr="00DE5D68">
        <w:rPr>
          <w:rFonts w:cs="Arial"/>
        </w:rPr>
        <w:t>3 year</w:t>
      </w:r>
      <w:proofErr w:type="gramEnd"/>
      <w:r w:rsidRPr="00DE5D68">
        <w:rPr>
          <w:rFonts w:cs="Arial"/>
        </w:rPr>
        <w:t xml:space="preserve"> period specified in sub-paragraph </w:t>
      </w:r>
      <w:r w:rsidR="00577D1F">
        <w:rPr>
          <w:rFonts w:cs="Arial"/>
        </w:rPr>
        <w:fldChar w:fldCharType="begin" w:fldLock="1"/>
      </w:r>
      <w:r w:rsidR="00577D1F">
        <w:rPr>
          <w:rFonts w:cs="Arial"/>
        </w:rPr>
        <w:instrText xml:space="preserve"> REF _Ref32003917 \r \h </w:instrText>
      </w:r>
      <w:r w:rsidR="00577D1F">
        <w:rPr>
          <w:rFonts w:cs="Arial"/>
        </w:rPr>
      </w:r>
      <w:r w:rsidR="00577D1F">
        <w:rPr>
          <w:rFonts w:cs="Arial"/>
        </w:rPr>
        <w:fldChar w:fldCharType="separate"/>
      </w:r>
      <w:r w:rsidR="00DA4048">
        <w:rPr>
          <w:rFonts w:cs="Arial"/>
        </w:rPr>
        <w:t>4.6.1</w:t>
      </w:r>
      <w:r w:rsidR="00577D1F">
        <w:rPr>
          <w:rFonts w:cs="Arial"/>
        </w:rPr>
        <w:fldChar w:fldCharType="end"/>
      </w:r>
      <w:r w:rsidRPr="00DE5D68">
        <w:rPr>
          <w:rFonts w:cs="Arial"/>
        </w:rPr>
        <w:t xml:space="preserve"> above);</w:t>
      </w:r>
    </w:p>
    <w:p w:rsidRPr="00DE5D68" w:rsidR="001B7F73" w:rsidP="00C27D12" w:rsidRDefault="005A7597" w14:paraId="791E157D" w14:textId="0B72A6ED">
      <w:pPr>
        <w:pStyle w:val="Heading4"/>
        <w:tabs>
          <w:tab w:val="clear" w:pos="2268"/>
        </w:tabs>
        <w:rPr>
          <w:rFonts w:cs="Arial"/>
        </w:rPr>
      </w:pPr>
      <w:r w:rsidRPr="00DE5D68">
        <w:rPr>
          <w:rFonts w:cs="Arial"/>
        </w:rPr>
        <w:t xml:space="preserve">where the interest is a present interest and any other interest in any shares subsisted during that 3 year period at any time when his </w:t>
      </w:r>
      <w:r w:rsidR="00B43818">
        <w:rPr>
          <w:rFonts w:cs="Arial"/>
        </w:rPr>
        <w:t xml:space="preserve">or her </w:t>
      </w:r>
      <w:r w:rsidRPr="00DE5D68">
        <w:rPr>
          <w:rFonts w:cs="Arial"/>
        </w:rPr>
        <w:t>own interest subsisted, to give (so far as is within his</w:t>
      </w:r>
      <w:r w:rsidR="00B43818">
        <w:rPr>
          <w:rFonts w:cs="Arial"/>
        </w:rPr>
        <w:t xml:space="preserve"> or her</w:t>
      </w:r>
      <w:r w:rsidRPr="00DE5D68">
        <w:rPr>
          <w:rFonts w:cs="Arial"/>
        </w:rPr>
        <w:t xml:space="preserve"> knowledge) such particulars with respect to that other interest as may be required by the Disclosure Notice; and</w:t>
      </w:r>
    </w:p>
    <w:p w:rsidRPr="00DE5D68" w:rsidR="001B7F73" w:rsidP="00C27D12" w:rsidRDefault="005A7597" w14:paraId="5D37CE79" w14:textId="2E6C7CA0">
      <w:pPr>
        <w:pStyle w:val="Heading4"/>
        <w:tabs>
          <w:tab w:val="clear" w:pos="2268"/>
        </w:tabs>
        <w:rPr>
          <w:rFonts w:cs="Arial"/>
        </w:rPr>
      </w:pPr>
      <w:r w:rsidRPr="00DE5D68">
        <w:rPr>
          <w:rFonts w:cs="Arial"/>
        </w:rPr>
        <w:t xml:space="preserve">where his </w:t>
      </w:r>
      <w:r w:rsidR="00B43818">
        <w:rPr>
          <w:rFonts w:cs="Arial"/>
        </w:rPr>
        <w:t xml:space="preserve">or her </w:t>
      </w:r>
      <w:r w:rsidRPr="00DE5D68">
        <w:rPr>
          <w:rFonts w:cs="Arial"/>
        </w:rPr>
        <w:t>interest is a past interest to give (so far as is within his</w:t>
      </w:r>
      <w:r w:rsidR="00B43818">
        <w:rPr>
          <w:rFonts w:cs="Arial"/>
        </w:rPr>
        <w:t xml:space="preserve"> or her</w:t>
      </w:r>
      <w:r w:rsidRPr="00DE5D68">
        <w:rPr>
          <w:rFonts w:cs="Arial"/>
        </w:rPr>
        <w:t xml:space="preserve"> knowledge) such particulars of the identity of the person who held that interest immediately upon his </w:t>
      </w:r>
      <w:r w:rsidR="00B43818">
        <w:rPr>
          <w:rFonts w:cs="Arial"/>
        </w:rPr>
        <w:t xml:space="preserve">or her </w:t>
      </w:r>
      <w:r w:rsidRPr="00DE5D68">
        <w:rPr>
          <w:rFonts w:cs="Arial"/>
        </w:rPr>
        <w:t>ceasing to hold it.</w:t>
      </w:r>
    </w:p>
    <w:p w:rsidRPr="00DE5D68" w:rsidR="0026352B" w:rsidP="00C27D12" w:rsidRDefault="005A7597" w14:paraId="2DD27492" w14:textId="4DE8BDBD">
      <w:pPr>
        <w:pStyle w:val="Heading3"/>
        <w:rPr>
          <w:rFonts w:cs="Arial"/>
          <w:b/>
          <w:i/>
        </w:rPr>
      </w:pPr>
      <w:bookmarkStart w:name="_Ref32004159" w:id="265"/>
      <w:r w:rsidRPr="00DE5D68">
        <w:rPr>
          <w:rFonts w:cs="Arial"/>
        </w:rPr>
        <w:t xml:space="preserve">In addition to the right of the Company to serve notice on any person pursuant to sub-paragraph </w:t>
      </w:r>
      <w:r w:rsidR="00577D1F">
        <w:rPr>
          <w:rFonts w:cs="Arial"/>
        </w:rPr>
        <w:fldChar w:fldCharType="begin" w:fldLock="1"/>
      </w:r>
      <w:r w:rsidR="00577D1F">
        <w:rPr>
          <w:rFonts w:cs="Arial"/>
        </w:rPr>
        <w:instrText xml:space="preserve"> REF _Ref32003700 \r \h </w:instrText>
      </w:r>
      <w:r w:rsidR="00577D1F">
        <w:rPr>
          <w:rFonts w:cs="Arial"/>
        </w:rPr>
      </w:r>
      <w:r w:rsidR="00577D1F">
        <w:rPr>
          <w:rFonts w:cs="Arial"/>
        </w:rPr>
        <w:fldChar w:fldCharType="separate"/>
      </w:r>
      <w:r w:rsidR="00DA4048">
        <w:rPr>
          <w:rFonts w:cs="Arial"/>
        </w:rPr>
        <w:t>4.6.2</w:t>
      </w:r>
      <w:r w:rsidR="00577D1F">
        <w:rPr>
          <w:rFonts w:cs="Arial"/>
        </w:rPr>
        <w:fldChar w:fldCharType="end"/>
      </w:r>
      <w:r w:rsidRPr="00DE5D68" w:rsidR="0026352B">
        <w:rPr>
          <w:rFonts w:cs="Arial"/>
        </w:rPr>
        <w:t xml:space="preserve"> </w:t>
      </w:r>
      <w:r w:rsidRPr="00DE5D68">
        <w:rPr>
          <w:rFonts w:cs="Arial"/>
        </w:rPr>
        <w:t xml:space="preserve">above, the Company may at any time and from time to time serve a notice in </w:t>
      </w:r>
      <w:r w:rsidRPr="00DE5D68">
        <w:rPr>
          <w:rFonts w:cs="Arial"/>
        </w:rPr>
        <w:lastRenderedPageBreak/>
        <w:t xml:space="preserve">writing (an </w:t>
      </w:r>
      <w:r w:rsidRPr="00DE5D68" w:rsidR="0026352B">
        <w:rPr>
          <w:rFonts w:cs="Arial"/>
        </w:rPr>
        <w:t>"</w:t>
      </w:r>
      <w:r w:rsidRPr="00DE5D68">
        <w:rPr>
          <w:rFonts w:cs="Arial"/>
          <w:b/>
        </w:rPr>
        <w:t>Information Notice</w:t>
      </w:r>
      <w:r w:rsidRPr="00DE5D68" w:rsidR="0026352B">
        <w:rPr>
          <w:rFonts w:cs="Arial"/>
        </w:rPr>
        <w:t>"</w:t>
      </w:r>
      <w:r w:rsidRPr="00DE5D68">
        <w:rPr>
          <w:rFonts w:cs="Arial"/>
        </w:rPr>
        <w:t xml:space="preserve">) on any </w:t>
      </w:r>
      <w:r w:rsidRPr="00DE5D68" w:rsidR="000C0D70">
        <w:rPr>
          <w:rFonts w:cs="Arial"/>
        </w:rPr>
        <w:t>Shareholder</w:t>
      </w:r>
      <w:r w:rsidRPr="00DE5D68">
        <w:rPr>
          <w:rFonts w:cs="Arial"/>
        </w:rPr>
        <w:t xml:space="preserve"> requiring that </w:t>
      </w:r>
      <w:r w:rsidRPr="00DE5D68" w:rsidR="000C0D70">
        <w:rPr>
          <w:rFonts w:cs="Arial"/>
        </w:rPr>
        <w:t>Shareholder</w:t>
      </w:r>
      <w:r w:rsidRPr="00DE5D68">
        <w:rPr>
          <w:rFonts w:cs="Arial"/>
        </w:rPr>
        <w:t xml:space="preserve"> to promptly provide the Company with any information, representations, certificates, waivers or forms (</w:t>
      </w:r>
      <w:r w:rsidRPr="00DE5D68" w:rsidR="0026352B">
        <w:rPr>
          <w:rFonts w:cs="Arial"/>
        </w:rPr>
        <w:t>"</w:t>
      </w:r>
      <w:r w:rsidRPr="00DE5D68">
        <w:rPr>
          <w:rFonts w:cs="Arial"/>
          <w:b/>
        </w:rPr>
        <w:t>Information</w:t>
      </w:r>
      <w:r w:rsidRPr="00DE5D68" w:rsidR="0026352B">
        <w:rPr>
          <w:rFonts w:cs="Arial"/>
        </w:rPr>
        <w:t>"</w:t>
      </w:r>
      <w:r w:rsidRPr="00DE5D68">
        <w:rPr>
          <w:rFonts w:cs="Arial"/>
        </w:rPr>
        <w:t xml:space="preserve">) relating to such </w:t>
      </w:r>
      <w:r w:rsidRPr="00DE5D68" w:rsidR="000C0D70">
        <w:rPr>
          <w:rFonts w:cs="Arial"/>
        </w:rPr>
        <w:t>Shareholder</w:t>
      </w:r>
      <w:r w:rsidRPr="00DE5D68">
        <w:rPr>
          <w:rFonts w:cs="Arial"/>
        </w:rPr>
        <w:t xml:space="preserve"> (and its direct or indirect owners or account holders or the persons beneficially interested, directly or indirectly in the shares in the Company held by such </w:t>
      </w:r>
      <w:r w:rsidRPr="00DE5D68" w:rsidR="000C0D70">
        <w:rPr>
          <w:rFonts w:cs="Arial"/>
        </w:rPr>
        <w:t>Shareholder</w:t>
      </w:r>
      <w:r w:rsidRPr="00DE5D68">
        <w:rPr>
          <w:rFonts w:cs="Arial"/>
        </w:rPr>
        <w:t>) that the Directors may determine from time to time is necessary or appropriate for the Company to have in order to (a) satisfy any account or payee identification, documentation or other diligence requirements and any reporting requirements imposed under or in relation to AML Legislation, International Tax Compliance Legislation and/or the requirements of any similar laws or regulations to which the Company may be subject enacted from time to time by any other jurisdiction (“</w:t>
      </w:r>
      <w:r w:rsidRPr="00DE5D68">
        <w:rPr>
          <w:rFonts w:cs="Arial"/>
          <w:b/>
        </w:rPr>
        <w:t>similar laws</w:t>
      </w:r>
      <w:r w:rsidRPr="00DE5D68">
        <w:rPr>
          <w:rFonts w:cs="Arial"/>
        </w:rPr>
        <w:t xml:space="preserve">”); or (b) avoid or reduce any tax or penalty otherwise imposed by International Tax Compliance Legislation or similar laws (including any withholding upon any payments to such </w:t>
      </w:r>
      <w:r w:rsidRPr="00DE5D68" w:rsidR="000C0D70">
        <w:rPr>
          <w:rFonts w:cs="Arial"/>
        </w:rPr>
        <w:t>Shareholder</w:t>
      </w:r>
      <w:r w:rsidRPr="00DE5D68">
        <w:rPr>
          <w:rFonts w:cs="Arial"/>
        </w:rPr>
        <w:t xml:space="preserve"> by the Company); or (c) permit the Company to enter into, comply with, or prevent a default under or termination of, an agreement of the type described in section 1471(b) of the U.S. Tax Code or under similar laws. The Company and its agents shall be entitled to hold and process the Information for the purposes of carrying out the business of the Company and the administration and protection of its interests, and shall process any personal data in accordance with all applicable data protection legislation.</w:t>
      </w:r>
      <w:bookmarkEnd w:id="265"/>
    </w:p>
    <w:p w:rsidRPr="00DE5D68" w:rsidR="0026352B" w:rsidP="00C27D12" w:rsidRDefault="005A7597" w14:paraId="51ADC7A2" w14:textId="0FCD7478">
      <w:pPr>
        <w:pStyle w:val="Heading3"/>
        <w:rPr>
          <w:rFonts w:cs="Arial"/>
          <w:b/>
          <w:i/>
        </w:rPr>
      </w:pPr>
      <w:bookmarkStart w:name="_Ref32004178" w:id="266"/>
      <w:r w:rsidRPr="00DE5D68">
        <w:rPr>
          <w:rFonts w:cs="Arial"/>
        </w:rPr>
        <w:t>DTR</w:t>
      </w:r>
      <w:r w:rsidRPr="00DE5D68" w:rsidR="00B6664F">
        <w:rPr>
          <w:rFonts w:cs="Arial"/>
        </w:rPr>
        <w:t xml:space="preserve"> </w:t>
      </w:r>
      <w:r w:rsidRPr="00DE5D68">
        <w:rPr>
          <w:rFonts w:cs="Arial"/>
        </w:rPr>
        <w:t xml:space="preserve">5, which on the basis incorporated into the Articles </w:t>
      </w:r>
      <w:r w:rsidRPr="00DE5D68" w:rsidR="00230B3C">
        <w:rPr>
          <w:rFonts w:cs="Arial"/>
        </w:rPr>
        <w:t>applies</w:t>
      </w:r>
      <w:r w:rsidRPr="00DE5D68" w:rsidR="00B6664F">
        <w:rPr>
          <w:rFonts w:cs="Arial"/>
        </w:rPr>
        <w:t xml:space="preserve"> </w:t>
      </w:r>
      <w:r w:rsidRPr="00DE5D68">
        <w:rPr>
          <w:rFonts w:cs="Arial"/>
        </w:rPr>
        <w:t xml:space="preserve">as if the Company were a “UK issuer” as such term is defined by DTR5, requires members to notify the Company if the voting rights attached to shares in the Company held by them (subject to certain exceptions as set out in DTR5) reach, exceed or fall below 3 per cent. and each 1 per cent. threshold thereafter up to 100 per cent. </w:t>
      </w:r>
      <w:r w:rsidRPr="00DE5D68" w:rsidR="000773F0">
        <w:rPr>
          <w:rFonts w:cs="Arial"/>
        </w:rPr>
        <w:t>T</w:t>
      </w:r>
      <w:r w:rsidRPr="00DE5D68">
        <w:rPr>
          <w:rFonts w:cs="Arial"/>
        </w:rPr>
        <w:t>he Company may also send a notice (a “</w:t>
      </w:r>
      <w:r w:rsidRPr="00DE5D68">
        <w:rPr>
          <w:rFonts w:cs="Arial"/>
          <w:b/>
        </w:rPr>
        <w:t>DTR Notice</w:t>
      </w:r>
      <w:r w:rsidRPr="00DE5D68">
        <w:rPr>
          <w:rFonts w:cs="Arial"/>
        </w:rPr>
        <w:t xml:space="preserve">”) to any person whom it knows or believes to be interested in its shares, requiring such person to confirm whether he </w:t>
      </w:r>
      <w:r w:rsidR="00B43818">
        <w:rPr>
          <w:rFonts w:cs="Arial"/>
        </w:rPr>
        <w:t xml:space="preserve">or she </w:t>
      </w:r>
      <w:r w:rsidRPr="00DE5D68">
        <w:rPr>
          <w:rFonts w:cs="Arial"/>
        </w:rPr>
        <w:t>has such an interest and, if so, details of that interest.</w:t>
      </w:r>
      <w:bookmarkEnd w:id="266"/>
    </w:p>
    <w:p w:rsidRPr="00DE5D68" w:rsidR="0026352B" w:rsidP="00C27D12" w:rsidRDefault="005A7597" w14:paraId="0689D1F9" w14:textId="77777777">
      <w:pPr>
        <w:pStyle w:val="Heading3"/>
        <w:rPr>
          <w:rFonts w:cs="Arial"/>
          <w:b/>
          <w:i/>
        </w:rPr>
      </w:pPr>
      <w:r w:rsidRPr="00DE5D68">
        <w:rPr>
          <w:rFonts w:cs="Arial"/>
        </w:rPr>
        <w:t>Any Disclosure Notice, Information Notice or DTR Notice issued or served by the Company shall require any information in response to such notice to be given within the prescribed period (which is 28 days after service of the notice or 14 days if the shares concerned represent 0.25 per cent. or more in number of the issued shares of the relevant class) or such other reasonable period as the Directors may determine.</w:t>
      </w:r>
    </w:p>
    <w:p w:rsidRPr="00DE5D68" w:rsidR="0026352B" w:rsidP="00C27D12" w:rsidRDefault="005A7597" w14:paraId="537F419F" w14:textId="336BD511">
      <w:pPr>
        <w:pStyle w:val="Heading3"/>
        <w:rPr>
          <w:rFonts w:cs="Arial"/>
          <w:b/>
          <w:i/>
        </w:rPr>
      </w:pPr>
      <w:r w:rsidRPr="00DE5D68">
        <w:rPr>
          <w:rFonts w:cs="Arial"/>
        </w:rPr>
        <w:t xml:space="preserve">If any member is in default in supplying to the Company the information required by the Company pursuant to sub-paragraphs </w:t>
      </w:r>
      <w:r w:rsidR="002473F7">
        <w:rPr>
          <w:rFonts w:cs="Arial"/>
        </w:rPr>
        <w:fldChar w:fldCharType="begin" w:fldLock="1"/>
      </w:r>
      <w:r w:rsidR="002473F7">
        <w:rPr>
          <w:rFonts w:cs="Arial"/>
        </w:rPr>
        <w:instrText xml:space="preserve"> REF _Ref32003917 \n \h </w:instrText>
      </w:r>
      <w:r w:rsidR="002473F7">
        <w:rPr>
          <w:rFonts w:cs="Arial"/>
        </w:rPr>
      </w:r>
      <w:r w:rsidR="002473F7">
        <w:rPr>
          <w:rFonts w:cs="Arial"/>
        </w:rPr>
        <w:fldChar w:fldCharType="separate"/>
      </w:r>
      <w:r w:rsidR="00DA4048">
        <w:rPr>
          <w:rFonts w:cs="Arial"/>
        </w:rPr>
        <w:t>4.6.1</w:t>
      </w:r>
      <w:r w:rsidR="002473F7">
        <w:rPr>
          <w:rFonts w:cs="Arial"/>
        </w:rPr>
        <w:fldChar w:fldCharType="end"/>
      </w:r>
      <w:r w:rsidRPr="00DE5D68">
        <w:rPr>
          <w:rFonts w:cs="Arial"/>
        </w:rPr>
        <w:t xml:space="preserve">, </w:t>
      </w:r>
      <w:r w:rsidR="002473F7">
        <w:rPr>
          <w:rFonts w:cs="Arial"/>
        </w:rPr>
        <w:fldChar w:fldCharType="begin" w:fldLock="1"/>
      </w:r>
      <w:r w:rsidR="002473F7">
        <w:rPr>
          <w:rFonts w:cs="Arial"/>
        </w:rPr>
        <w:instrText xml:space="preserve"> REF _Ref32004159 \n \h </w:instrText>
      </w:r>
      <w:r w:rsidR="002473F7">
        <w:rPr>
          <w:rFonts w:cs="Arial"/>
        </w:rPr>
      </w:r>
      <w:r w:rsidR="002473F7">
        <w:rPr>
          <w:rFonts w:cs="Arial"/>
        </w:rPr>
        <w:fldChar w:fldCharType="separate"/>
      </w:r>
      <w:r w:rsidR="00DA4048">
        <w:rPr>
          <w:rFonts w:cs="Arial"/>
        </w:rPr>
        <w:t>4.6.3</w:t>
      </w:r>
      <w:r w:rsidR="002473F7">
        <w:rPr>
          <w:rFonts w:cs="Arial"/>
        </w:rPr>
        <w:fldChar w:fldCharType="end"/>
      </w:r>
      <w:r w:rsidRPr="00DE5D68" w:rsidR="0026352B">
        <w:rPr>
          <w:rFonts w:cs="Arial"/>
        </w:rPr>
        <w:t xml:space="preserve"> </w:t>
      </w:r>
      <w:r w:rsidRPr="00DE5D68">
        <w:rPr>
          <w:rFonts w:cs="Arial"/>
        </w:rPr>
        <w:t xml:space="preserve">and </w:t>
      </w:r>
      <w:r w:rsidR="002473F7">
        <w:rPr>
          <w:rFonts w:cs="Arial"/>
        </w:rPr>
        <w:fldChar w:fldCharType="begin" w:fldLock="1"/>
      </w:r>
      <w:r w:rsidR="002473F7">
        <w:rPr>
          <w:rFonts w:cs="Arial"/>
        </w:rPr>
        <w:instrText xml:space="preserve"> REF _Ref32004178 \n \h </w:instrText>
      </w:r>
      <w:r w:rsidR="002473F7">
        <w:rPr>
          <w:rFonts w:cs="Arial"/>
        </w:rPr>
      </w:r>
      <w:r w:rsidR="002473F7">
        <w:rPr>
          <w:rFonts w:cs="Arial"/>
        </w:rPr>
        <w:fldChar w:fldCharType="separate"/>
      </w:r>
      <w:r w:rsidR="00DA4048">
        <w:rPr>
          <w:rFonts w:cs="Arial"/>
        </w:rPr>
        <w:t>4.6.4</w:t>
      </w:r>
      <w:r w:rsidR="002473F7">
        <w:rPr>
          <w:rFonts w:cs="Arial"/>
        </w:rPr>
        <w:fldChar w:fldCharType="end"/>
      </w:r>
      <w:r w:rsidRPr="00DE5D68" w:rsidR="0026352B">
        <w:rPr>
          <w:rFonts w:cs="Arial"/>
        </w:rPr>
        <w:t xml:space="preserve"> </w:t>
      </w:r>
      <w:r w:rsidRPr="00DE5D68">
        <w:rPr>
          <w:rFonts w:cs="Arial"/>
        </w:rPr>
        <w:t>within the prescribed period or such other reasonable period as the Directors determine or provides information that is false in a material particular, the Directors in their absolute discretion may serve a direction notice on the member (a “</w:t>
      </w:r>
      <w:r w:rsidRPr="00DE5D68">
        <w:rPr>
          <w:rFonts w:cs="Arial"/>
          <w:b/>
        </w:rPr>
        <w:t>Direction Notice</w:t>
      </w:r>
      <w:r w:rsidRPr="00DE5D68">
        <w:rPr>
          <w:rFonts w:cs="Arial"/>
        </w:rPr>
        <w:t>”). The Direction Notice may direct that in respect of the shares in respect of which the default has occurred (the “</w:t>
      </w:r>
      <w:r w:rsidRPr="00DE5D68">
        <w:rPr>
          <w:rFonts w:cs="Arial"/>
          <w:b/>
        </w:rPr>
        <w:t>Default Shares</w:t>
      </w:r>
      <w:r w:rsidRPr="00DE5D68">
        <w:rPr>
          <w:rFonts w:cs="Arial"/>
        </w:rPr>
        <w:t xml:space="preserve">”) the member shall not be entitled to vote in general meetings or class meetings. Where the Default Shares represent at least 0.25 per cent. in number of the class of shares concerned, the Direction Notice may additionally direct that dividends on such shares will be retained by the Company (without interest) and that, subject to the requirements of </w:t>
      </w:r>
      <w:r w:rsidR="00640CB6">
        <w:rPr>
          <w:rFonts w:cs="Arial"/>
        </w:rPr>
        <w:fldChar w:fldCharType="begin">
          <w:fldData xml:space="preserve">dgAxAHwAMQAwADAANAA2AHwAdABoAGUAIABMAG8AbgBkAG8AbgB8AEEAbQBiAGkAZwAtADEAMAAw
ADQANgB8AHwA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 xml:space="preserve">the London Stock Exchange, no transfer of the Default Shares (other than a transfer authorised under the Articles) shall be registered until the default is rectified. Subject always to the Regulations and the Rules and </w:t>
      </w:r>
      <w:r w:rsidR="00640CB6">
        <w:rPr>
          <w:rFonts w:cs="Arial"/>
        </w:rPr>
        <w:fldChar w:fldCharType="begin">
          <w:fldData xml:space="preserve">dgAxAHwAMQAwADAANAA3AHwAdABoAGUAIABMAG8AbgBkAG8AbgB8AEEAbQBiAGkAZwAtADEAMAAw
ADQANwB8AHwA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 xml:space="preserve">the London Stock Exchange, where the Directors have any grounds to believe that such Default Shares, are held by or for the benefit of or by persons acting on behalf of a Non-Qualified Holder, the Directors may at their discretion deem the Default Shares to be held by, or on behalf of or for the benefit of, a Non-Qualified Holder (as the Directors may determine) and that the provisions of the Articles, as summarised in sub-paragraph </w:t>
      </w:r>
      <w:r w:rsidR="00991583">
        <w:rPr>
          <w:rFonts w:cs="Arial"/>
        </w:rPr>
        <w:fldChar w:fldCharType="begin" w:fldLock="1"/>
      </w:r>
      <w:r w:rsidR="00991583">
        <w:rPr>
          <w:rFonts w:cs="Arial"/>
        </w:rPr>
        <w:instrText xml:space="preserve"> REF _Ref65783086 \n \h </w:instrText>
      </w:r>
      <w:r w:rsidR="00991583">
        <w:rPr>
          <w:rFonts w:cs="Arial"/>
        </w:rPr>
      </w:r>
      <w:r w:rsidR="00991583">
        <w:rPr>
          <w:rFonts w:cs="Arial"/>
        </w:rPr>
        <w:fldChar w:fldCharType="separate"/>
      </w:r>
      <w:r w:rsidR="00DA4048">
        <w:rPr>
          <w:rFonts w:cs="Arial"/>
        </w:rPr>
        <w:t>4.9</w:t>
      </w:r>
      <w:r w:rsidR="00991583">
        <w:rPr>
          <w:rFonts w:cs="Arial"/>
        </w:rPr>
        <w:fldChar w:fldCharType="end"/>
      </w:r>
      <w:r w:rsidR="00991583">
        <w:rPr>
          <w:rFonts w:cs="Arial"/>
        </w:rPr>
        <w:fldChar w:fldCharType="begin" w:fldLock="1"/>
      </w:r>
      <w:r w:rsidR="00991583">
        <w:rPr>
          <w:rFonts w:cs="Arial"/>
        </w:rPr>
        <w:instrText xml:space="preserve"> REF _Ref32005534 \n \h </w:instrText>
      </w:r>
      <w:r w:rsidR="00991583">
        <w:rPr>
          <w:rFonts w:cs="Arial"/>
        </w:rPr>
      </w:r>
      <w:r w:rsidR="00991583">
        <w:rPr>
          <w:rFonts w:cs="Arial"/>
        </w:rPr>
        <w:fldChar w:fldCharType="separate"/>
      </w:r>
      <w:r w:rsidR="00DA4048">
        <w:rPr>
          <w:rFonts w:cs="Arial"/>
        </w:rPr>
        <w:t>(g)</w:t>
      </w:r>
      <w:r w:rsidR="00991583">
        <w:rPr>
          <w:rFonts w:cs="Arial"/>
        </w:rPr>
        <w:fldChar w:fldCharType="end"/>
      </w:r>
      <w:r w:rsidRPr="00DE5D68" w:rsidR="004D7D2A">
        <w:rPr>
          <w:rFonts w:cs="Arial"/>
        </w:rPr>
        <w:t xml:space="preserve"> </w:t>
      </w:r>
      <w:r w:rsidRPr="00DE5D68">
        <w:rPr>
          <w:rFonts w:cs="Arial"/>
        </w:rPr>
        <w:t>below, should apply to such Default Shares.</w:t>
      </w:r>
    </w:p>
    <w:p w:rsidRPr="00DE5D68" w:rsidR="0026352B" w:rsidP="00C27D12" w:rsidRDefault="005A7597" w14:paraId="42A2DFDC" w14:textId="35640931">
      <w:pPr>
        <w:pStyle w:val="Heading2"/>
        <w:keepNext/>
        <w:rPr>
          <w:rFonts w:cs="Arial"/>
          <w:b/>
        </w:rPr>
      </w:pPr>
      <w:bookmarkStart w:name="_Ref32004265" w:id="267"/>
      <w:r w:rsidRPr="00DE5D68">
        <w:rPr>
          <w:rFonts w:cs="Arial"/>
          <w:b/>
        </w:rPr>
        <w:t>Pre-emption rights</w:t>
      </w:r>
      <w:bookmarkEnd w:id="267"/>
      <w:r w:rsidRPr="00DE5D68" w:rsidR="0026352B">
        <w:rPr>
          <w:rFonts w:cs="Arial"/>
          <w:b/>
        </w:rPr>
        <w:t xml:space="preserve"> </w:t>
      </w:r>
    </w:p>
    <w:p w:rsidRPr="00DE5D68" w:rsidR="0026352B" w:rsidP="00C27D12" w:rsidRDefault="005A7597" w14:paraId="064FCEEC" w14:textId="1DCC0C1D">
      <w:pPr>
        <w:pStyle w:val="Heading3"/>
        <w:keepNext/>
        <w:rPr>
          <w:rFonts w:cs="Arial"/>
          <w:b/>
          <w:i/>
        </w:rPr>
      </w:pPr>
      <w:bookmarkStart w:name="_Ref32004417" w:id="268"/>
      <w:r w:rsidRPr="00DE5D68">
        <w:rPr>
          <w:rFonts w:cs="Arial"/>
        </w:rPr>
        <w:t xml:space="preserve">Subject to the provisions of this paragraph </w:t>
      </w:r>
      <w:r w:rsidR="00577D1F">
        <w:rPr>
          <w:rFonts w:cs="Arial"/>
        </w:rPr>
        <w:fldChar w:fldCharType="begin" w:fldLock="1"/>
      </w:r>
      <w:r w:rsidR="00577D1F">
        <w:rPr>
          <w:rFonts w:cs="Arial"/>
        </w:rPr>
        <w:instrText xml:space="preserve"> REF _Ref32004265 \r \h </w:instrText>
      </w:r>
      <w:r w:rsidR="00577D1F">
        <w:rPr>
          <w:rFonts w:cs="Arial"/>
        </w:rPr>
      </w:r>
      <w:r w:rsidR="00577D1F">
        <w:rPr>
          <w:rFonts w:cs="Arial"/>
        </w:rPr>
        <w:fldChar w:fldCharType="separate"/>
      </w:r>
      <w:r w:rsidR="00DA4048">
        <w:rPr>
          <w:rFonts w:cs="Arial"/>
        </w:rPr>
        <w:t>4.7</w:t>
      </w:r>
      <w:r w:rsidR="00577D1F">
        <w:rPr>
          <w:rFonts w:cs="Arial"/>
        </w:rPr>
        <w:fldChar w:fldCharType="end"/>
      </w:r>
      <w:r w:rsidRPr="00DE5D68">
        <w:rPr>
          <w:rFonts w:cs="Arial"/>
        </w:rPr>
        <w:t xml:space="preserve">, the Company shall not </w:t>
      </w:r>
      <w:r w:rsidRPr="00DE5D68" w:rsidR="00A50C3E">
        <w:rPr>
          <w:rFonts w:cs="Arial"/>
        </w:rPr>
        <w:t>i</w:t>
      </w:r>
      <w:r w:rsidRPr="00DE5D68" w:rsidR="000C0D70">
        <w:rPr>
          <w:rFonts w:cs="Arial"/>
        </w:rPr>
        <w:t>ssue</w:t>
      </w:r>
      <w:r w:rsidRPr="00DE5D68">
        <w:rPr>
          <w:rFonts w:cs="Arial"/>
        </w:rPr>
        <w:t xml:space="preserve"> equity securities, nor sell them from treasury, for cash on any terms to a person unless:</w:t>
      </w:r>
      <w:bookmarkEnd w:id="268"/>
    </w:p>
    <w:p w:rsidRPr="00DE5D68" w:rsidR="0026352B" w:rsidP="00C27D12" w:rsidRDefault="005A7597" w14:paraId="5425C50C" w14:textId="39E157E7">
      <w:pPr>
        <w:pStyle w:val="Heading4"/>
        <w:tabs>
          <w:tab w:val="clear" w:pos="2268"/>
          <w:tab w:val="num" w:pos="1134"/>
        </w:tabs>
        <w:rPr>
          <w:rFonts w:cs="Arial"/>
          <w:b/>
          <w:i/>
        </w:rPr>
      </w:pPr>
      <w:r w:rsidRPr="00DE5D68">
        <w:rPr>
          <w:rFonts w:cs="Arial"/>
        </w:rPr>
        <w:t xml:space="preserve">it has made an offer to each person who holds equity securities of the same class in the Company to </w:t>
      </w:r>
      <w:r w:rsidRPr="00DE5D68" w:rsidR="00A50C3E">
        <w:rPr>
          <w:rFonts w:cs="Arial"/>
        </w:rPr>
        <w:t>i</w:t>
      </w:r>
      <w:r w:rsidRPr="00DE5D68" w:rsidR="000C0D70">
        <w:rPr>
          <w:rFonts w:cs="Arial"/>
        </w:rPr>
        <w:t>ssue</w:t>
      </w:r>
      <w:r w:rsidRPr="00DE5D68">
        <w:rPr>
          <w:rFonts w:cs="Arial"/>
        </w:rPr>
        <w:t xml:space="preserve"> to him</w:t>
      </w:r>
      <w:r w:rsidR="00524A7C">
        <w:rPr>
          <w:rFonts w:cs="Arial"/>
        </w:rPr>
        <w:t>/her</w:t>
      </w:r>
      <w:r w:rsidRPr="00DE5D68">
        <w:rPr>
          <w:rFonts w:cs="Arial"/>
        </w:rPr>
        <w:t xml:space="preserve"> on the same or more favourable terms a proportion of those equity securities that is as nearly as practicable equal to the </w:t>
      </w:r>
      <w:r w:rsidRPr="00DE5D68">
        <w:rPr>
          <w:rFonts w:cs="Arial"/>
        </w:rPr>
        <w:lastRenderedPageBreak/>
        <w:t>proportion in number held by him</w:t>
      </w:r>
      <w:r w:rsidR="00524A7C">
        <w:rPr>
          <w:rFonts w:cs="Arial"/>
        </w:rPr>
        <w:t>/her</w:t>
      </w:r>
      <w:r w:rsidRPr="00DE5D68">
        <w:rPr>
          <w:rFonts w:cs="Arial"/>
        </w:rPr>
        <w:t xml:space="preserve"> of the share capital of the Company of that class; and</w:t>
      </w:r>
    </w:p>
    <w:p w:rsidRPr="00DE5D68" w:rsidR="0026352B" w:rsidP="00C27D12" w:rsidRDefault="005A7597" w14:paraId="61EDB9DD" w14:textId="77777777">
      <w:pPr>
        <w:pStyle w:val="Heading4"/>
        <w:tabs>
          <w:tab w:val="clear" w:pos="2268"/>
          <w:tab w:val="num" w:pos="1134"/>
        </w:tabs>
        <w:rPr>
          <w:rFonts w:cs="Arial"/>
          <w:b/>
          <w:i/>
        </w:rPr>
      </w:pPr>
      <w:r w:rsidRPr="00DE5D68">
        <w:rPr>
          <w:rFonts w:cs="Arial"/>
        </w:rPr>
        <w:t>the period during which any such offer may be accepted has expired or the Company has received notice of the acceptance or refusal of every offer so made,</w:t>
      </w:r>
    </w:p>
    <w:p w:rsidRPr="00DE5D68" w:rsidR="0026352B" w:rsidP="00C27D12" w:rsidRDefault="005A7597" w14:paraId="25A41BF1" w14:textId="0D5AADC6">
      <w:pPr>
        <w:pStyle w:val="Heading4"/>
        <w:numPr>
          <w:ilvl w:val="0"/>
          <w:numId w:val="0"/>
        </w:numPr>
        <w:ind w:left="1418"/>
        <w:rPr>
          <w:rFonts w:cs="Arial"/>
          <w:b/>
          <w:i/>
        </w:rPr>
      </w:pPr>
      <w:r w:rsidRPr="00DE5D68">
        <w:rPr>
          <w:rFonts w:cs="Arial"/>
        </w:rPr>
        <w:t>provided that the Directors may impose such exclusions and/or make such other arrangements as they deem necessary or expedient or having regard to any legal or practical problems arising under the laws of any overseas territory or the requirements of any regulatory body or stock exchange in any territory or otherwise. The holders of equity securities affected as a result of such exclusions or arrangements shall not be deemed, or be deemed to be, a separate class of members for any purposes whatsoever.</w:t>
      </w:r>
    </w:p>
    <w:p w:rsidRPr="00DE5D68" w:rsidR="0026352B" w:rsidP="00C27D12" w:rsidRDefault="005A7597" w14:paraId="5F692B3D" w14:textId="4BEFB5B0">
      <w:pPr>
        <w:pStyle w:val="Heading3"/>
        <w:rPr>
          <w:rFonts w:cs="Arial"/>
          <w:b/>
          <w:i/>
        </w:rPr>
      </w:pPr>
      <w:r w:rsidRPr="00DE5D68">
        <w:rPr>
          <w:rFonts w:cs="Arial"/>
        </w:rPr>
        <w:t xml:space="preserve">Securities that the Company has offered to </w:t>
      </w:r>
      <w:r w:rsidRPr="00DE5D68" w:rsidR="009B2499">
        <w:rPr>
          <w:rFonts w:cs="Arial"/>
        </w:rPr>
        <w:t xml:space="preserve">issue </w:t>
      </w:r>
      <w:r w:rsidRPr="00DE5D68">
        <w:rPr>
          <w:rFonts w:cs="Arial"/>
        </w:rPr>
        <w:t xml:space="preserve">to a holder of equity securities in accordance with sub-paragraph </w:t>
      </w:r>
      <w:r w:rsidR="00577D1F">
        <w:rPr>
          <w:rFonts w:cs="Arial"/>
        </w:rPr>
        <w:fldChar w:fldCharType="begin" w:fldLock="1"/>
      </w:r>
      <w:r w:rsidR="00577D1F">
        <w:rPr>
          <w:rFonts w:cs="Arial"/>
        </w:rPr>
        <w:instrText xml:space="preserve"> REF _Ref32004417 \r \h </w:instrText>
      </w:r>
      <w:r w:rsidR="00577D1F">
        <w:rPr>
          <w:rFonts w:cs="Arial"/>
        </w:rPr>
      </w:r>
      <w:r w:rsidR="00577D1F">
        <w:rPr>
          <w:rFonts w:cs="Arial"/>
        </w:rPr>
        <w:fldChar w:fldCharType="separate"/>
      </w:r>
      <w:r w:rsidR="00DA4048">
        <w:rPr>
          <w:rFonts w:cs="Arial"/>
        </w:rPr>
        <w:t>4.7.1</w:t>
      </w:r>
      <w:r w:rsidR="00577D1F">
        <w:rPr>
          <w:rFonts w:cs="Arial"/>
        </w:rPr>
        <w:fldChar w:fldCharType="end"/>
      </w:r>
      <w:r w:rsidRPr="00DE5D68" w:rsidR="0026352B">
        <w:rPr>
          <w:rFonts w:cs="Arial"/>
        </w:rPr>
        <w:t xml:space="preserve"> </w:t>
      </w:r>
      <w:r w:rsidRPr="00DE5D68">
        <w:rPr>
          <w:rFonts w:cs="Arial"/>
        </w:rPr>
        <w:t>above may be issued to him</w:t>
      </w:r>
      <w:r w:rsidR="00524A7C">
        <w:rPr>
          <w:rFonts w:cs="Arial"/>
        </w:rPr>
        <w:t>/her</w:t>
      </w:r>
      <w:r w:rsidRPr="00DE5D68">
        <w:rPr>
          <w:rFonts w:cs="Arial"/>
        </w:rPr>
        <w:t xml:space="preserve">, or anyone in whose favour he </w:t>
      </w:r>
      <w:r w:rsidR="00B43818">
        <w:rPr>
          <w:rFonts w:cs="Arial"/>
        </w:rPr>
        <w:t xml:space="preserve">or she </w:t>
      </w:r>
      <w:r w:rsidRPr="00DE5D68">
        <w:rPr>
          <w:rFonts w:cs="Arial"/>
        </w:rPr>
        <w:t xml:space="preserve">has renounced his </w:t>
      </w:r>
      <w:r w:rsidR="00B43818">
        <w:rPr>
          <w:rFonts w:cs="Arial"/>
        </w:rPr>
        <w:t xml:space="preserve">or her </w:t>
      </w:r>
      <w:r w:rsidRPr="00DE5D68">
        <w:rPr>
          <w:rFonts w:cs="Arial"/>
        </w:rPr>
        <w:t xml:space="preserve">right to </w:t>
      </w:r>
      <w:r w:rsidRPr="00DE5D68" w:rsidR="009B2499">
        <w:rPr>
          <w:rFonts w:cs="Arial"/>
        </w:rPr>
        <w:t>the issue</w:t>
      </w:r>
      <w:r w:rsidRPr="00DE5D68">
        <w:rPr>
          <w:rFonts w:cs="Arial"/>
        </w:rPr>
        <w:t xml:space="preserve">, without contravening the restriction referred to in sub-paragraph </w:t>
      </w:r>
      <w:r w:rsidR="00577D1F">
        <w:rPr>
          <w:rFonts w:cs="Arial"/>
        </w:rPr>
        <w:fldChar w:fldCharType="begin" w:fldLock="1"/>
      </w:r>
      <w:r w:rsidR="00577D1F">
        <w:rPr>
          <w:rFonts w:cs="Arial"/>
        </w:rPr>
        <w:instrText xml:space="preserve"> REF _Ref32004417 \r \h </w:instrText>
      </w:r>
      <w:r w:rsidR="00577D1F">
        <w:rPr>
          <w:rFonts w:cs="Arial"/>
        </w:rPr>
      </w:r>
      <w:r w:rsidR="00577D1F">
        <w:rPr>
          <w:rFonts w:cs="Arial"/>
        </w:rPr>
        <w:fldChar w:fldCharType="separate"/>
      </w:r>
      <w:r w:rsidR="00DA4048">
        <w:rPr>
          <w:rFonts w:cs="Arial"/>
        </w:rPr>
        <w:t>4.7.1</w:t>
      </w:r>
      <w:r w:rsidR="00577D1F">
        <w:rPr>
          <w:rFonts w:cs="Arial"/>
        </w:rPr>
        <w:fldChar w:fldCharType="end"/>
      </w:r>
      <w:r w:rsidRPr="00DE5D68">
        <w:rPr>
          <w:rFonts w:cs="Arial"/>
        </w:rPr>
        <w:t>.</w:t>
      </w:r>
    </w:p>
    <w:p w:rsidRPr="00DE5D68" w:rsidR="005A3AB8" w:rsidP="00C27D12" w:rsidRDefault="005A7597" w14:paraId="283C8EBD" w14:textId="6E1551B2">
      <w:pPr>
        <w:pStyle w:val="Heading3"/>
        <w:rPr>
          <w:rFonts w:cs="Arial"/>
          <w:b/>
          <w:i/>
        </w:rPr>
      </w:pPr>
      <w:r w:rsidRPr="00DE5D68">
        <w:rPr>
          <w:rFonts w:cs="Arial"/>
        </w:rPr>
        <w:t xml:space="preserve">Shares held by the Company as treasury shares shall be disregarded for the purposes of the restriction referred to in sub-paragraph </w:t>
      </w:r>
      <w:r w:rsidR="00577D1F">
        <w:rPr>
          <w:rFonts w:cs="Arial"/>
        </w:rPr>
        <w:fldChar w:fldCharType="begin" w:fldLock="1"/>
      </w:r>
      <w:r w:rsidR="00577D1F">
        <w:rPr>
          <w:rFonts w:cs="Arial"/>
        </w:rPr>
        <w:instrText xml:space="preserve"> REF _Ref32004417 \r \h </w:instrText>
      </w:r>
      <w:r w:rsidR="00577D1F">
        <w:rPr>
          <w:rFonts w:cs="Arial"/>
        </w:rPr>
      </w:r>
      <w:r w:rsidR="00577D1F">
        <w:rPr>
          <w:rFonts w:cs="Arial"/>
        </w:rPr>
        <w:fldChar w:fldCharType="separate"/>
      </w:r>
      <w:r w:rsidR="00DA4048">
        <w:rPr>
          <w:rFonts w:cs="Arial"/>
        </w:rPr>
        <w:t>4.7.1</w:t>
      </w:r>
      <w:r w:rsidR="00577D1F">
        <w:rPr>
          <w:rFonts w:cs="Arial"/>
        </w:rPr>
        <w:fldChar w:fldCharType="end"/>
      </w:r>
      <w:r w:rsidRPr="00DE5D68">
        <w:rPr>
          <w:rFonts w:cs="Arial"/>
        </w:rPr>
        <w:t>, so that the Company is not treated as a person who holds shares; and equity securities held as treasury shares are not treated as forming part of the share capital of the Company.</w:t>
      </w:r>
    </w:p>
    <w:p w:rsidRPr="00DE5D68" w:rsidR="005A3AB8" w:rsidP="00C27D12" w:rsidRDefault="005A7597" w14:paraId="7ED88D54" w14:textId="7375F053">
      <w:pPr>
        <w:pStyle w:val="Heading3"/>
        <w:rPr>
          <w:rFonts w:cs="Arial"/>
          <w:b/>
          <w:i/>
        </w:rPr>
      </w:pPr>
      <w:r w:rsidRPr="00DE5D68">
        <w:rPr>
          <w:rFonts w:cs="Arial"/>
        </w:rPr>
        <w:t xml:space="preserve">Any offer required to be made by the Company pursuant to the restriction referred to in sub-paragraph </w:t>
      </w:r>
      <w:r w:rsidR="00577D1F">
        <w:rPr>
          <w:rFonts w:cs="Arial"/>
        </w:rPr>
        <w:fldChar w:fldCharType="begin" w:fldLock="1"/>
      </w:r>
      <w:r w:rsidR="00577D1F">
        <w:rPr>
          <w:rFonts w:cs="Arial"/>
        </w:rPr>
        <w:instrText xml:space="preserve"> REF _Ref32004417 \r \h </w:instrText>
      </w:r>
      <w:r w:rsidR="00577D1F">
        <w:rPr>
          <w:rFonts w:cs="Arial"/>
        </w:rPr>
      </w:r>
      <w:r w:rsidR="00577D1F">
        <w:rPr>
          <w:rFonts w:cs="Arial"/>
        </w:rPr>
        <w:fldChar w:fldCharType="separate"/>
      </w:r>
      <w:r w:rsidR="00DA4048">
        <w:rPr>
          <w:rFonts w:cs="Arial"/>
        </w:rPr>
        <w:t>4.7.1</w:t>
      </w:r>
      <w:r w:rsidR="00577D1F">
        <w:rPr>
          <w:rFonts w:cs="Arial"/>
        </w:rPr>
        <w:fldChar w:fldCharType="end"/>
      </w:r>
      <w:r w:rsidRPr="00DE5D68" w:rsidR="005A3AB8">
        <w:rPr>
          <w:rFonts w:cs="Arial"/>
        </w:rPr>
        <w:t xml:space="preserve"> </w:t>
      </w:r>
      <w:r w:rsidRPr="00DE5D68">
        <w:rPr>
          <w:rFonts w:cs="Arial"/>
        </w:rPr>
        <w:t>should be made by a notice in writing (given in accordance with the notice provisions of the Articles) and must state a period of not less than 14 days beginning on the date on which such offer is deemed to be delivered or received (as the case may be) pursuant to the notice provisions of the Articles during which it may be accepted and the offer shall not be withdrawn before the end of that period.</w:t>
      </w:r>
    </w:p>
    <w:p w:rsidRPr="00DE5D68" w:rsidR="005A3AB8" w:rsidP="00C27D12" w:rsidRDefault="005A7597" w14:paraId="3DBFCF24" w14:textId="0390B715">
      <w:pPr>
        <w:pStyle w:val="Heading3"/>
        <w:keepNext/>
        <w:rPr>
          <w:rFonts w:cs="Arial"/>
          <w:b/>
          <w:i/>
        </w:rPr>
      </w:pPr>
      <w:bookmarkStart w:name="_Ref32004658" w:id="269"/>
      <w:r w:rsidRPr="00DE5D68">
        <w:rPr>
          <w:rFonts w:cs="Arial"/>
        </w:rPr>
        <w:t xml:space="preserve">The restriction referred to in sub-paragraph </w:t>
      </w:r>
      <w:r w:rsidR="00577D1F">
        <w:rPr>
          <w:rFonts w:cs="Arial"/>
        </w:rPr>
        <w:fldChar w:fldCharType="begin" w:fldLock="1"/>
      </w:r>
      <w:r w:rsidR="00577D1F">
        <w:rPr>
          <w:rFonts w:cs="Arial"/>
        </w:rPr>
        <w:instrText xml:space="preserve"> REF _Ref32004417 \r \h </w:instrText>
      </w:r>
      <w:r w:rsidR="00577D1F">
        <w:rPr>
          <w:rFonts w:cs="Arial"/>
        </w:rPr>
      </w:r>
      <w:r w:rsidR="00577D1F">
        <w:rPr>
          <w:rFonts w:cs="Arial"/>
        </w:rPr>
        <w:fldChar w:fldCharType="separate"/>
      </w:r>
      <w:r w:rsidR="00DA4048">
        <w:rPr>
          <w:rFonts w:cs="Arial"/>
        </w:rPr>
        <w:t>4.7.1</w:t>
      </w:r>
      <w:r w:rsidR="00577D1F">
        <w:rPr>
          <w:rFonts w:cs="Arial"/>
        </w:rPr>
        <w:fldChar w:fldCharType="end"/>
      </w:r>
      <w:r w:rsidRPr="00DE5D68" w:rsidR="005A3AB8">
        <w:rPr>
          <w:rFonts w:cs="Arial"/>
        </w:rPr>
        <w:t xml:space="preserve"> </w:t>
      </w:r>
      <w:r w:rsidRPr="00DE5D68">
        <w:rPr>
          <w:rFonts w:cs="Arial"/>
        </w:rPr>
        <w:t xml:space="preserve">shall not apply in relation to the </w:t>
      </w:r>
      <w:r w:rsidRPr="00DE5D68" w:rsidR="00A50C3E">
        <w:rPr>
          <w:rFonts w:cs="Arial"/>
        </w:rPr>
        <w:t>i</w:t>
      </w:r>
      <w:r w:rsidRPr="00DE5D68" w:rsidR="000C0D70">
        <w:rPr>
          <w:rFonts w:cs="Arial"/>
        </w:rPr>
        <w:t>ssue</w:t>
      </w:r>
      <w:r w:rsidRPr="00DE5D68">
        <w:rPr>
          <w:rFonts w:cs="Arial"/>
        </w:rPr>
        <w:t xml:space="preserve"> of:</w:t>
      </w:r>
      <w:bookmarkEnd w:id="269"/>
    </w:p>
    <w:p w:rsidRPr="00DE5D68" w:rsidR="005A3AB8" w:rsidP="00C27D12" w:rsidRDefault="005A7597" w14:paraId="4DB5FBB7" w14:textId="397D78BA">
      <w:pPr>
        <w:pStyle w:val="Heading4"/>
        <w:rPr>
          <w:rFonts w:cs="Arial"/>
          <w:b/>
          <w:i/>
        </w:rPr>
      </w:pPr>
      <w:r w:rsidRPr="00DE5D68">
        <w:rPr>
          <w:rFonts w:cs="Arial"/>
        </w:rPr>
        <w:t xml:space="preserve">bonus shares, shares issued in lieu of dividend or distribution, nor to a particular </w:t>
      </w:r>
      <w:r w:rsidRPr="00DE5D68" w:rsidR="00A50C3E">
        <w:rPr>
          <w:rFonts w:cs="Arial"/>
        </w:rPr>
        <w:t>i</w:t>
      </w:r>
      <w:r w:rsidRPr="00DE5D68" w:rsidR="000C0D70">
        <w:rPr>
          <w:rFonts w:cs="Arial"/>
        </w:rPr>
        <w:t xml:space="preserve">ssue </w:t>
      </w:r>
      <w:r w:rsidRPr="00DE5D68">
        <w:rPr>
          <w:rFonts w:cs="Arial"/>
        </w:rPr>
        <w:t>of equity securities if they are, or are to be wholly or partly paid otherwise than in cash; or</w:t>
      </w:r>
    </w:p>
    <w:p w:rsidRPr="00DE5D68" w:rsidR="005A3AB8" w:rsidP="00C27D12" w:rsidRDefault="005A7597" w14:paraId="7224F740" w14:textId="6AC93B8D">
      <w:pPr>
        <w:pStyle w:val="Heading4"/>
        <w:rPr>
          <w:rFonts w:cs="Arial"/>
          <w:b/>
          <w:i/>
        </w:rPr>
      </w:pPr>
      <w:r w:rsidRPr="00DE5D68">
        <w:rPr>
          <w:rFonts w:cs="Arial"/>
        </w:rPr>
        <w:t>equity securities in connection with a rights issue, open offer or other offer of securities in favour of the holders of shares or a class of shares at such record date as the Directors may determine where the securities attributable to the interests of holders of shares or a class of shares are proportionate (as near as may be practicable) to the respective number of shares of that class held by them on such record date, subject to such conditions or other arrangements as the Directors may deem necessary or expedient in relation or legal or practical problems arising under the laws of any jurisdiction or the requirements of any regulatory body or stock exchange or any other matter whatsoever.</w:t>
      </w:r>
    </w:p>
    <w:p w:rsidRPr="00DE5D68" w:rsidR="005A3AB8" w:rsidP="00C27D12" w:rsidRDefault="005A7597" w14:paraId="6E0DFC5E" w14:textId="23417A95">
      <w:pPr>
        <w:pStyle w:val="Heading3"/>
        <w:keepNext/>
        <w:rPr>
          <w:rFonts w:cs="Arial"/>
          <w:b/>
          <w:i/>
        </w:rPr>
      </w:pPr>
      <w:r w:rsidRPr="00DE5D68">
        <w:rPr>
          <w:rFonts w:cs="Arial"/>
        </w:rPr>
        <w:t xml:space="preserve">Notwithstanding sub-paragraphs </w:t>
      </w:r>
      <w:r w:rsidR="00577D1F">
        <w:rPr>
          <w:rFonts w:cs="Arial"/>
        </w:rPr>
        <w:fldChar w:fldCharType="begin" w:fldLock="1"/>
      </w:r>
      <w:r w:rsidR="00577D1F">
        <w:rPr>
          <w:rFonts w:cs="Arial"/>
        </w:rPr>
        <w:instrText xml:space="preserve"> REF _Ref32004417 \r \h </w:instrText>
      </w:r>
      <w:r w:rsidR="00577D1F">
        <w:rPr>
          <w:rFonts w:cs="Arial"/>
        </w:rPr>
      </w:r>
      <w:r w:rsidR="00577D1F">
        <w:rPr>
          <w:rFonts w:cs="Arial"/>
        </w:rPr>
        <w:fldChar w:fldCharType="separate"/>
      </w:r>
      <w:r w:rsidR="00DA4048">
        <w:rPr>
          <w:rFonts w:cs="Arial"/>
        </w:rPr>
        <w:t>4.7.1</w:t>
      </w:r>
      <w:r w:rsidR="00577D1F">
        <w:rPr>
          <w:rFonts w:cs="Arial"/>
        </w:rPr>
        <w:fldChar w:fldCharType="end"/>
      </w:r>
      <w:r w:rsidRPr="00DE5D68" w:rsidR="005A3AB8">
        <w:rPr>
          <w:rFonts w:cs="Arial"/>
        </w:rPr>
        <w:t xml:space="preserve"> </w:t>
      </w:r>
      <w:r w:rsidRPr="00DE5D68">
        <w:rPr>
          <w:rFonts w:cs="Arial"/>
        </w:rPr>
        <w:t xml:space="preserve">to </w:t>
      </w:r>
      <w:r w:rsidR="00577D1F">
        <w:rPr>
          <w:rFonts w:cs="Arial"/>
        </w:rPr>
        <w:fldChar w:fldCharType="begin" w:fldLock="1"/>
      </w:r>
      <w:r w:rsidR="00577D1F">
        <w:rPr>
          <w:rFonts w:cs="Arial"/>
        </w:rPr>
        <w:instrText xml:space="preserve"> REF _Ref32004658 \r \h </w:instrText>
      </w:r>
      <w:r w:rsidR="00577D1F">
        <w:rPr>
          <w:rFonts w:cs="Arial"/>
        </w:rPr>
      </w:r>
      <w:r w:rsidR="00577D1F">
        <w:rPr>
          <w:rFonts w:cs="Arial"/>
        </w:rPr>
        <w:fldChar w:fldCharType="separate"/>
      </w:r>
      <w:r w:rsidR="00DA4048">
        <w:rPr>
          <w:rFonts w:cs="Arial"/>
        </w:rPr>
        <w:t>4.7.5</w:t>
      </w:r>
      <w:r w:rsidR="00577D1F">
        <w:rPr>
          <w:rFonts w:cs="Arial"/>
        </w:rPr>
        <w:fldChar w:fldCharType="end"/>
      </w:r>
      <w:r w:rsidRPr="00DE5D68" w:rsidR="005A3AB8">
        <w:rPr>
          <w:rFonts w:cs="Arial"/>
        </w:rPr>
        <w:t xml:space="preserve"> </w:t>
      </w:r>
      <w:r w:rsidRPr="00DE5D68">
        <w:rPr>
          <w:rFonts w:cs="Arial"/>
        </w:rPr>
        <w:t>above, the Directors may be given by virtue of a</w:t>
      </w:r>
      <w:r w:rsidR="000709F0">
        <w:rPr>
          <w:rFonts w:cs="Arial"/>
        </w:rPr>
        <w:t>n Extraordinary Resolution</w:t>
      </w:r>
      <w:r w:rsidRPr="00DE5D68">
        <w:rPr>
          <w:rFonts w:cs="Arial"/>
        </w:rPr>
        <w:t xml:space="preserve"> the power to issue, or sell from treasury, equity securities either generally or in respect of a specific issue, or sale from treasury, such that:</w:t>
      </w:r>
    </w:p>
    <w:p w:rsidRPr="00DE5D68" w:rsidR="005A3AB8" w:rsidP="00C27D12" w:rsidRDefault="005A7597" w14:paraId="30E98D32" w14:textId="37004E5C">
      <w:pPr>
        <w:pStyle w:val="Heading4"/>
        <w:rPr>
          <w:rFonts w:cs="Arial"/>
          <w:b/>
          <w:i/>
        </w:rPr>
      </w:pPr>
      <w:r w:rsidRPr="00DE5D68">
        <w:rPr>
          <w:rFonts w:cs="Arial"/>
        </w:rPr>
        <w:t xml:space="preserve">sub-paragraph </w:t>
      </w:r>
      <w:r w:rsidR="00577D1F">
        <w:rPr>
          <w:rFonts w:cs="Arial"/>
        </w:rPr>
        <w:fldChar w:fldCharType="begin" w:fldLock="1"/>
      </w:r>
      <w:r w:rsidR="00577D1F">
        <w:rPr>
          <w:rFonts w:cs="Arial"/>
        </w:rPr>
        <w:instrText xml:space="preserve"> REF _Ref32004417 \r \h </w:instrText>
      </w:r>
      <w:r w:rsidR="00577D1F">
        <w:rPr>
          <w:rFonts w:cs="Arial"/>
        </w:rPr>
      </w:r>
      <w:r w:rsidR="00577D1F">
        <w:rPr>
          <w:rFonts w:cs="Arial"/>
        </w:rPr>
        <w:fldChar w:fldCharType="separate"/>
      </w:r>
      <w:r w:rsidR="00DA4048">
        <w:rPr>
          <w:rFonts w:cs="Arial"/>
        </w:rPr>
        <w:t>4.7.1</w:t>
      </w:r>
      <w:r w:rsidR="00577D1F">
        <w:rPr>
          <w:rFonts w:cs="Arial"/>
        </w:rPr>
        <w:fldChar w:fldCharType="end"/>
      </w:r>
      <w:r w:rsidRPr="00DE5D68" w:rsidR="005A3AB8">
        <w:rPr>
          <w:rFonts w:cs="Arial"/>
        </w:rPr>
        <w:t xml:space="preserve"> </w:t>
      </w:r>
      <w:r w:rsidRPr="00DE5D68">
        <w:rPr>
          <w:rFonts w:cs="Arial"/>
        </w:rPr>
        <w:t xml:space="preserve">shall not apply to the </w:t>
      </w:r>
      <w:r w:rsidRPr="00DE5D68" w:rsidR="00A50C3E">
        <w:rPr>
          <w:rFonts w:cs="Arial"/>
        </w:rPr>
        <w:t>i</w:t>
      </w:r>
      <w:r w:rsidRPr="00DE5D68" w:rsidR="000C0D70">
        <w:rPr>
          <w:rFonts w:cs="Arial"/>
        </w:rPr>
        <w:t xml:space="preserve">ssue </w:t>
      </w:r>
      <w:r w:rsidRPr="00DE5D68">
        <w:rPr>
          <w:rFonts w:cs="Arial"/>
        </w:rPr>
        <w:t>of Ordinary Shares or otherwise or sale of Ordinary Shares from treasury; or</w:t>
      </w:r>
    </w:p>
    <w:p w:rsidRPr="00DE5D68" w:rsidR="005A3AB8" w:rsidP="00C27D12" w:rsidRDefault="005A7597" w14:paraId="0899AD7D" w14:textId="000630D4">
      <w:pPr>
        <w:pStyle w:val="Heading4"/>
        <w:rPr>
          <w:rFonts w:cs="Arial"/>
          <w:b/>
          <w:i/>
        </w:rPr>
      </w:pPr>
      <w:r w:rsidRPr="00DE5D68">
        <w:rPr>
          <w:rFonts w:cs="Arial"/>
        </w:rPr>
        <w:t xml:space="preserve">sub-paragraph </w:t>
      </w:r>
      <w:r w:rsidR="00577D1F">
        <w:rPr>
          <w:rFonts w:cs="Arial"/>
        </w:rPr>
        <w:fldChar w:fldCharType="begin" w:fldLock="1"/>
      </w:r>
      <w:r w:rsidR="00577D1F">
        <w:rPr>
          <w:rFonts w:cs="Arial"/>
        </w:rPr>
        <w:instrText xml:space="preserve"> REF _Ref32004417 \r \h </w:instrText>
      </w:r>
      <w:r w:rsidR="00577D1F">
        <w:rPr>
          <w:rFonts w:cs="Arial"/>
        </w:rPr>
      </w:r>
      <w:r w:rsidR="00577D1F">
        <w:rPr>
          <w:rFonts w:cs="Arial"/>
        </w:rPr>
        <w:fldChar w:fldCharType="separate"/>
      </w:r>
      <w:r w:rsidR="00DA4048">
        <w:rPr>
          <w:rFonts w:cs="Arial"/>
        </w:rPr>
        <w:t>4.7.1</w:t>
      </w:r>
      <w:r w:rsidR="00577D1F">
        <w:rPr>
          <w:rFonts w:cs="Arial"/>
        </w:rPr>
        <w:fldChar w:fldCharType="end"/>
      </w:r>
      <w:r w:rsidRPr="00DE5D68" w:rsidR="005A3AB8">
        <w:rPr>
          <w:rFonts w:cs="Arial"/>
        </w:rPr>
        <w:t xml:space="preserve"> </w:t>
      </w:r>
      <w:r w:rsidRPr="00DE5D68">
        <w:rPr>
          <w:rFonts w:cs="Arial"/>
        </w:rPr>
        <w:t xml:space="preserve">shall only apply to the </w:t>
      </w:r>
      <w:r w:rsidRPr="00DE5D68" w:rsidR="00A50C3E">
        <w:rPr>
          <w:rFonts w:cs="Arial"/>
        </w:rPr>
        <w:t>i</w:t>
      </w:r>
      <w:r w:rsidRPr="00DE5D68" w:rsidR="000C0D70">
        <w:rPr>
          <w:rFonts w:cs="Arial"/>
        </w:rPr>
        <w:t xml:space="preserve">ssue </w:t>
      </w:r>
      <w:r w:rsidRPr="00DE5D68">
        <w:rPr>
          <w:rFonts w:cs="Arial"/>
        </w:rPr>
        <w:t>of Ordinary Shares, or sale of Ordinary Shares or otherwise from treasury with such modifications as the Directors may determine; and</w:t>
      </w:r>
    </w:p>
    <w:p w:rsidRPr="00DE5D68" w:rsidR="005A3AB8" w:rsidP="00021D4D" w:rsidRDefault="005A7597" w14:paraId="70439131" w14:textId="09B76BFF">
      <w:pPr>
        <w:pStyle w:val="Heading4"/>
        <w:rPr>
          <w:rFonts w:cs="Arial"/>
          <w:b/>
          <w:i/>
        </w:rPr>
      </w:pPr>
      <w:r w:rsidRPr="00DE5D68">
        <w:rPr>
          <w:rFonts w:cs="Arial"/>
        </w:rPr>
        <w:t xml:space="preserve">the authority granted by the </w:t>
      </w:r>
      <w:r w:rsidR="000709F0">
        <w:rPr>
          <w:rFonts w:cs="Arial"/>
        </w:rPr>
        <w:t>Extraordinary Resolution</w:t>
      </w:r>
      <w:r w:rsidRPr="00DE5D68">
        <w:rPr>
          <w:rFonts w:cs="Arial"/>
        </w:rPr>
        <w:t xml:space="preserve"> may be granted for such period of time as the </w:t>
      </w:r>
      <w:r w:rsidR="000709F0">
        <w:rPr>
          <w:rFonts w:cs="Arial"/>
        </w:rPr>
        <w:t>Extraordinary Resolution</w:t>
      </w:r>
      <w:r w:rsidRPr="00DE5D68">
        <w:rPr>
          <w:rFonts w:cs="Arial"/>
        </w:rPr>
        <w:t xml:space="preserve"> permits and such authority may be revoked, repealed or varied by a further </w:t>
      </w:r>
      <w:r w:rsidR="000709F0">
        <w:rPr>
          <w:rFonts w:cs="Arial"/>
        </w:rPr>
        <w:t>Extraordinary Resolution</w:t>
      </w:r>
      <w:r w:rsidRPr="00DE5D68">
        <w:rPr>
          <w:rFonts w:cs="Arial"/>
        </w:rPr>
        <w:t>,</w:t>
      </w:r>
      <w:r w:rsidRPr="00DE5D68" w:rsidR="00B47BD7">
        <w:rPr>
          <w:rFonts w:cs="Arial"/>
        </w:rPr>
        <w:t xml:space="preserve"> </w:t>
      </w:r>
      <w:r w:rsidRPr="00DE5D68">
        <w:rPr>
          <w:rFonts w:cs="Arial"/>
        </w:rPr>
        <w:t>provided that such special resolution must:</w:t>
      </w:r>
    </w:p>
    <w:p w:rsidRPr="00DE5D68" w:rsidR="005A3AB8" w:rsidP="00021D4D" w:rsidRDefault="005A7597" w14:paraId="413B3A3C" w14:textId="7CC46007">
      <w:pPr>
        <w:pStyle w:val="Heading5"/>
        <w:rPr>
          <w:rFonts w:cs="Arial"/>
          <w:b/>
          <w:i/>
        </w:rPr>
      </w:pPr>
      <w:r w:rsidRPr="00DE5D68">
        <w:rPr>
          <w:rFonts w:cs="Arial"/>
        </w:rPr>
        <w:lastRenderedPageBreak/>
        <w:t xml:space="preserve">state the maximum number of equity securities in respect of which the restriction in sub-paragraph </w:t>
      </w:r>
      <w:r w:rsidR="00577D1F">
        <w:rPr>
          <w:rFonts w:cs="Arial"/>
        </w:rPr>
        <w:fldChar w:fldCharType="begin" w:fldLock="1"/>
      </w:r>
      <w:r w:rsidR="00577D1F">
        <w:rPr>
          <w:rFonts w:cs="Arial"/>
        </w:rPr>
        <w:instrText xml:space="preserve"> REF _Ref32004417 \r \h </w:instrText>
      </w:r>
      <w:r w:rsidR="00577D1F">
        <w:rPr>
          <w:rFonts w:cs="Arial"/>
        </w:rPr>
      </w:r>
      <w:r w:rsidR="00577D1F">
        <w:rPr>
          <w:rFonts w:cs="Arial"/>
        </w:rPr>
        <w:fldChar w:fldCharType="separate"/>
      </w:r>
      <w:r w:rsidR="00DA4048">
        <w:rPr>
          <w:rFonts w:cs="Arial"/>
        </w:rPr>
        <w:t>4.7.1</w:t>
      </w:r>
      <w:r w:rsidR="00577D1F">
        <w:rPr>
          <w:rFonts w:cs="Arial"/>
        </w:rPr>
        <w:fldChar w:fldCharType="end"/>
      </w:r>
      <w:r w:rsidRPr="00DE5D68" w:rsidR="005A3AB8">
        <w:rPr>
          <w:rFonts w:cs="Arial"/>
        </w:rPr>
        <w:t xml:space="preserve"> </w:t>
      </w:r>
      <w:r w:rsidRPr="00DE5D68">
        <w:rPr>
          <w:rFonts w:cs="Arial"/>
        </w:rPr>
        <w:t>is excluded or modified; and</w:t>
      </w:r>
    </w:p>
    <w:p w:rsidRPr="00DE5D68" w:rsidR="005A3AB8" w:rsidP="00021D4D" w:rsidRDefault="005A7597" w14:paraId="4C29E99B" w14:textId="66A9F125">
      <w:pPr>
        <w:pStyle w:val="Heading5"/>
        <w:rPr>
          <w:rFonts w:cs="Arial"/>
        </w:rPr>
      </w:pPr>
      <w:r w:rsidRPr="00DE5D68">
        <w:rPr>
          <w:rFonts w:cs="Arial"/>
        </w:rPr>
        <w:t>specify the date on which such exclusions or modifications will expire, which must be not more than five years from the date on which the resolution is passed.</w:t>
      </w:r>
    </w:p>
    <w:p w:rsidRPr="00DE5D68" w:rsidR="005A3AB8" w:rsidP="00021D4D" w:rsidRDefault="005A7597" w14:paraId="39658659" w14:textId="04CEA29A">
      <w:pPr>
        <w:pStyle w:val="Heading3"/>
        <w:rPr>
          <w:rFonts w:cs="Arial"/>
          <w:b/>
          <w:i/>
        </w:rPr>
      </w:pPr>
      <w:r w:rsidRPr="00DE5D68">
        <w:rPr>
          <w:rFonts w:cs="Arial"/>
        </w:rPr>
        <w:t xml:space="preserve">Any such </w:t>
      </w:r>
      <w:r w:rsidR="000709F0">
        <w:rPr>
          <w:rFonts w:cs="Arial"/>
        </w:rPr>
        <w:t>Extraordinary Resolution</w:t>
      </w:r>
      <w:r w:rsidRPr="00DE5D68">
        <w:rPr>
          <w:rFonts w:cs="Arial"/>
        </w:rPr>
        <w:t xml:space="preserve"> passed may:</w:t>
      </w:r>
    </w:p>
    <w:p w:rsidRPr="00B36CB7" w:rsidR="005A3AB8" w:rsidP="00565AD4" w:rsidRDefault="005A7597" w14:paraId="143B4368" w14:textId="728BC0CE">
      <w:pPr>
        <w:pStyle w:val="Heading4"/>
        <w:numPr>
          <w:ilvl w:val="3"/>
          <w:numId w:val="46"/>
        </w:numPr>
        <w:ind w:left="2127"/>
        <w:rPr>
          <w:rFonts w:cs="Arial"/>
        </w:rPr>
      </w:pPr>
      <w:r w:rsidRPr="00B36CB7">
        <w:rPr>
          <w:rFonts w:cs="Arial"/>
        </w:rPr>
        <w:t xml:space="preserve">be renewed or further renewed by a further </w:t>
      </w:r>
      <w:r w:rsidR="000709F0">
        <w:rPr>
          <w:rFonts w:cs="Arial"/>
        </w:rPr>
        <w:t>Extraordinary Resolution</w:t>
      </w:r>
      <w:r w:rsidRPr="00B36CB7">
        <w:rPr>
          <w:rFonts w:cs="Arial"/>
        </w:rPr>
        <w:t xml:space="preserve"> for a further period not exceeding five years; and</w:t>
      </w:r>
    </w:p>
    <w:p w:rsidRPr="00B36CB7" w:rsidR="005A3AB8" w:rsidP="00565AD4" w:rsidRDefault="005A7597" w14:paraId="713BABFA" w14:textId="62D7755D">
      <w:pPr>
        <w:pStyle w:val="Heading4"/>
        <w:numPr>
          <w:ilvl w:val="3"/>
          <w:numId w:val="46"/>
        </w:numPr>
        <w:ind w:left="2127"/>
        <w:rPr>
          <w:rFonts w:cs="Arial"/>
        </w:rPr>
      </w:pPr>
      <w:r w:rsidRPr="00B36CB7">
        <w:rPr>
          <w:rFonts w:cs="Arial"/>
        </w:rPr>
        <w:t xml:space="preserve">be revoked or varied at any time by a further </w:t>
      </w:r>
      <w:r w:rsidR="000709F0">
        <w:rPr>
          <w:rFonts w:cs="Arial"/>
        </w:rPr>
        <w:t>Extraordinary Resolution</w:t>
      </w:r>
      <w:r w:rsidRPr="00B36CB7">
        <w:rPr>
          <w:rFonts w:cs="Arial"/>
        </w:rPr>
        <w:t>.</w:t>
      </w:r>
    </w:p>
    <w:p w:rsidRPr="00DE5D68" w:rsidR="005A3AB8" w:rsidP="00021D4D" w:rsidRDefault="005A7597" w14:paraId="699A8EDD" w14:textId="5BAE3505">
      <w:pPr>
        <w:pStyle w:val="Heading3"/>
        <w:rPr>
          <w:rFonts w:cs="Arial"/>
          <w:b/>
          <w:i/>
        </w:rPr>
      </w:pPr>
      <w:r w:rsidRPr="00DE5D68">
        <w:rPr>
          <w:rFonts w:cs="Arial"/>
        </w:rPr>
        <w:t xml:space="preserve">Notwithstanding that any such </w:t>
      </w:r>
      <w:r w:rsidR="000709F0">
        <w:rPr>
          <w:rFonts w:cs="Arial"/>
        </w:rPr>
        <w:t>Extraordinary Resolution</w:t>
      </w:r>
      <w:r w:rsidRPr="00DE5D68">
        <w:rPr>
          <w:rFonts w:cs="Arial"/>
        </w:rPr>
        <w:t xml:space="preserve"> may have expired, the Directors may </w:t>
      </w:r>
      <w:r w:rsidRPr="00DE5D68" w:rsidR="00A50C3E">
        <w:rPr>
          <w:rFonts w:cs="Arial"/>
        </w:rPr>
        <w:t>i</w:t>
      </w:r>
      <w:r w:rsidRPr="00DE5D68" w:rsidR="000C0D70">
        <w:rPr>
          <w:rFonts w:cs="Arial"/>
        </w:rPr>
        <w:t xml:space="preserve">ssue </w:t>
      </w:r>
      <w:r w:rsidRPr="00DE5D68">
        <w:rPr>
          <w:rFonts w:cs="Arial"/>
        </w:rPr>
        <w:t>or sell from treasury equity securities in pursuance of an offer or agreement previously made by the Company if the resolution enabled the Company to make an offer or agreement that would or might require equity securities to be issued or sold from treasury after it expired.</w:t>
      </w:r>
    </w:p>
    <w:p w:rsidRPr="00DE5D68" w:rsidR="005A3AB8" w:rsidP="00F32BF2" w:rsidRDefault="005A3AB8" w14:paraId="5FCFBB16" w14:textId="4F8FAC00">
      <w:pPr>
        <w:pStyle w:val="Heading2"/>
        <w:keepNext/>
        <w:rPr>
          <w:rFonts w:cs="Arial"/>
          <w:b/>
        </w:rPr>
      </w:pPr>
      <w:r w:rsidRPr="00DE5D68">
        <w:rPr>
          <w:rFonts w:cs="Arial"/>
          <w:b/>
        </w:rPr>
        <w:t>Untraced Shareholders</w:t>
      </w:r>
    </w:p>
    <w:p w:rsidRPr="00DE5D68" w:rsidR="005A3AB8" w:rsidP="00C27D12" w:rsidRDefault="005A3AB8" w14:paraId="0E393B28" w14:textId="26B4CBBE">
      <w:pPr>
        <w:ind w:left="709"/>
        <w:rPr>
          <w:rFonts w:cs="Arial"/>
          <w:b/>
          <w:i/>
        </w:rPr>
      </w:pPr>
      <w:r w:rsidRPr="00DE5D68">
        <w:rPr>
          <w:rFonts w:cs="Arial"/>
        </w:rPr>
        <w:t>The Company may sell the share of a member or of a person entitled by transmission at the best price reasonably obtainable at the time of sale if, in accordance with the terms of the Articles, that person has not claimed or accepted dividends declared over a period of time and has not responded to advertisements of the Company</w:t>
      </w:r>
      <w:r w:rsidRPr="00DE5D68" w:rsidR="00021D4D">
        <w:rPr>
          <w:rFonts w:cs="Arial"/>
        </w:rPr>
        <w:t xml:space="preserve"> and that the Company has received no indication of the whereabouts </w:t>
      </w:r>
      <w:r w:rsidRPr="00DE5D68" w:rsidR="00AE6B99">
        <w:rPr>
          <w:rFonts w:cs="Arial"/>
        </w:rPr>
        <w:t xml:space="preserve">nor the </w:t>
      </w:r>
      <w:r w:rsidRPr="00DE5D68" w:rsidR="001378E0">
        <w:rPr>
          <w:rFonts w:cs="Arial"/>
        </w:rPr>
        <w:t>existence of that person</w:t>
      </w:r>
      <w:r w:rsidRPr="00DE5D68">
        <w:rPr>
          <w:rFonts w:cs="Arial"/>
        </w:rPr>
        <w:t>.</w:t>
      </w:r>
    </w:p>
    <w:p w:rsidRPr="00DE5D68" w:rsidR="005A7597" w:rsidP="00FE3DEF" w:rsidRDefault="005A3AB8" w14:paraId="64480671" w14:textId="1990B7E5">
      <w:pPr>
        <w:pStyle w:val="Heading2"/>
        <w:rPr>
          <w:rFonts w:cs="Arial"/>
          <w:b/>
        </w:rPr>
      </w:pPr>
      <w:bookmarkStart w:name="_Ref65783086" w:id="270"/>
      <w:r w:rsidRPr="00DE5D68">
        <w:rPr>
          <w:rFonts w:cs="Arial"/>
          <w:b/>
        </w:rPr>
        <w:t>Transfer of Shares</w:t>
      </w:r>
      <w:bookmarkEnd w:id="270"/>
      <w:r w:rsidRPr="00DE5D68">
        <w:rPr>
          <w:rFonts w:cs="Arial"/>
          <w:b/>
        </w:rPr>
        <w:t xml:space="preserve"> </w:t>
      </w:r>
    </w:p>
    <w:p w:rsidRPr="00DE5D68" w:rsidR="005A3AB8" w:rsidP="00565AD4" w:rsidRDefault="005A7597" w14:paraId="4B0144E6" w14:textId="33AE7246">
      <w:pPr>
        <w:pStyle w:val="Heading3"/>
        <w:numPr>
          <w:ilvl w:val="2"/>
          <w:numId w:val="43"/>
        </w:numPr>
        <w:rPr>
          <w:rFonts w:cs="Arial"/>
          <w:b/>
          <w:i/>
        </w:rPr>
      </w:pPr>
      <w:r w:rsidRPr="00DE5D68">
        <w:rPr>
          <w:rFonts w:cs="Arial"/>
        </w:rPr>
        <w:t xml:space="preserve">Subject to the terms of the Articles, any member may transfer all or any of his </w:t>
      </w:r>
      <w:r w:rsidR="00B43818">
        <w:rPr>
          <w:rFonts w:cs="Arial"/>
        </w:rPr>
        <w:t xml:space="preserve">or her </w:t>
      </w:r>
      <w:r w:rsidRPr="00DE5D68">
        <w:rPr>
          <w:rFonts w:cs="Arial"/>
        </w:rPr>
        <w:t>certificated shares by an instrument of transfer in any usual form or in any other form which the Directors may approve. An instrument of transfer of a certificated share shall be executed by or on behalf of the transferor and, unless the share is fully paid, by or on behalf of the transferee.</w:t>
      </w:r>
    </w:p>
    <w:p w:rsidRPr="00DE5D68" w:rsidR="005A3AB8" w:rsidP="00565AD4" w:rsidRDefault="005A7597" w14:paraId="4EB4F96F" w14:textId="6A15CCD3">
      <w:pPr>
        <w:pStyle w:val="Heading3"/>
        <w:numPr>
          <w:ilvl w:val="2"/>
          <w:numId w:val="43"/>
        </w:numPr>
        <w:ind w:left="1418" w:hanging="709"/>
        <w:rPr>
          <w:rFonts w:cs="Arial"/>
          <w:b/>
          <w:i/>
        </w:rPr>
      </w:pPr>
      <w:r w:rsidRPr="00DE5D68">
        <w:rPr>
          <w:rFonts w:cs="Arial"/>
        </w:rPr>
        <w:t xml:space="preserve">Subject to the terms of the Articles, any member may transfer all or any of his </w:t>
      </w:r>
      <w:r w:rsidR="00B43818">
        <w:rPr>
          <w:rFonts w:cs="Arial"/>
        </w:rPr>
        <w:t xml:space="preserve">or her </w:t>
      </w:r>
      <w:r w:rsidRPr="00DE5D68">
        <w:rPr>
          <w:rFonts w:cs="Arial"/>
        </w:rPr>
        <w:t>uncertificated shares by means of an Uncertificated System authorised by the Directors in such manner provided for, and subject as provided, in the Regulations and the Rules and no provision of the Articles shall apply in respect of an uncertificated share to the extent that it requires or contemplates the effecting of a transfer by an instrument in writing or the production of a certificate for the shares to be transferred.</w:t>
      </w:r>
    </w:p>
    <w:p w:rsidRPr="00DE5D68" w:rsidR="005A3AB8" w:rsidP="00565AD4" w:rsidRDefault="005A7597" w14:paraId="248D6C1A" w14:textId="13A3819D">
      <w:pPr>
        <w:pStyle w:val="Heading3"/>
        <w:numPr>
          <w:ilvl w:val="2"/>
          <w:numId w:val="43"/>
        </w:numPr>
        <w:ind w:left="1418" w:hanging="709"/>
        <w:rPr>
          <w:rFonts w:cs="Arial"/>
          <w:b/>
          <w:i/>
        </w:rPr>
      </w:pPr>
      <w:r w:rsidRPr="00DE5D68">
        <w:rPr>
          <w:rFonts w:cs="Arial"/>
        </w:rPr>
        <w:t xml:space="preserve">The Directors may, in their absolute discretion and without giving a reason, refuse to transfer, convert or register any transfer of any share in certificated form or uncertificated form (subject to sub-paragraph </w:t>
      </w:r>
      <w:r w:rsidR="00577D1F">
        <w:rPr>
          <w:rFonts w:cs="Arial"/>
        </w:rPr>
        <w:fldChar w:fldCharType="begin" w:fldLock="1"/>
      </w:r>
      <w:r w:rsidR="00577D1F">
        <w:rPr>
          <w:rFonts w:cs="Arial"/>
        </w:rPr>
        <w:instrText xml:space="preserve"> REF _Ref32008191 \n \h </w:instrText>
      </w:r>
      <w:r w:rsidR="00577D1F">
        <w:rPr>
          <w:rFonts w:cs="Arial"/>
        </w:rPr>
      </w:r>
      <w:r w:rsidR="00577D1F">
        <w:rPr>
          <w:rFonts w:cs="Arial"/>
        </w:rPr>
        <w:fldChar w:fldCharType="separate"/>
      </w:r>
      <w:r w:rsidR="00DA4048">
        <w:rPr>
          <w:rFonts w:cs="Arial"/>
        </w:rPr>
        <w:t>(d)</w:t>
      </w:r>
      <w:r w:rsidR="00577D1F">
        <w:rPr>
          <w:rFonts w:cs="Arial"/>
        </w:rPr>
        <w:fldChar w:fldCharType="end"/>
      </w:r>
      <w:r w:rsidRPr="00DE5D68" w:rsidR="004D7D2A">
        <w:rPr>
          <w:rFonts w:cs="Arial"/>
        </w:rPr>
        <w:t xml:space="preserve"> </w:t>
      </w:r>
      <w:r w:rsidRPr="00DE5D68">
        <w:rPr>
          <w:rFonts w:cs="Arial"/>
        </w:rPr>
        <w:t xml:space="preserve">below) which is not fully paid or on which the Company has a lien, provided in the case of a listed or quoted share that this would not prevent dealings in the share from taking place on an open and proper basis on </w:t>
      </w:r>
      <w:r w:rsidR="00640CB6">
        <w:rPr>
          <w:rFonts w:cs="Arial"/>
        </w:rPr>
        <w:fldChar w:fldCharType="begin">
          <w:fldData xml:space="preserve">dgAxAHwAMQAwADAANAA4AHwAdABoAGUAIABMAG8AbgBkAG8AbgB8AEEAbQBiAGkAZwAtADEAMAAw
ADQAOAB8AHwA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the London Stock Exchange. In addition, the Directors may refuse to register a transfer of shares if:</w:t>
      </w:r>
    </w:p>
    <w:p w:rsidRPr="00DE5D68" w:rsidR="005A3AB8" w:rsidP="00565AD4" w:rsidRDefault="005A7597" w14:paraId="694D79A8" w14:textId="2944EADA">
      <w:pPr>
        <w:pStyle w:val="Heading4"/>
        <w:numPr>
          <w:ilvl w:val="3"/>
          <w:numId w:val="43"/>
        </w:numPr>
        <w:ind w:left="2127"/>
        <w:rPr>
          <w:rFonts w:cs="Arial"/>
          <w:b/>
          <w:i/>
        </w:rPr>
      </w:pPr>
      <w:r w:rsidRPr="00DE5D68">
        <w:rPr>
          <w:rFonts w:cs="Arial"/>
        </w:rPr>
        <w:t>it is in respect of more than one class of shares;</w:t>
      </w:r>
    </w:p>
    <w:p w:rsidRPr="00DE5D68" w:rsidR="005A3AB8" w:rsidP="00565AD4" w:rsidRDefault="005A7597" w14:paraId="0475FF6D" w14:textId="2433BC2D">
      <w:pPr>
        <w:pStyle w:val="Heading4"/>
        <w:numPr>
          <w:ilvl w:val="3"/>
          <w:numId w:val="43"/>
        </w:numPr>
        <w:ind w:left="2127"/>
        <w:rPr>
          <w:rFonts w:cs="Arial"/>
          <w:b/>
          <w:i/>
        </w:rPr>
      </w:pPr>
      <w:r w:rsidRPr="00DE5D68">
        <w:rPr>
          <w:rFonts w:cs="Arial"/>
        </w:rPr>
        <w:t>it is in favour of more than four joint transferees;</w:t>
      </w:r>
    </w:p>
    <w:p w:rsidRPr="00DE5D68" w:rsidR="005A3AB8" w:rsidP="00565AD4" w:rsidRDefault="005A7597" w14:paraId="1A2CF585" w14:textId="57650C78">
      <w:pPr>
        <w:pStyle w:val="Heading4"/>
        <w:numPr>
          <w:ilvl w:val="3"/>
          <w:numId w:val="43"/>
        </w:numPr>
        <w:ind w:left="2127"/>
        <w:rPr>
          <w:rFonts w:cs="Arial"/>
          <w:b/>
          <w:i/>
        </w:rPr>
      </w:pPr>
      <w:r w:rsidRPr="00DE5D68">
        <w:rPr>
          <w:rFonts w:cs="Arial"/>
        </w:rPr>
        <w:t>in relation to a share in certificated form, having been delivered for registration to the office or such other place as the Directors may decide, it is not accompanied by the certificate for the shares to which it relates and such other evidence as the Directors may reasonably require to prove title of the transferor and the due execution by him</w:t>
      </w:r>
      <w:r w:rsidR="00524A7C">
        <w:rPr>
          <w:rFonts w:cs="Arial"/>
        </w:rPr>
        <w:t>/her</w:t>
      </w:r>
      <w:r w:rsidRPr="00DE5D68">
        <w:rPr>
          <w:rFonts w:cs="Arial"/>
        </w:rPr>
        <w:t xml:space="preserve"> of the transfer or, if the transfer is executed by some other person on his </w:t>
      </w:r>
      <w:r w:rsidR="00B43818">
        <w:rPr>
          <w:rFonts w:cs="Arial"/>
        </w:rPr>
        <w:t xml:space="preserve">or her </w:t>
      </w:r>
      <w:r w:rsidRPr="00DE5D68">
        <w:rPr>
          <w:rFonts w:cs="Arial"/>
        </w:rPr>
        <w:t>behalf, the authority of that person to do so; or</w:t>
      </w:r>
    </w:p>
    <w:p w:rsidRPr="00DE5D68" w:rsidR="005A3AB8" w:rsidP="00565AD4" w:rsidRDefault="005A7597" w14:paraId="560560CA" w14:textId="77777777">
      <w:pPr>
        <w:pStyle w:val="Heading4"/>
        <w:numPr>
          <w:ilvl w:val="3"/>
          <w:numId w:val="43"/>
        </w:numPr>
        <w:ind w:left="2127"/>
        <w:rPr>
          <w:rFonts w:cs="Arial"/>
          <w:b/>
          <w:i/>
        </w:rPr>
      </w:pPr>
      <w:r w:rsidRPr="00DE5D68">
        <w:rPr>
          <w:rFonts w:cs="Arial"/>
        </w:rPr>
        <w:t>the transfer is in favour of any Non-Qualified Holder.</w:t>
      </w:r>
    </w:p>
    <w:p w:rsidRPr="00DE5D68" w:rsidR="00232FA8" w:rsidP="00565AD4" w:rsidRDefault="005A7597" w14:paraId="3D73AD26" w14:textId="73A91BA2">
      <w:pPr>
        <w:pStyle w:val="Heading3"/>
        <w:numPr>
          <w:ilvl w:val="2"/>
          <w:numId w:val="43"/>
        </w:numPr>
        <w:ind w:left="1418" w:hanging="709"/>
        <w:rPr>
          <w:rFonts w:cs="Arial"/>
          <w:b/>
          <w:i/>
        </w:rPr>
      </w:pPr>
      <w:bookmarkStart w:name="_Ref32008191" w:id="271"/>
      <w:r w:rsidRPr="00DE5D68">
        <w:rPr>
          <w:rFonts w:cs="Arial"/>
        </w:rPr>
        <w:lastRenderedPageBreak/>
        <w:t>The Directors may only decline to register a transfer of an uncertificated share in the circumstances set out in the Regulations and the Rules, where, in the case of a transfer to joint holders, the number of joint holders to whom the uncertificated share is to be transferred exceeds four.</w:t>
      </w:r>
      <w:bookmarkEnd w:id="271"/>
    </w:p>
    <w:p w:rsidRPr="00DE5D68" w:rsidR="00232FA8" w:rsidP="00565AD4" w:rsidRDefault="005A7597" w14:paraId="65F5C8CC" w14:textId="5DBBDD38">
      <w:pPr>
        <w:pStyle w:val="Heading3"/>
        <w:numPr>
          <w:ilvl w:val="2"/>
          <w:numId w:val="43"/>
        </w:numPr>
        <w:ind w:left="1418" w:hanging="709"/>
        <w:rPr>
          <w:rFonts w:cs="Arial"/>
          <w:b/>
          <w:i/>
        </w:rPr>
      </w:pPr>
      <w:r w:rsidRPr="00DE5D68">
        <w:rPr>
          <w:rFonts w:cs="Arial"/>
        </w:rPr>
        <w:t>Subject to such restrictions (if any) as may be imposed by the Regulations and/or the Rules, the registration of transfers of shares or of transfers of any class of shares may be suspended by giving such notices as may be required by the Regulations and/or the Rules at such times and for such periods (not exceeding thirty days in any year) as the Directors may determine.</w:t>
      </w:r>
    </w:p>
    <w:p w:rsidRPr="00DE5D68" w:rsidR="00232FA8" w:rsidP="00565AD4" w:rsidRDefault="005A7597" w14:paraId="3704D830" w14:textId="32B7FBCD">
      <w:pPr>
        <w:pStyle w:val="Heading3"/>
        <w:numPr>
          <w:ilvl w:val="2"/>
          <w:numId w:val="43"/>
        </w:numPr>
        <w:ind w:left="1418" w:hanging="709"/>
        <w:rPr>
          <w:rFonts w:cs="Arial"/>
          <w:b/>
          <w:i/>
        </w:rPr>
      </w:pPr>
      <w:r w:rsidRPr="00DE5D68">
        <w:rPr>
          <w:rFonts w:cs="Arial"/>
        </w:rPr>
        <w:t>No fee shall be charged for the registration of any instrument of transfer or, subject as otherwise provided in the Articles, any other document relating to or a</w:t>
      </w:r>
      <w:r w:rsidRPr="00DE5D68" w:rsidR="00232FA8">
        <w:rPr>
          <w:rFonts w:cs="Arial"/>
        </w:rPr>
        <w:t>ffecting the title to any share.</w:t>
      </w:r>
    </w:p>
    <w:p w:rsidRPr="00DE5D68" w:rsidR="00232FA8" w:rsidP="00565AD4" w:rsidRDefault="005A7597" w14:paraId="651A3839" w14:textId="38017415">
      <w:pPr>
        <w:pStyle w:val="Heading3"/>
        <w:numPr>
          <w:ilvl w:val="2"/>
          <w:numId w:val="43"/>
        </w:numPr>
        <w:ind w:left="1418" w:hanging="709"/>
        <w:rPr>
          <w:rFonts w:cs="Arial"/>
        </w:rPr>
      </w:pPr>
      <w:bookmarkStart w:name="_Ref32005534" w:id="272"/>
      <w:r w:rsidRPr="00DE5D68">
        <w:rPr>
          <w:rFonts w:cs="Arial"/>
        </w:rPr>
        <w:t>If it shall come to the notice of the Directors that any shares are owned directly, indirectly or beneficially by a Non-Qualified Holder or a transfer of shares is in favour of any Non-Qualified Holder, the Directors may (</w:t>
      </w:r>
      <w:proofErr w:type="spellStart"/>
      <w:r w:rsidRPr="00DE5D68">
        <w:rPr>
          <w:rFonts w:cs="Arial"/>
        </w:rPr>
        <w:t>i</w:t>
      </w:r>
      <w:proofErr w:type="spellEnd"/>
      <w:r w:rsidRPr="00DE5D68">
        <w:rPr>
          <w:rFonts w:cs="Arial"/>
        </w:rPr>
        <w:t>) refuse to register a transfer of such shares and/or (ii) serve a notice (a “</w:t>
      </w:r>
      <w:r w:rsidRPr="00DE5D68">
        <w:rPr>
          <w:rFonts w:cs="Arial"/>
          <w:b/>
        </w:rPr>
        <w:t>Transfer Notice</w:t>
      </w:r>
      <w:r w:rsidRPr="00DE5D68">
        <w:rPr>
          <w:rFonts w:cs="Arial"/>
        </w:rPr>
        <w:t xml:space="preserve">”) upon the person (or any one of such persons where shares are registered in joint names) appearing in the </w:t>
      </w:r>
      <w:r w:rsidRPr="00DE5D68" w:rsidR="000C0D70">
        <w:rPr>
          <w:rFonts w:cs="Arial"/>
        </w:rPr>
        <w:t xml:space="preserve">Register </w:t>
      </w:r>
      <w:r w:rsidRPr="00DE5D68">
        <w:rPr>
          <w:rFonts w:cs="Arial"/>
        </w:rPr>
        <w:t>as the holder (the “</w:t>
      </w:r>
      <w:r w:rsidRPr="00DE5D68">
        <w:rPr>
          <w:rFonts w:cs="Arial"/>
          <w:b/>
        </w:rPr>
        <w:t>Vendor</w:t>
      </w:r>
      <w:r w:rsidRPr="00DE5D68">
        <w:rPr>
          <w:rFonts w:cs="Arial"/>
        </w:rPr>
        <w:t>”) of any of the shares concerned (the “</w:t>
      </w:r>
      <w:r w:rsidRPr="00DE5D68">
        <w:rPr>
          <w:rFonts w:cs="Arial"/>
          <w:b/>
        </w:rPr>
        <w:t>Relevant Shares</w:t>
      </w:r>
      <w:r w:rsidRPr="00DE5D68">
        <w:rPr>
          <w:rFonts w:cs="Arial"/>
        </w:rPr>
        <w:t>”) requiring the Vendor within twenty-one days (or such extended time as in all the circumstances the Directors consider reasonable) to transfer (and/or procure the disposal of interests in) the Relevant Shares to another person who, in the sole and conclusive determination of the Directors, is not a Non-Qualified Holder (such a person being hereinafter called an “</w:t>
      </w:r>
      <w:r w:rsidRPr="00DE5D68">
        <w:rPr>
          <w:rFonts w:cs="Arial"/>
          <w:b/>
        </w:rPr>
        <w:t>Eligible Transferee</w:t>
      </w:r>
      <w:r w:rsidRPr="00DE5D68">
        <w:rPr>
          <w:rFonts w:cs="Arial"/>
        </w:rPr>
        <w:t xml:space="preserve">”). On and after the date of such Transfer Notice, and until registration of a transfer of the Relevant Share to which it relates pursuant to the provisions referred to in this sub-paragraph </w:t>
      </w:r>
      <w:r w:rsidR="00577D1F">
        <w:rPr>
          <w:rFonts w:cs="Arial"/>
        </w:rPr>
        <w:fldChar w:fldCharType="begin" w:fldLock="1"/>
      </w:r>
      <w:r w:rsidR="00577D1F">
        <w:rPr>
          <w:rFonts w:cs="Arial"/>
        </w:rPr>
        <w:instrText xml:space="preserve"> REF _Ref32005534 \n \h </w:instrText>
      </w:r>
      <w:r w:rsidR="00577D1F">
        <w:rPr>
          <w:rFonts w:cs="Arial"/>
        </w:rPr>
      </w:r>
      <w:r w:rsidR="00577D1F">
        <w:rPr>
          <w:rFonts w:cs="Arial"/>
        </w:rPr>
        <w:fldChar w:fldCharType="separate"/>
      </w:r>
      <w:r w:rsidR="00DA4048">
        <w:rPr>
          <w:rFonts w:cs="Arial"/>
        </w:rPr>
        <w:t>(g)</w:t>
      </w:r>
      <w:r w:rsidR="00577D1F">
        <w:rPr>
          <w:rFonts w:cs="Arial"/>
        </w:rPr>
        <w:fldChar w:fldCharType="end"/>
      </w:r>
      <w:r w:rsidRPr="00DE5D68" w:rsidR="00232FA8">
        <w:rPr>
          <w:rFonts w:cs="Arial"/>
        </w:rPr>
        <w:t xml:space="preserve"> </w:t>
      </w:r>
      <w:r w:rsidRPr="00DE5D68">
        <w:rPr>
          <w:rFonts w:cs="Arial"/>
        </w:rPr>
        <w:t xml:space="preserve">or sub-paragraph </w:t>
      </w:r>
      <w:r w:rsidR="00577D1F">
        <w:rPr>
          <w:rFonts w:cs="Arial"/>
        </w:rPr>
        <w:fldChar w:fldCharType="begin" w:fldLock="1"/>
      </w:r>
      <w:r w:rsidR="00577D1F">
        <w:rPr>
          <w:rFonts w:cs="Arial"/>
        </w:rPr>
        <w:instrText xml:space="preserve"> REF _Ref32005863 \n \h </w:instrText>
      </w:r>
      <w:r w:rsidR="00577D1F">
        <w:rPr>
          <w:rFonts w:cs="Arial"/>
        </w:rPr>
      </w:r>
      <w:r w:rsidR="00577D1F">
        <w:rPr>
          <w:rFonts w:cs="Arial"/>
        </w:rPr>
        <w:fldChar w:fldCharType="separate"/>
      </w:r>
      <w:r w:rsidR="00DA4048">
        <w:rPr>
          <w:rFonts w:cs="Arial"/>
        </w:rPr>
        <w:t>(h)</w:t>
      </w:r>
      <w:r w:rsidR="00577D1F">
        <w:rPr>
          <w:rFonts w:cs="Arial"/>
        </w:rPr>
        <w:fldChar w:fldCharType="end"/>
      </w:r>
      <w:r w:rsidRPr="00DE5D68" w:rsidR="00232FA8">
        <w:rPr>
          <w:rFonts w:cs="Arial"/>
        </w:rPr>
        <w:t xml:space="preserve"> </w:t>
      </w:r>
      <w:r w:rsidRPr="00DE5D68">
        <w:rPr>
          <w:rFonts w:cs="Arial"/>
        </w:rPr>
        <w:t>below, the rights and privileges attaching to the Relevant Shares will be suspended and not capable of exercise.</w:t>
      </w:r>
      <w:bookmarkStart w:name="_Ref32005559" w:id="273"/>
      <w:bookmarkEnd w:id="272"/>
    </w:p>
    <w:p w:rsidRPr="00DE5D68" w:rsidR="00232FA8" w:rsidP="00565AD4" w:rsidRDefault="005A7597" w14:paraId="4A12D3DA" w14:textId="74510171">
      <w:pPr>
        <w:pStyle w:val="Heading3"/>
        <w:numPr>
          <w:ilvl w:val="2"/>
          <w:numId w:val="43"/>
        </w:numPr>
        <w:ind w:left="1418" w:hanging="709"/>
        <w:rPr>
          <w:rFonts w:cs="Arial"/>
          <w:b/>
          <w:i/>
        </w:rPr>
      </w:pPr>
      <w:bookmarkStart w:name="_Ref32005863" w:id="274"/>
      <w:r w:rsidRPr="00DE5D68">
        <w:rPr>
          <w:rFonts w:cs="Arial"/>
        </w:rPr>
        <w:t xml:space="preserve">If within twenty-one days after the giving of a Transfer Notice (or such extended time as in all the circumstances the Directors consider reasonable) the Transfer Notice has not been complied with to the satisfaction of the Directors, the Company may sell the Relevant Shares on behalf of the holder of them by instructing a member of </w:t>
      </w:r>
      <w:r w:rsidR="00640CB6">
        <w:rPr>
          <w:rFonts w:cs="Arial"/>
        </w:rPr>
        <w:fldChar w:fldCharType="begin">
          <w:fldData xml:space="preserve">dgAxAHwAMQAwADAANAA5AHwAdABoAGUAIABMAG8AbgBkAG8AbgB8AEEAbQBiAGkAZwAtADEAMAAw
ADQAOQB8AHwA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 xml:space="preserve">the London Stock Exchange to sell them on arm’s length terms to any Eligible Transferee or Eligible Transferees. For this purpose the Directors may authorise in writing any officer or employee of the Company or any officer or employee of the secretary of the Company or of any manager that may be appointed to transfer the Relevant Shares on behalf of the holder of them to the purchaser or purchasers and an instrument of transfer executed by that person will be as effective as if it had been executed by the holder of, or the person entitled by transmission to, the Relevant Shares. The purchaser will not be bound to see the application of the purchase monies nor will its title to the Relevant Shares be affected by an irregularity or invalidity in the proceedings relating to the sale or by the price at which the Relevant Shares are sold. The </w:t>
      </w:r>
      <w:r w:rsidRPr="00DE5D68" w:rsidR="000C0D70">
        <w:rPr>
          <w:rFonts w:cs="Arial"/>
        </w:rPr>
        <w:t>Net Proceeds</w:t>
      </w:r>
      <w:r w:rsidRPr="00DE5D68">
        <w:rPr>
          <w:rFonts w:cs="Arial"/>
        </w:rPr>
        <w:t xml:space="preserve"> of the sale of the Relevant Shares will be received by the Company, whose receipt will be a good discharge for the purchase moneys, and will belong to the Company and, upon their receipt, the Company will become indebted to the former holder of, or person entitled by transmission to, the Relevant Shares for an amount equal to the </w:t>
      </w:r>
      <w:r w:rsidRPr="00DE5D68" w:rsidR="000C0D70">
        <w:rPr>
          <w:rFonts w:cs="Arial"/>
        </w:rPr>
        <w:t>Net Proceeds</w:t>
      </w:r>
      <w:r w:rsidRPr="00DE5D68">
        <w:rPr>
          <w:rFonts w:cs="Arial"/>
        </w:rPr>
        <w:t xml:space="preserve"> of transfer upon surrender by it or them, in the case of certificated shares, of the certificate for the Relevant Shares which the Vendor shall immediately be obliged to deliver to the Company. No trust will be created in respect of the debt and no interest will be payable in respect of it. The Company will pay to the Vendor at its discretion or on demand by the Vendor the proceeds of transferring the Relevant Shares (less costs and expenses) but otherwise the Company will not be required to account for any money secured from the </w:t>
      </w:r>
      <w:r w:rsidRPr="00DE5D68" w:rsidR="000C0D70">
        <w:rPr>
          <w:rFonts w:cs="Arial"/>
        </w:rPr>
        <w:t>Net Proceeds</w:t>
      </w:r>
      <w:r w:rsidRPr="00DE5D68">
        <w:rPr>
          <w:rFonts w:cs="Arial"/>
        </w:rPr>
        <w:t xml:space="preserve"> of transfer which may be employed in the business of the Company or as it thinks fit. The Company may register the transferee as holder or holders of the Relevant Shares at which time the transferee will become absolutely entitled to them.</w:t>
      </w:r>
      <w:bookmarkEnd w:id="273"/>
      <w:bookmarkEnd w:id="274"/>
    </w:p>
    <w:p w:rsidRPr="00DE5D68" w:rsidR="00232FA8" w:rsidP="00565AD4" w:rsidRDefault="005A7597" w14:paraId="442387CA" w14:textId="41E06BB9">
      <w:pPr>
        <w:pStyle w:val="Heading3"/>
        <w:numPr>
          <w:ilvl w:val="2"/>
          <w:numId w:val="43"/>
        </w:numPr>
        <w:ind w:left="1418" w:hanging="709"/>
        <w:rPr>
          <w:rFonts w:cs="Arial"/>
          <w:b/>
          <w:i/>
        </w:rPr>
      </w:pPr>
      <w:bookmarkStart w:name="_Ref32005871" w:id="275"/>
      <w:r w:rsidRPr="00DE5D68">
        <w:rPr>
          <w:rFonts w:cs="Arial"/>
        </w:rPr>
        <w:t xml:space="preserve">A person who becomes aware that it is a Non-Qualified Holder shall forthwith, unless it has already received a Transfer Notice pursuant to the provisions of the Articles summarised in sub-paragraph </w:t>
      </w:r>
      <w:r w:rsidR="00577D1F">
        <w:rPr>
          <w:rFonts w:cs="Arial"/>
        </w:rPr>
        <w:fldChar w:fldCharType="begin" w:fldLock="1"/>
      </w:r>
      <w:r w:rsidR="00577D1F">
        <w:rPr>
          <w:rFonts w:cs="Arial"/>
        </w:rPr>
        <w:instrText xml:space="preserve"> REF _Ref32005534 \n \h </w:instrText>
      </w:r>
      <w:r w:rsidR="00577D1F">
        <w:rPr>
          <w:rFonts w:cs="Arial"/>
        </w:rPr>
      </w:r>
      <w:r w:rsidR="00577D1F">
        <w:rPr>
          <w:rFonts w:cs="Arial"/>
        </w:rPr>
        <w:fldChar w:fldCharType="separate"/>
      </w:r>
      <w:r w:rsidR="00DA4048">
        <w:rPr>
          <w:rFonts w:cs="Arial"/>
        </w:rPr>
        <w:t>(g)</w:t>
      </w:r>
      <w:r w:rsidR="00577D1F">
        <w:rPr>
          <w:rFonts w:cs="Arial"/>
        </w:rPr>
        <w:fldChar w:fldCharType="end"/>
      </w:r>
      <w:r w:rsidRPr="00DE5D68">
        <w:rPr>
          <w:rFonts w:cs="Arial"/>
        </w:rPr>
        <w:t xml:space="preserve"> above, either transfer the shares to one or more Eligible Transferees </w:t>
      </w:r>
      <w:r w:rsidRPr="00DE5D68">
        <w:rPr>
          <w:rFonts w:cs="Arial"/>
        </w:rPr>
        <w:lastRenderedPageBreak/>
        <w:t xml:space="preserve">or give a request in writing to the Directors for the </w:t>
      </w:r>
      <w:r w:rsidRPr="00DE5D68" w:rsidR="00A50C3E">
        <w:rPr>
          <w:rFonts w:cs="Arial"/>
        </w:rPr>
        <w:t>i</w:t>
      </w:r>
      <w:r w:rsidRPr="00DE5D68" w:rsidR="000C0D70">
        <w:rPr>
          <w:rFonts w:cs="Arial"/>
        </w:rPr>
        <w:t xml:space="preserve">ssue </w:t>
      </w:r>
      <w:r w:rsidRPr="00DE5D68">
        <w:rPr>
          <w:rFonts w:cs="Arial"/>
        </w:rPr>
        <w:t xml:space="preserve">of a Transfer Notice in accordance with the provisions of the Articles summarised in sub-paragraph </w:t>
      </w:r>
      <w:r w:rsidR="00577D1F">
        <w:rPr>
          <w:rFonts w:cs="Arial"/>
        </w:rPr>
        <w:fldChar w:fldCharType="begin" w:fldLock="1"/>
      </w:r>
      <w:r w:rsidR="00577D1F">
        <w:rPr>
          <w:rFonts w:cs="Arial"/>
        </w:rPr>
        <w:instrText xml:space="preserve"> REF _Ref32005534 \n \h </w:instrText>
      </w:r>
      <w:r w:rsidR="00577D1F">
        <w:rPr>
          <w:rFonts w:cs="Arial"/>
        </w:rPr>
      </w:r>
      <w:r w:rsidR="00577D1F">
        <w:rPr>
          <w:rFonts w:cs="Arial"/>
        </w:rPr>
        <w:fldChar w:fldCharType="separate"/>
      </w:r>
      <w:r w:rsidR="00DA4048">
        <w:rPr>
          <w:rFonts w:cs="Arial"/>
        </w:rPr>
        <w:t>(g)</w:t>
      </w:r>
      <w:r w:rsidR="00577D1F">
        <w:rPr>
          <w:rFonts w:cs="Arial"/>
        </w:rPr>
        <w:fldChar w:fldCharType="end"/>
      </w:r>
      <w:r w:rsidRPr="00DE5D68" w:rsidR="00232FA8">
        <w:rPr>
          <w:rFonts w:cs="Arial"/>
        </w:rPr>
        <w:t xml:space="preserve"> </w:t>
      </w:r>
      <w:r w:rsidRPr="00DE5D68">
        <w:rPr>
          <w:rFonts w:cs="Arial"/>
        </w:rPr>
        <w:t>above. Every such request shall, in the case of certificated shares, be accompanied by the certificate(s) for the shares to which it relates.</w:t>
      </w:r>
      <w:bookmarkEnd w:id="275"/>
    </w:p>
    <w:p w:rsidRPr="00DE5D68" w:rsidR="00232FA8" w:rsidP="00565AD4" w:rsidRDefault="005A7597" w14:paraId="00962BEB" w14:textId="21B02C44">
      <w:pPr>
        <w:pStyle w:val="Heading3"/>
        <w:numPr>
          <w:ilvl w:val="2"/>
          <w:numId w:val="43"/>
        </w:numPr>
        <w:ind w:left="1418" w:hanging="709"/>
        <w:rPr>
          <w:rFonts w:cs="Arial"/>
          <w:b/>
          <w:i/>
        </w:rPr>
      </w:pPr>
      <w:bookmarkStart w:name="_Ref32005880" w:id="276"/>
      <w:r w:rsidRPr="00DE5D68">
        <w:rPr>
          <w:rFonts w:cs="Arial"/>
        </w:rPr>
        <w:t>Subject to the provisions of the Articles, the Directors will, unless any Director has reason to believe otherwise, be entitled to assume without enquiry that none of the shares are held directly, indirectly or beneficially by a Non-Qualified Holder. The Directors may, however, at any time and from time to time call upon any holder (or any one of joint holders) of shares by notice in writing to provide such information and evidence as they require upon any matter connected with or in relation to such holder of shares. In the event of such information and evidence not being so provided within such reasonable period (not being less than twenty-one days after service of the notice requiring the same) as may be specified by the Directors in the said notice, the Directors may, in their absolute discretion, treat any share held by such a holder or joint holders as being held by a Non-Qualified Holder.</w:t>
      </w:r>
      <w:bookmarkEnd w:id="276"/>
    </w:p>
    <w:p w:rsidRPr="00DE5D68" w:rsidR="00232FA8" w:rsidP="00565AD4" w:rsidRDefault="005A7597" w14:paraId="14B4F974" w14:textId="391FB844">
      <w:pPr>
        <w:pStyle w:val="Heading3"/>
        <w:numPr>
          <w:ilvl w:val="2"/>
          <w:numId w:val="43"/>
        </w:numPr>
        <w:ind w:left="1418" w:hanging="709"/>
        <w:rPr>
          <w:rFonts w:cs="Arial"/>
          <w:b/>
          <w:i/>
        </w:rPr>
      </w:pPr>
      <w:r w:rsidRPr="00DE5D68">
        <w:rPr>
          <w:rFonts w:cs="Arial"/>
        </w:rPr>
        <w:t xml:space="preserve">The Directors will not be required to give any reasons for any decision, determination or declaration taken or made in accordance with these provisions. The exercise of the powers conferred by the provisions of the Articles summarised in sub-paragraphs </w:t>
      </w:r>
      <w:r w:rsidR="002473F7">
        <w:rPr>
          <w:rFonts w:cs="Arial"/>
        </w:rPr>
        <w:fldChar w:fldCharType="begin" w:fldLock="1"/>
      </w:r>
      <w:r w:rsidR="002473F7">
        <w:rPr>
          <w:rFonts w:cs="Arial"/>
        </w:rPr>
        <w:instrText xml:space="preserve"> REF _Ref32005534 \n \h </w:instrText>
      </w:r>
      <w:r w:rsidR="002473F7">
        <w:rPr>
          <w:rFonts w:cs="Arial"/>
        </w:rPr>
      </w:r>
      <w:r w:rsidR="002473F7">
        <w:rPr>
          <w:rFonts w:cs="Arial"/>
        </w:rPr>
        <w:fldChar w:fldCharType="separate"/>
      </w:r>
      <w:r w:rsidR="00DA4048">
        <w:rPr>
          <w:rFonts w:cs="Arial"/>
        </w:rPr>
        <w:t>(g)</w:t>
      </w:r>
      <w:r w:rsidR="002473F7">
        <w:rPr>
          <w:rFonts w:cs="Arial"/>
        </w:rPr>
        <w:fldChar w:fldCharType="end"/>
      </w:r>
      <w:r w:rsidRPr="00DE5D68" w:rsidR="00232FA8">
        <w:rPr>
          <w:rFonts w:cs="Arial"/>
        </w:rPr>
        <w:t xml:space="preserve"> </w:t>
      </w:r>
      <w:r w:rsidRPr="00DE5D68">
        <w:rPr>
          <w:rFonts w:cs="Arial"/>
        </w:rPr>
        <w:t xml:space="preserve">and/or </w:t>
      </w:r>
      <w:r w:rsidR="002473F7">
        <w:rPr>
          <w:rFonts w:cs="Arial"/>
        </w:rPr>
        <w:fldChar w:fldCharType="begin" w:fldLock="1"/>
      </w:r>
      <w:r w:rsidR="002473F7">
        <w:rPr>
          <w:rFonts w:cs="Arial"/>
        </w:rPr>
        <w:instrText xml:space="preserve"> REF _Ref32005863 \n \h </w:instrText>
      </w:r>
      <w:r w:rsidR="002473F7">
        <w:rPr>
          <w:rFonts w:cs="Arial"/>
        </w:rPr>
      </w:r>
      <w:r w:rsidR="002473F7">
        <w:rPr>
          <w:rFonts w:cs="Arial"/>
        </w:rPr>
        <w:fldChar w:fldCharType="separate"/>
      </w:r>
      <w:r w:rsidR="00DA4048">
        <w:rPr>
          <w:rFonts w:cs="Arial"/>
        </w:rPr>
        <w:t>(h)</w:t>
      </w:r>
      <w:r w:rsidR="002473F7">
        <w:rPr>
          <w:rFonts w:cs="Arial"/>
        </w:rPr>
        <w:fldChar w:fldCharType="end"/>
      </w:r>
      <w:r w:rsidRPr="00DE5D68" w:rsidR="00232FA8">
        <w:rPr>
          <w:rFonts w:cs="Arial"/>
        </w:rPr>
        <w:t xml:space="preserve"> </w:t>
      </w:r>
      <w:r w:rsidRPr="00DE5D68">
        <w:rPr>
          <w:rFonts w:cs="Arial"/>
        </w:rPr>
        <w:t xml:space="preserve">and/or </w:t>
      </w:r>
      <w:r w:rsidR="002473F7">
        <w:rPr>
          <w:rFonts w:cs="Arial"/>
        </w:rPr>
        <w:fldChar w:fldCharType="begin" w:fldLock="1"/>
      </w:r>
      <w:r w:rsidR="002473F7">
        <w:rPr>
          <w:rFonts w:cs="Arial"/>
        </w:rPr>
        <w:instrText xml:space="preserve"> REF _Ref32005871 \n \h </w:instrText>
      </w:r>
      <w:r w:rsidR="002473F7">
        <w:rPr>
          <w:rFonts w:cs="Arial"/>
        </w:rPr>
      </w:r>
      <w:r w:rsidR="002473F7">
        <w:rPr>
          <w:rFonts w:cs="Arial"/>
        </w:rPr>
        <w:fldChar w:fldCharType="separate"/>
      </w:r>
      <w:r w:rsidR="00DA4048">
        <w:rPr>
          <w:rFonts w:cs="Arial"/>
        </w:rPr>
        <w:t>(</w:t>
      </w:r>
      <w:proofErr w:type="spellStart"/>
      <w:r w:rsidR="00DA4048">
        <w:rPr>
          <w:rFonts w:cs="Arial"/>
        </w:rPr>
        <w:t>i</w:t>
      </w:r>
      <w:proofErr w:type="spellEnd"/>
      <w:r w:rsidR="00DA4048">
        <w:rPr>
          <w:rFonts w:cs="Arial"/>
        </w:rPr>
        <w:t>)</w:t>
      </w:r>
      <w:r w:rsidR="002473F7">
        <w:rPr>
          <w:rFonts w:cs="Arial"/>
        </w:rPr>
        <w:fldChar w:fldCharType="end"/>
      </w:r>
      <w:r w:rsidRPr="00DE5D68" w:rsidR="00232FA8">
        <w:rPr>
          <w:rFonts w:cs="Arial"/>
        </w:rPr>
        <w:t xml:space="preserve"> </w:t>
      </w:r>
      <w:r w:rsidRPr="00DE5D68">
        <w:rPr>
          <w:rFonts w:cs="Arial"/>
        </w:rPr>
        <w:t xml:space="preserve">and/or </w:t>
      </w:r>
      <w:r w:rsidR="002473F7">
        <w:rPr>
          <w:rFonts w:cs="Arial"/>
        </w:rPr>
        <w:fldChar w:fldCharType="begin" w:fldLock="1"/>
      </w:r>
      <w:r w:rsidR="002473F7">
        <w:rPr>
          <w:rFonts w:cs="Arial"/>
        </w:rPr>
        <w:instrText xml:space="preserve"> REF _Ref32005880 \n \h </w:instrText>
      </w:r>
      <w:r w:rsidR="002473F7">
        <w:rPr>
          <w:rFonts w:cs="Arial"/>
        </w:rPr>
      </w:r>
      <w:r w:rsidR="002473F7">
        <w:rPr>
          <w:rFonts w:cs="Arial"/>
        </w:rPr>
        <w:fldChar w:fldCharType="separate"/>
      </w:r>
      <w:r w:rsidR="00DA4048">
        <w:rPr>
          <w:rFonts w:cs="Arial"/>
        </w:rPr>
        <w:t>(j)</w:t>
      </w:r>
      <w:r w:rsidR="002473F7">
        <w:rPr>
          <w:rFonts w:cs="Arial"/>
        </w:rPr>
        <w:fldChar w:fldCharType="end"/>
      </w:r>
      <w:r w:rsidRPr="00DE5D68" w:rsidR="00232FA8">
        <w:rPr>
          <w:rFonts w:cs="Arial"/>
        </w:rPr>
        <w:t xml:space="preserve"> </w:t>
      </w:r>
      <w:r w:rsidRPr="00DE5D68">
        <w:rPr>
          <w:rFonts w:cs="Arial"/>
        </w:rPr>
        <w:t>above may not be questioned or invalidated in any case on the grounds that there was insufficient evidence of direct, indirect or beneficial ownership or holding of shares by any person or that the true direct, indirect or beneficial owner or holder of any shares was otherwise than as appeared to the Directors at the relevant date provided that the said powers have been exercised in good faith.</w:t>
      </w:r>
    </w:p>
    <w:p w:rsidRPr="00DE5D68" w:rsidR="00BF4B49" w:rsidP="00565AD4" w:rsidRDefault="005A7597" w14:paraId="4575151F" w14:textId="56F7CD63">
      <w:pPr>
        <w:pStyle w:val="Heading3"/>
        <w:numPr>
          <w:ilvl w:val="2"/>
          <w:numId w:val="43"/>
        </w:numPr>
        <w:ind w:left="1418" w:hanging="709"/>
        <w:rPr>
          <w:rFonts w:cs="Arial"/>
          <w:b/>
          <w:i/>
        </w:rPr>
      </w:pPr>
      <w:r w:rsidRPr="00DE5D68">
        <w:rPr>
          <w:rFonts w:cs="Arial"/>
        </w:rPr>
        <w:t>Uncertificated shares of a class are not to be regarded as forming a separate class from certificated shares of that class. Unless the Directors otherwise determine, shares held by the same holder or joint holder in both certificated form and uncertificated form shall be treated as separate holdings.</w:t>
      </w:r>
    </w:p>
    <w:p w:rsidRPr="00DE5D68" w:rsidR="00FE3DEF" w:rsidP="00565AD4" w:rsidRDefault="00FE3DEF" w14:paraId="2DB40D29" w14:textId="77777777">
      <w:pPr>
        <w:pStyle w:val="ListParagraph"/>
        <w:numPr>
          <w:ilvl w:val="2"/>
          <w:numId w:val="43"/>
        </w:numPr>
        <w:rPr>
          <w:b w:val="0"/>
          <w:szCs w:val="20"/>
        </w:rPr>
      </w:pPr>
      <w:r w:rsidRPr="00DE5D68">
        <w:rPr>
          <w:b w:val="0"/>
          <w:szCs w:val="20"/>
        </w:rPr>
        <w:t>No fee shall be payable to the Company in respect of the registration of any transfer, probate, letters of administration, certificate or marriage or death, power of attorney, instruction or other document relating to or affecting the title to any shares.</w:t>
      </w:r>
    </w:p>
    <w:p w:rsidRPr="00DE5D68" w:rsidR="00FE3DEF" w:rsidP="00565AD4" w:rsidRDefault="00FE3DEF" w14:paraId="02FF6B65" w14:textId="78A867C6">
      <w:pPr>
        <w:pStyle w:val="ListParagraph"/>
        <w:numPr>
          <w:ilvl w:val="2"/>
          <w:numId w:val="43"/>
        </w:numPr>
        <w:rPr>
          <w:b w:val="0"/>
          <w:szCs w:val="20"/>
        </w:rPr>
      </w:pPr>
      <w:r w:rsidRPr="00DE5D68">
        <w:rPr>
          <w:b w:val="0"/>
          <w:szCs w:val="20"/>
        </w:rPr>
        <w:t xml:space="preserve">On the death of a </w:t>
      </w:r>
      <w:r w:rsidRPr="00DE5D68" w:rsidR="00E76BF5">
        <w:rPr>
          <w:b w:val="0"/>
          <w:szCs w:val="20"/>
        </w:rPr>
        <w:t>S</w:t>
      </w:r>
      <w:r w:rsidRPr="00DE5D68" w:rsidR="006715DE">
        <w:rPr>
          <w:b w:val="0"/>
          <w:szCs w:val="20"/>
        </w:rPr>
        <w:t>hareholder</w:t>
      </w:r>
      <w:r w:rsidRPr="00DE5D68">
        <w:rPr>
          <w:b w:val="0"/>
          <w:szCs w:val="20"/>
        </w:rPr>
        <w:t xml:space="preserve"> the survivors where the deceased was a joint holder and the </w:t>
      </w:r>
      <w:r w:rsidRPr="00DE5D68" w:rsidR="000426EB">
        <w:rPr>
          <w:b w:val="0"/>
          <w:szCs w:val="20"/>
        </w:rPr>
        <w:t>e</w:t>
      </w:r>
      <w:r w:rsidRPr="00DE5D68">
        <w:rPr>
          <w:b w:val="0"/>
          <w:szCs w:val="20"/>
        </w:rPr>
        <w:t xml:space="preserve">xecutors of the deceased where he </w:t>
      </w:r>
      <w:r w:rsidR="00B43818">
        <w:rPr>
          <w:b w:val="0"/>
          <w:szCs w:val="20"/>
        </w:rPr>
        <w:t xml:space="preserve">or she </w:t>
      </w:r>
      <w:r w:rsidRPr="00DE5D68">
        <w:rPr>
          <w:b w:val="0"/>
          <w:szCs w:val="20"/>
        </w:rPr>
        <w:t xml:space="preserve">was a sole holder shall be the only persons recognised by the Company as having any title to or interest in his </w:t>
      </w:r>
      <w:r w:rsidR="00B43818">
        <w:rPr>
          <w:b w:val="0"/>
          <w:szCs w:val="20"/>
        </w:rPr>
        <w:t xml:space="preserve">or her </w:t>
      </w:r>
      <w:r w:rsidRPr="00DE5D68">
        <w:rPr>
          <w:b w:val="0"/>
          <w:szCs w:val="20"/>
        </w:rPr>
        <w:t xml:space="preserve">shares; but nothing </w:t>
      </w:r>
      <w:r w:rsidRPr="00DE5D68" w:rsidR="000426EB">
        <w:rPr>
          <w:b w:val="0"/>
          <w:szCs w:val="20"/>
        </w:rPr>
        <w:t xml:space="preserve">in the Articles </w:t>
      </w:r>
      <w:r w:rsidRPr="00DE5D68">
        <w:rPr>
          <w:b w:val="0"/>
          <w:szCs w:val="20"/>
        </w:rPr>
        <w:t xml:space="preserve">shall release the estate of a deceased joint holder from any liability in respect of any share jointly held. </w:t>
      </w:r>
    </w:p>
    <w:p w:rsidRPr="00DE5D68" w:rsidR="00FE3DEF" w:rsidP="00565AD4" w:rsidRDefault="00FE3DEF" w14:paraId="7B8F39E2" w14:textId="29DBF903">
      <w:pPr>
        <w:pStyle w:val="ListParagraph"/>
        <w:numPr>
          <w:ilvl w:val="2"/>
          <w:numId w:val="43"/>
        </w:numPr>
        <w:rPr>
          <w:b w:val="0"/>
          <w:szCs w:val="20"/>
        </w:rPr>
      </w:pPr>
      <w:r w:rsidRPr="00DE5D68">
        <w:rPr>
          <w:b w:val="0"/>
          <w:szCs w:val="20"/>
        </w:rPr>
        <w:t>A person so becoming entitled to a share in consequence of the death</w:t>
      </w:r>
      <w:r w:rsidRPr="00DE5D68" w:rsidR="00E76BF5">
        <w:rPr>
          <w:b w:val="0"/>
          <w:szCs w:val="20"/>
        </w:rPr>
        <w:t>, bankruptcy or incapacity of a S</w:t>
      </w:r>
      <w:r w:rsidRPr="00DE5D68" w:rsidR="006715DE">
        <w:rPr>
          <w:b w:val="0"/>
          <w:szCs w:val="20"/>
        </w:rPr>
        <w:t>hareholder</w:t>
      </w:r>
      <w:r w:rsidRPr="00DE5D68">
        <w:rPr>
          <w:b w:val="0"/>
          <w:szCs w:val="20"/>
        </w:rPr>
        <w:t xml:space="preserve"> shall have the right to receive and may give a discharge for all dividends and other money payable or other advantages due on o</w:t>
      </w:r>
      <w:r w:rsidRPr="00DE5D68" w:rsidR="000426EB">
        <w:rPr>
          <w:b w:val="0"/>
          <w:szCs w:val="20"/>
        </w:rPr>
        <w:t>r in respect of the share, but</w:t>
      </w:r>
      <w:r w:rsidRPr="00DE5D68">
        <w:rPr>
          <w:b w:val="0"/>
          <w:szCs w:val="20"/>
        </w:rPr>
        <w:t xml:space="preserve"> shall not be entitled to receive notice of or to attend or vote at meetings of the Company, or save as aforesaid, to any of the rights or privileges of a </w:t>
      </w:r>
      <w:r w:rsidRPr="00DE5D68" w:rsidR="00E76BF5">
        <w:rPr>
          <w:b w:val="0"/>
          <w:szCs w:val="20"/>
        </w:rPr>
        <w:t>S</w:t>
      </w:r>
      <w:r w:rsidRPr="00DE5D68" w:rsidR="006715DE">
        <w:rPr>
          <w:b w:val="0"/>
          <w:szCs w:val="20"/>
        </w:rPr>
        <w:t>harehold</w:t>
      </w:r>
      <w:r w:rsidRPr="00DE5D68">
        <w:rPr>
          <w:b w:val="0"/>
          <w:szCs w:val="20"/>
        </w:rPr>
        <w:t>er unless and until he</w:t>
      </w:r>
      <w:r w:rsidR="00B43818">
        <w:rPr>
          <w:b w:val="0"/>
          <w:szCs w:val="20"/>
        </w:rPr>
        <w:t xml:space="preserve"> or she</w:t>
      </w:r>
      <w:r w:rsidRPr="00DE5D68">
        <w:rPr>
          <w:b w:val="0"/>
          <w:szCs w:val="20"/>
        </w:rPr>
        <w:t xml:space="preserve"> shall be registered as a </w:t>
      </w:r>
      <w:r w:rsidRPr="00DE5D68" w:rsidR="00E76BF5">
        <w:rPr>
          <w:b w:val="0"/>
          <w:szCs w:val="20"/>
        </w:rPr>
        <w:t>S</w:t>
      </w:r>
      <w:r w:rsidRPr="00DE5D68" w:rsidR="006715DE">
        <w:rPr>
          <w:b w:val="0"/>
          <w:szCs w:val="20"/>
        </w:rPr>
        <w:t>hareholder</w:t>
      </w:r>
      <w:r w:rsidRPr="00DE5D68">
        <w:rPr>
          <w:b w:val="0"/>
          <w:szCs w:val="20"/>
        </w:rPr>
        <w:t xml:space="preserve"> in respect of the share </w:t>
      </w:r>
      <w:r w:rsidRPr="00DE5D68" w:rsidR="006715DE">
        <w:rPr>
          <w:b w:val="0"/>
          <w:szCs w:val="20"/>
        </w:rPr>
        <w:t>provided always</w:t>
      </w:r>
      <w:r w:rsidRPr="00DE5D68">
        <w:rPr>
          <w:b w:val="0"/>
          <w:szCs w:val="20"/>
        </w:rPr>
        <w:t xml:space="preserve"> that the Board may at any time give notice requiring any such person to elect either to be registered himself</w:t>
      </w:r>
      <w:r w:rsidR="00524A7C">
        <w:rPr>
          <w:b w:val="0"/>
          <w:szCs w:val="20"/>
        </w:rPr>
        <w:t>/herself</w:t>
      </w:r>
      <w:r w:rsidRPr="00DE5D68">
        <w:rPr>
          <w:b w:val="0"/>
          <w:szCs w:val="20"/>
        </w:rPr>
        <w:t xml:space="preserve"> or to transfer the share and if the notice is not complied with within ninety days the Board may thereafter withhold all dividends or other monies payable or other advantages due in respect of the share until the requirements of the notice have been complied with.</w:t>
      </w:r>
    </w:p>
    <w:p w:rsidRPr="00DE5D68" w:rsidR="00BF4B49" w:rsidP="00FE3DEF" w:rsidRDefault="00BF4B49" w14:paraId="6D8F4EEC" w14:textId="025C3EDB">
      <w:pPr>
        <w:pStyle w:val="Heading2"/>
        <w:rPr>
          <w:rFonts w:cs="Arial"/>
          <w:b/>
        </w:rPr>
      </w:pPr>
      <w:r w:rsidRPr="00DE5D68">
        <w:rPr>
          <w:rFonts w:cs="Arial"/>
          <w:b/>
        </w:rPr>
        <w:t xml:space="preserve">Alteration of Share Capital </w:t>
      </w:r>
    </w:p>
    <w:p w:rsidRPr="00DE5D68" w:rsidR="00BF4B49" w:rsidP="00C27D12" w:rsidRDefault="00AD2FAD" w14:paraId="0BAB9435" w14:textId="321CA359">
      <w:pPr>
        <w:ind w:left="709"/>
        <w:rPr>
          <w:rFonts w:cs="Arial"/>
        </w:rPr>
      </w:pPr>
      <w:r w:rsidRPr="00DE5D68">
        <w:rPr>
          <w:rFonts w:cs="Arial"/>
        </w:rPr>
        <w:t>Subject as provided for in the Articles, t</w:t>
      </w:r>
      <w:r w:rsidRPr="00DE5D68" w:rsidR="00BF4B49">
        <w:rPr>
          <w:rFonts w:cs="Arial"/>
        </w:rPr>
        <w:t xml:space="preserve">he Company may by ordinary resolution alter its share capital, including, inter alia, consolidating share capital, sub-dividing shares, cancelling untaken shares, converting shares into shares of a different currency and denominating or redenominating the currency of share capital. </w:t>
      </w:r>
    </w:p>
    <w:p w:rsidRPr="00DE5D68" w:rsidR="005A7597" w:rsidP="00FE3DEF" w:rsidRDefault="00BF4B49" w14:paraId="6CF0A590" w14:textId="579C82AF">
      <w:pPr>
        <w:pStyle w:val="Heading2"/>
        <w:rPr>
          <w:rFonts w:cs="Arial"/>
          <w:b/>
        </w:rPr>
      </w:pPr>
      <w:r w:rsidRPr="00DE5D68">
        <w:rPr>
          <w:rFonts w:cs="Arial"/>
          <w:b/>
        </w:rPr>
        <w:t>Notice of General Meeting</w:t>
      </w:r>
    </w:p>
    <w:p w:rsidRPr="00DE5D68" w:rsidR="00BF4B49" w:rsidP="00C27D12" w:rsidRDefault="005A7597" w14:paraId="227B5613" w14:textId="6EF919B4">
      <w:pPr>
        <w:ind w:left="709"/>
        <w:rPr>
          <w:rFonts w:cs="Arial"/>
        </w:rPr>
      </w:pPr>
      <w:r w:rsidRPr="00DE5D68">
        <w:rPr>
          <w:rFonts w:cs="Arial"/>
        </w:rPr>
        <w:lastRenderedPageBreak/>
        <w:t>Any general meeting shall be called by at least ten days’ notice. A general meeting may be deemed to have been duly called by shorter notice if it is so agreed by all the members entitled to attend and vote thereat. The accidental omission to give notice of a meeting to, or the non-receip</w:t>
      </w:r>
      <w:r w:rsidR="008B55D4">
        <w:rPr>
          <w:rFonts w:cs="Arial"/>
        </w:rPr>
        <w:t xml:space="preserve">t of notice of a meeting by </w:t>
      </w:r>
      <w:r w:rsidRPr="00DE5D68">
        <w:rPr>
          <w:rFonts w:cs="Arial"/>
        </w:rPr>
        <w:t>any person entitled to receive notice</w:t>
      </w:r>
      <w:r w:rsidRPr="00DE5D68" w:rsidR="00AD2FAD">
        <w:rPr>
          <w:rFonts w:cs="Arial"/>
        </w:rPr>
        <w:t xml:space="preserve"> </w:t>
      </w:r>
      <w:r w:rsidRPr="00DE5D68">
        <w:rPr>
          <w:rFonts w:cs="Arial"/>
        </w:rPr>
        <w:t>shall not invalidate the proceedings at the meeting.</w:t>
      </w:r>
    </w:p>
    <w:p w:rsidRPr="00DE5D68" w:rsidR="00BF4B49" w:rsidP="007944C6" w:rsidRDefault="004507CB" w14:paraId="68ECBB2F" w14:textId="4AC38C77">
      <w:pPr>
        <w:pStyle w:val="Heading2"/>
        <w:rPr>
          <w:rFonts w:cs="Arial"/>
          <w:b/>
        </w:rPr>
      </w:pPr>
      <w:r w:rsidRPr="00DE5D68">
        <w:rPr>
          <w:rFonts w:cs="Arial"/>
          <w:b/>
        </w:rPr>
        <w:t xml:space="preserve">Borrowing </w:t>
      </w:r>
      <w:r w:rsidRPr="00DE5D68" w:rsidR="00BF4B49">
        <w:rPr>
          <w:rFonts w:cs="Arial"/>
          <w:b/>
        </w:rPr>
        <w:t>Powers of Directors</w:t>
      </w:r>
    </w:p>
    <w:p w:rsidRPr="00DE5D68" w:rsidR="005A7597" w:rsidP="00C27D12" w:rsidRDefault="005A7597" w14:paraId="3E62BEEA" w14:textId="32A4D39D">
      <w:pPr>
        <w:ind w:left="709"/>
        <w:rPr>
          <w:rFonts w:cs="Arial"/>
        </w:rPr>
      </w:pPr>
      <w:r w:rsidRPr="00DE5D68">
        <w:rPr>
          <w:rFonts w:cs="Arial"/>
        </w:rPr>
        <w:t xml:space="preserve">Subject as hereinafter provided, the Directors may exercise all the powers of the Company to borrow or raise money (including the power to borrow for the purpose of redeeming shares) and secure any debt or obligation of or binding on the Company in any manner including by the </w:t>
      </w:r>
      <w:r w:rsidRPr="00DE5D68" w:rsidR="00A50C3E">
        <w:rPr>
          <w:rFonts w:cs="Arial"/>
        </w:rPr>
        <w:t>i</w:t>
      </w:r>
      <w:r w:rsidRPr="00DE5D68" w:rsidR="000C0D70">
        <w:rPr>
          <w:rFonts w:cs="Arial"/>
        </w:rPr>
        <w:t xml:space="preserve">ssue </w:t>
      </w:r>
      <w:r w:rsidRPr="00DE5D68">
        <w:rPr>
          <w:rFonts w:cs="Arial"/>
        </w:rPr>
        <w:t>of debentures (perpetual or otherwise) and to secure the repayment of any money borrowed raised or owing by mortgage, charge, pledge or lien upon the whole or any part of the Company’s undertaking property or assets (whether present or future) and also by a similar mortgage charge pledge or lien to secure and guarantee the performance of any obligation or liability undertaken by the Company or any third party.</w:t>
      </w:r>
    </w:p>
    <w:p w:rsidRPr="00DE5D68" w:rsidR="00BF4B49" w:rsidP="007944C6" w:rsidRDefault="00BF4B49" w14:paraId="0711ED77" w14:textId="77777777">
      <w:pPr>
        <w:pStyle w:val="Heading2"/>
        <w:rPr>
          <w:rFonts w:cs="Arial"/>
          <w:b/>
        </w:rPr>
      </w:pPr>
      <w:r w:rsidRPr="00DE5D68">
        <w:rPr>
          <w:rFonts w:cs="Arial"/>
          <w:b/>
        </w:rPr>
        <w:t>Appointment and Retirement of Directors</w:t>
      </w:r>
    </w:p>
    <w:p w:rsidRPr="00DE5D68" w:rsidR="00BF4B49" w:rsidP="00565AD4" w:rsidRDefault="005A7597" w14:paraId="3C361C57" w14:textId="07906CC1">
      <w:pPr>
        <w:pStyle w:val="Heading3"/>
        <w:numPr>
          <w:ilvl w:val="2"/>
          <w:numId w:val="44"/>
        </w:numPr>
        <w:rPr>
          <w:rFonts w:cs="Arial"/>
          <w:b/>
          <w:i/>
        </w:rPr>
      </w:pPr>
      <w:r w:rsidRPr="00DE5D68">
        <w:rPr>
          <w:rFonts w:cs="Arial"/>
        </w:rPr>
        <w:t xml:space="preserve">Subject to the Companies Law and the Articles, the Directors shall have power at any time, and from time to time, without sanction of the Company in general meeting, to appoint any person to be a Director, either to fill a casual vacancy or as an additional Director. Any Director so appointed shall hold office only until the next following annual general meeting and shall then be eligible for re-appointment. Subject to the Companies Law and the Articles, the Company may by ordinary resolution appoint any person as a Director; and remove any person from office as a Director and there shall be no requirement for the appointment or removal of two or more </w:t>
      </w:r>
      <w:r w:rsidRPr="00DE5D68" w:rsidR="000C0D70">
        <w:rPr>
          <w:rFonts w:cs="Arial"/>
        </w:rPr>
        <w:t>Directors</w:t>
      </w:r>
      <w:r w:rsidRPr="00DE5D68">
        <w:rPr>
          <w:rFonts w:cs="Arial"/>
        </w:rPr>
        <w:t xml:space="preserve"> to be considered separately.</w:t>
      </w:r>
    </w:p>
    <w:p w:rsidRPr="00DE5D68" w:rsidR="00BF4B49" w:rsidP="00565AD4" w:rsidRDefault="005A7597" w14:paraId="5FE2F934" w14:textId="1C161D0C">
      <w:pPr>
        <w:pStyle w:val="Heading3"/>
        <w:numPr>
          <w:ilvl w:val="2"/>
          <w:numId w:val="44"/>
        </w:numPr>
        <w:ind w:left="1418" w:hanging="709"/>
        <w:rPr>
          <w:rFonts w:cs="Arial"/>
          <w:b/>
          <w:i/>
        </w:rPr>
      </w:pPr>
      <w:r w:rsidRPr="00DE5D68">
        <w:rPr>
          <w:rFonts w:cs="Arial"/>
        </w:rPr>
        <w:t>A Director may resign from office as a Director by giving notice in writing to that effect to the Company.</w:t>
      </w:r>
    </w:p>
    <w:p w:rsidRPr="00DE5D68" w:rsidR="00BF4B49" w:rsidP="00565AD4" w:rsidRDefault="005A7597" w14:paraId="37287FCD" w14:textId="1B037188">
      <w:pPr>
        <w:pStyle w:val="Heading3"/>
        <w:numPr>
          <w:ilvl w:val="2"/>
          <w:numId w:val="44"/>
        </w:numPr>
        <w:ind w:left="1418" w:hanging="709"/>
        <w:rPr>
          <w:rFonts w:cs="Arial"/>
          <w:b/>
          <w:i/>
        </w:rPr>
      </w:pPr>
      <w:r w:rsidRPr="00DE5D68">
        <w:rPr>
          <w:rFonts w:cs="Arial"/>
        </w:rPr>
        <w:t>There is no age limit at which a Director is required to retire.</w:t>
      </w:r>
    </w:p>
    <w:p w:rsidRPr="00DE5D68" w:rsidR="00BF4B49" w:rsidP="00565AD4" w:rsidRDefault="005A7597" w14:paraId="5572279D" w14:textId="47DF65B7">
      <w:pPr>
        <w:pStyle w:val="Heading3"/>
        <w:numPr>
          <w:ilvl w:val="2"/>
          <w:numId w:val="44"/>
        </w:numPr>
        <w:ind w:left="1418" w:hanging="709"/>
        <w:rPr>
          <w:rFonts w:cs="Arial"/>
          <w:b/>
          <w:i/>
        </w:rPr>
      </w:pPr>
      <w:r w:rsidRPr="00DE5D68">
        <w:rPr>
          <w:rFonts w:cs="Arial"/>
        </w:rPr>
        <w:t>At each annual general meeting of the Company, each Director shall retire from office and each Director may offer himself</w:t>
      </w:r>
      <w:r w:rsidR="00524A7C">
        <w:rPr>
          <w:rFonts w:cs="Arial"/>
        </w:rPr>
        <w:t>/herself</w:t>
      </w:r>
      <w:r w:rsidRPr="00DE5D68">
        <w:rPr>
          <w:rFonts w:cs="Arial"/>
        </w:rPr>
        <w:t xml:space="preserve"> for election or re-election by the </w:t>
      </w:r>
      <w:r w:rsidRPr="00DE5D68" w:rsidR="000C0D70">
        <w:rPr>
          <w:rFonts w:cs="Arial"/>
        </w:rPr>
        <w:t>Shareholder</w:t>
      </w:r>
      <w:r w:rsidRPr="00DE5D68">
        <w:rPr>
          <w:rFonts w:cs="Arial"/>
        </w:rPr>
        <w:t>s.</w:t>
      </w:r>
    </w:p>
    <w:p w:rsidRPr="00DE5D68" w:rsidR="00BF4B49" w:rsidP="007944C6" w:rsidRDefault="005A7597" w14:paraId="4DE97042" w14:textId="30C2DF39">
      <w:pPr>
        <w:pStyle w:val="Heading2"/>
        <w:rPr>
          <w:rFonts w:cs="Arial"/>
          <w:b/>
        </w:rPr>
      </w:pPr>
      <w:r w:rsidRPr="00DE5D68">
        <w:rPr>
          <w:rFonts w:cs="Arial"/>
          <w:b/>
        </w:rPr>
        <w:t>Disqualification and Removal of Directors</w:t>
      </w:r>
    </w:p>
    <w:p w:rsidRPr="00DE5D68" w:rsidR="00BF4B49" w:rsidP="00B43818" w:rsidRDefault="005A7597" w14:paraId="10C8C419" w14:textId="170F1A89">
      <w:pPr>
        <w:pStyle w:val="Heading3"/>
        <w:numPr>
          <w:ilvl w:val="2"/>
          <w:numId w:val="45"/>
        </w:numPr>
        <w:ind w:left="1418" w:hanging="709"/>
        <w:rPr>
          <w:rFonts w:cs="Arial"/>
          <w:b/>
          <w:i/>
        </w:rPr>
      </w:pPr>
      <w:r w:rsidRPr="00DE5D68">
        <w:rPr>
          <w:rFonts w:cs="Arial"/>
        </w:rPr>
        <w:t>A Director shall not be required to hold any qualification shares.</w:t>
      </w:r>
    </w:p>
    <w:p w:rsidRPr="00DE5D68" w:rsidR="005A7597" w:rsidP="00565AD4" w:rsidRDefault="005A7597" w14:paraId="176149A4" w14:textId="42F26493">
      <w:pPr>
        <w:pStyle w:val="Heading3"/>
        <w:numPr>
          <w:ilvl w:val="2"/>
          <w:numId w:val="45"/>
        </w:numPr>
        <w:ind w:left="1418" w:hanging="709"/>
        <w:rPr>
          <w:rFonts w:cs="Arial"/>
          <w:b/>
          <w:i/>
        </w:rPr>
      </w:pPr>
      <w:r w:rsidRPr="00DE5D68">
        <w:rPr>
          <w:rFonts w:cs="Arial"/>
        </w:rPr>
        <w:t>The office of a Director shall be vacated if he</w:t>
      </w:r>
      <w:r w:rsidR="00B43818">
        <w:rPr>
          <w:rFonts w:cs="Arial"/>
        </w:rPr>
        <w:t xml:space="preserve"> or she</w:t>
      </w:r>
      <w:r w:rsidRPr="00DE5D68">
        <w:rPr>
          <w:rFonts w:cs="Arial"/>
        </w:rPr>
        <w:t xml:space="preserve"> ceases to b</w:t>
      </w:r>
      <w:r w:rsidRPr="00DE5D68" w:rsidR="00BF4B49">
        <w:rPr>
          <w:rFonts w:cs="Arial"/>
        </w:rPr>
        <w:t xml:space="preserve">e a Director </w:t>
      </w:r>
      <w:r w:rsidRPr="00DE5D68">
        <w:rPr>
          <w:rFonts w:cs="Arial"/>
        </w:rPr>
        <w:t>by virtue of any provision of the Companies Law or he</w:t>
      </w:r>
      <w:r w:rsidR="00B43818">
        <w:rPr>
          <w:rFonts w:cs="Arial"/>
        </w:rPr>
        <w:t xml:space="preserve"> or she</w:t>
      </w:r>
      <w:r w:rsidRPr="00DE5D68">
        <w:rPr>
          <w:rFonts w:cs="Arial"/>
        </w:rPr>
        <w:t xml:space="preserve"> ceases to be eligible to be a Director in accordance with the Companies Law; or he </w:t>
      </w:r>
      <w:r w:rsidR="00B43818">
        <w:rPr>
          <w:rFonts w:cs="Arial"/>
        </w:rPr>
        <w:t xml:space="preserve">or she </w:t>
      </w:r>
      <w:r w:rsidRPr="00DE5D68">
        <w:rPr>
          <w:rFonts w:cs="Arial"/>
        </w:rPr>
        <w:t xml:space="preserve">has his </w:t>
      </w:r>
      <w:r w:rsidR="00B43818">
        <w:rPr>
          <w:rFonts w:cs="Arial"/>
        </w:rPr>
        <w:t xml:space="preserve">or her </w:t>
      </w:r>
      <w:r w:rsidRPr="00DE5D68">
        <w:rPr>
          <w:rFonts w:cs="Arial"/>
        </w:rPr>
        <w:t xml:space="preserve">affairs declared </w:t>
      </w:r>
      <w:proofErr w:type="spellStart"/>
      <w:r w:rsidRPr="00DE5D68">
        <w:rPr>
          <w:rFonts w:cs="Arial"/>
        </w:rPr>
        <w:t>en</w:t>
      </w:r>
      <w:proofErr w:type="spellEnd"/>
      <w:r w:rsidRPr="00DE5D68">
        <w:rPr>
          <w:rFonts w:cs="Arial"/>
        </w:rPr>
        <w:t xml:space="preserve"> </w:t>
      </w:r>
      <w:proofErr w:type="spellStart"/>
      <w:r w:rsidRPr="00DE5D68">
        <w:rPr>
          <w:rFonts w:cs="Arial"/>
        </w:rPr>
        <w:t>désastre</w:t>
      </w:r>
      <w:proofErr w:type="spellEnd"/>
      <w:r w:rsidRPr="00DE5D68">
        <w:rPr>
          <w:rFonts w:cs="Arial"/>
        </w:rPr>
        <w:t xml:space="preserve">, becomes bankrupt or makes any arrangement or composition with his </w:t>
      </w:r>
      <w:r w:rsidR="00B43818">
        <w:rPr>
          <w:rFonts w:cs="Arial"/>
        </w:rPr>
        <w:t xml:space="preserve">or her </w:t>
      </w:r>
      <w:r w:rsidRPr="00DE5D68">
        <w:rPr>
          <w:rFonts w:cs="Arial"/>
        </w:rPr>
        <w:t>creditors generally or otherwise has any judgment executed on any of his</w:t>
      </w:r>
      <w:r w:rsidR="00B43818">
        <w:rPr>
          <w:rFonts w:cs="Arial"/>
        </w:rPr>
        <w:t xml:space="preserve"> or her</w:t>
      </w:r>
      <w:r w:rsidRPr="00DE5D68">
        <w:rPr>
          <w:rFonts w:cs="Arial"/>
        </w:rPr>
        <w:t xml:space="preserve"> assets; or he </w:t>
      </w:r>
      <w:r w:rsidR="00B43818">
        <w:rPr>
          <w:rFonts w:cs="Arial"/>
        </w:rPr>
        <w:t xml:space="preserve">or she </w:t>
      </w:r>
      <w:r w:rsidRPr="00DE5D68">
        <w:rPr>
          <w:rFonts w:cs="Arial"/>
        </w:rPr>
        <w:t xml:space="preserve">becomes of unsound mind or incapable or an order is made by a court having jurisdiction (whether in Guernsey or elsewhere) in matters concerning mental disorder for his </w:t>
      </w:r>
      <w:r w:rsidR="00B43818">
        <w:rPr>
          <w:rFonts w:cs="Arial"/>
        </w:rPr>
        <w:t xml:space="preserve">or her </w:t>
      </w:r>
      <w:r w:rsidRPr="00DE5D68">
        <w:rPr>
          <w:rFonts w:cs="Arial"/>
        </w:rPr>
        <w:t xml:space="preserve">detention or for the appointment of a receiver, curator or other person to exercise powers with respect to his </w:t>
      </w:r>
      <w:r w:rsidR="00B43818">
        <w:rPr>
          <w:rFonts w:cs="Arial"/>
        </w:rPr>
        <w:t xml:space="preserve">or her </w:t>
      </w:r>
      <w:r w:rsidRPr="00DE5D68">
        <w:rPr>
          <w:rFonts w:cs="Arial"/>
        </w:rPr>
        <w:t>property or affairs; or he</w:t>
      </w:r>
      <w:r w:rsidR="00B43818">
        <w:rPr>
          <w:rFonts w:cs="Arial"/>
        </w:rPr>
        <w:t xml:space="preserve"> or she</w:t>
      </w:r>
      <w:r w:rsidRPr="00DE5D68">
        <w:rPr>
          <w:rFonts w:cs="Arial"/>
        </w:rPr>
        <w:t xml:space="preserve"> shall have absented himself</w:t>
      </w:r>
      <w:r w:rsidR="00524A7C">
        <w:rPr>
          <w:rFonts w:cs="Arial"/>
        </w:rPr>
        <w:t>/herself</w:t>
      </w:r>
      <w:r w:rsidRPr="00DE5D68">
        <w:rPr>
          <w:rFonts w:cs="Arial"/>
        </w:rPr>
        <w:t xml:space="preserve"> from meetings of the Directors for a consecutive period of 6 months and the Directors resolve</w:t>
      </w:r>
      <w:r w:rsidR="006C3EDC">
        <w:rPr>
          <w:rFonts w:cs="Arial"/>
        </w:rPr>
        <w:t xml:space="preserve"> </w:t>
      </w:r>
      <w:r w:rsidRPr="00DE5D68">
        <w:rPr>
          <w:rFonts w:cs="Arial"/>
        </w:rPr>
        <w:t xml:space="preserve">that his </w:t>
      </w:r>
      <w:r w:rsidR="00B43818">
        <w:rPr>
          <w:rFonts w:cs="Arial"/>
        </w:rPr>
        <w:t xml:space="preserve">or her </w:t>
      </w:r>
      <w:r w:rsidRPr="00DE5D68">
        <w:rPr>
          <w:rFonts w:cs="Arial"/>
        </w:rPr>
        <w:t>office shall be vacated; or he</w:t>
      </w:r>
      <w:r w:rsidR="00B43818">
        <w:rPr>
          <w:rFonts w:cs="Arial"/>
        </w:rPr>
        <w:t xml:space="preserve"> or she</w:t>
      </w:r>
      <w:r w:rsidRPr="00DE5D68">
        <w:rPr>
          <w:rFonts w:cs="Arial"/>
        </w:rPr>
        <w:t xml:space="preserve"> dies; or he </w:t>
      </w:r>
      <w:r w:rsidR="00B43818">
        <w:rPr>
          <w:rFonts w:cs="Arial"/>
        </w:rPr>
        <w:t xml:space="preserve">or she </w:t>
      </w:r>
      <w:r w:rsidRPr="00DE5D68">
        <w:rPr>
          <w:rFonts w:cs="Arial"/>
        </w:rPr>
        <w:t xml:space="preserve">resigns his </w:t>
      </w:r>
      <w:r w:rsidR="00B43818">
        <w:rPr>
          <w:rFonts w:cs="Arial"/>
        </w:rPr>
        <w:t xml:space="preserve">or her </w:t>
      </w:r>
      <w:r w:rsidRPr="00DE5D68">
        <w:rPr>
          <w:rFonts w:cs="Arial"/>
        </w:rPr>
        <w:t>office by written notice to the Company; or</w:t>
      </w:r>
      <w:r w:rsidR="006C3EDC">
        <w:rPr>
          <w:rFonts w:cs="Arial"/>
        </w:rPr>
        <w:t xml:space="preserve"> </w:t>
      </w:r>
      <w:r w:rsidRPr="00DE5D68">
        <w:rPr>
          <w:rFonts w:cs="Arial"/>
        </w:rPr>
        <w:t>the Company so resolves by ordinary resolution; or where there are more than two Directors, all the other Directors</w:t>
      </w:r>
      <w:r w:rsidR="006C3EDC">
        <w:rPr>
          <w:rFonts w:cs="Arial"/>
        </w:rPr>
        <w:t xml:space="preserve"> </w:t>
      </w:r>
      <w:r w:rsidRPr="00DE5D68">
        <w:rPr>
          <w:rFonts w:cs="Arial"/>
        </w:rPr>
        <w:t>request him</w:t>
      </w:r>
      <w:r w:rsidR="00524A7C">
        <w:rPr>
          <w:rFonts w:cs="Arial"/>
        </w:rPr>
        <w:t>/her</w:t>
      </w:r>
      <w:r w:rsidRPr="00DE5D68">
        <w:rPr>
          <w:rFonts w:cs="Arial"/>
        </w:rPr>
        <w:t xml:space="preserve"> to resign in writing.</w:t>
      </w:r>
    </w:p>
    <w:p w:rsidRPr="00DE5D68" w:rsidR="005A7597" w:rsidP="007944C6" w:rsidRDefault="005A7597" w14:paraId="0A52C996" w14:textId="7FBBB13F">
      <w:pPr>
        <w:pStyle w:val="Heading2"/>
        <w:keepNext/>
        <w:rPr>
          <w:rFonts w:cs="Arial"/>
          <w:b/>
        </w:rPr>
      </w:pPr>
      <w:r w:rsidRPr="00DE5D68">
        <w:rPr>
          <w:rFonts w:cs="Arial"/>
          <w:b/>
        </w:rPr>
        <w:t>Remuneration of Directors</w:t>
      </w:r>
    </w:p>
    <w:p w:rsidRPr="00DE5D68" w:rsidR="005A7597" w:rsidP="00C27D12" w:rsidRDefault="005A7597" w14:paraId="250C2B07" w14:textId="66C10D45">
      <w:pPr>
        <w:ind w:left="709"/>
        <w:rPr>
          <w:rFonts w:cs="Arial"/>
        </w:rPr>
      </w:pPr>
      <w:r w:rsidRPr="00DE5D68">
        <w:rPr>
          <w:rFonts w:cs="Arial"/>
        </w:rPr>
        <w:t>Unless otherwise determined by the Company by ordinary resolution, the Directors shall be remunerated for their services at such rate as the Directors shall determine provided that the aggregate amount of such fees shall not exceed the annual equivalent of £</w:t>
      </w:r>
      <w:r w:rsidR="007D49FF">
        <w:rPr>
          <w:rFonts w:cs="Arial"/>
        </w:rPr>
        <w:t>150</w:t>
      </w:r>
      <w:r w:rsidRPr="00DE5D68">
        <w:rPr>
          <w:rFonts w:cs="Arial"/>
        </w:rPr>
        <w:t>,000 per annum (or such sum as the Company in general meeting shall from time to time determine).</w:t>
      </w:r>
    </w:p>
    <w:p w:rsidRPr="00DE5D68" w:rsidR="00594747" w:rsidP="007944C6" w:rsidRDefault="00594747" w14:paraId="12BBA9A0" w14:textId="6220E81C">
      <w:pPr>
        <w:pStyle w:val="Heading2"/>
        <w:rPr>
          <w:rFonts w:cs="Arial"/>
          <w:b/>
        </w:rPr>
      </w:pPr>
      <w:r w:rsidRPr="00DE5D68">
        <w:rPr>
          <w:rFonts w:cs="Arial"/>
          <w:b/>
        </w:rPr>
        <w:lastRenderedPageBreak/>
        <w:t xml:space="preserve">Directors' Appointments and Interests </w:t>
      </w:r>
    </w:p>
    <w:p w:rsidRPr="00DE5D68" w:rsidR="00594747" w:rsidP="007944C6" w:rsidRDefault="005A7597" w14:paraId="0D223A35" w14:textId="7335A56F">
      <w:pPr>
        <w:pStyle w:val="Heading3"/>
        <w:rPr>
          <w:rFonts w:cs="Arial"/>
          <w:b/>
          <w:i/>
        </w:rPr>
      </w:pPr>
      <w:r w:rsidRPr="00DE5D68">
        <w:rPr>
          <w:rFonts w:cs="Arial"/>
        </w:rPr>
        <w:t>Subject to the provisions of the C</w:t>
      </w:r>
      <w:r w:rsidRPr="00DE5D68" w:rsidR="00594747">
        <w:rPr>
          <w:rFonts w:cs="Arial"/>
        </w:rPr>
        <w:t xml:space="preserve">ompanies Law, the Directors may </w:t>
      </w:r>
      <w:r w:rsidRPr="00DE5D68">
        <w:rPr>
          <w:rFonts w:cs="Arial"/>
        </w:rPr>
        <w:t>appoint one or more of their number to the office of managing Director or to any other executive office upon such terms as they determine.</w:t>
      </w:r>
    </w:p>
    <w:p w:rsidRPr="00DE5D68" w:rsidR="00594747" w:rsidP="007944C6" w:rsidRDefault="005A7597" w14:paraId="2CEACF2A" w14:textId="5EDD8E82">
      <w:pPr>
        <w:pStyle w:val="Heading3"/>
        <w:rPr>
          <w:rFonts w:cs="Arial"/>
          <w:b/>
          <w:i/>
        </w:rPr>
      </w:pPr>
      <w:bookmarkStart w:name="_Ref32006630" w:id="277"/>
      <w:r w:rsidRPr="00DE5D68">
        <w:rPr>
          <w:rFonts w:cs="Arial"/>
        </w:rPr>
        <w:t>Subject to and in accordance with the Companies Law, a Director must, immediately after becoming aware of the fact that he</w:t>
      </w:r>
      <w:r w:rsidR="00B43818">
        <w:rPr>
          <w:rFonts w:cs="Arial"/>
        </w:rPr>
        <w:t xml:space="preserve"> or she</w:t>
      </w:r>
      <w:r w:rsidRPr="00DE5D68">
        <w:rPr>
          <w:rFonts w:cs="Arial"/>
        </w:rPr>
        <w:t xml:space="preserve"> is interested in a transaction or proposed transaction with the Company, disclose </w:t>
      </w:r>
      <w:r w:rsidRPr="00DE5D68" w:rsidR="00E978F4">
        <w:rPr>
          <w:rFonts w:cs="Arial"/>
        </w:rPr>
        <w:t xml:space="preserve">to the Board in accordance with the </w:t>
      </w:r>
      <w:r w:rsidRPr="00DE5D68" w:rsidR="00CC420B">
        <w:rPr>
          <w:rFonts w:cs="Arial"/>
        </w:rPr>
        <w:t xml:space="preserve">Companies </w:t>
      </w:r>
      <w:r w:rsidRPr="00DE5D68" w:rsidR="00E978F4">
        <w:rPr>
          <w:rFonts w:cs="Arial"/>
        </w:rPr>
        <w:t>Law the nature and extent of that interest</w:t>
      </w:r>
      <w:r w:rsidRPr="00DE5D68">
        <w:rPr>
          <w:rFonts w:cs="Arial"/>
        </w:rPr>
        <w:t>.</w:t>
      </w:r>
      <w:bookmarkEnd w:id="277"/>
    </w:p>
    <w:p w:rsidRPr="00DE5D68" w:rsidR="00594747" w:rsidP="007944C6" w:rsidRDefault="005A7597" w14:paraId="60E1D36A" w14:textId="6A9C2197">
      <w:pPr>
        <w:pStyle w:val="Heading3"/>
        <w:rPr>
          <w:rFonts w:cs="Arial"/>
          <w:b/>
          <w:i/>
        </w:rPr>
      </w:pPr>
      <w:r w:rsidRPr="00DE5D68">
        <w:rPr>
          <w:rFonts w:cs="Arial"/>
        </w:rPr>
        <w:t xml:space="preserve">For the purposes of the article summarised in sub-paragraph </w:t>
      </w:r>
      <w:r w:rsidR="00577D1F">
        <w:rPr>
          <w:rFonts w:cs="Arial"/>
        </w:rPr>
        <w:fldChar w:fldCharType="begin" w:fldLock="1"/>
      </w:r>
      <w:r w:rsidR="00577D1F">
        <w:rPr>
          <w:rFonts w:cs="Arial"/>
        </w:rPr>
        <w:instrText xml:space="preserve"> REF _Ref32006630 \n \h </w:instrText>
      </w:r>
      <w:r w:rsidR="00577D1F">
        <w:rPr>
          <w:rFonts w:cs="Arial"/>
        </w:rPr>
      </w:r>
      <w:r w:rsidR="00577D1F">
        <w:rPr>
          <w:rFonts w:cs="Arial"/>
        </w:rPr>
        <w:fldChar w:fldCharType="separate"/>
      </w:r>
      <w:r w:rsidR="00DA4048">
        <w:rPr>
          <w:rFonts w:cs="Arial"/>
        </w:rPr>
        <w:t>4.16.2</w:t>
      </w:r>
      <w:r w:rsidR="00577D1F">
        <w:rPr>
          <w:rFonts w:cs="Arial"/>
        </w:rPr>
        <w:fldChar w:fldCharType="end"/>
      </w:r>
      <w:r w:rsidRPr="00DE5D68" w:rsidR="00594747">
        <w:rPr>
          <w:rFonts w:cs="Arial"/>
        </w:rPr>
        <w:t xml:space="preserve"> </w:t>
      </w:r>
      <w:r w:rsidRPr="00DE5D68">
        <w:rPr>
          <w:rFonts w:cs="Arial"/>
        </w:rPr>
        <w:t xml:space="preserve">above, a general disclosure given to the Directors to the effect that a Director has an interest (as director, officer, employee, member or otherwise) in a party and is to be regarded as interested in any transaction which may after the date of the disclosure be entered into with that party shall be deemed to be sufficient disclosure of his </w:t>
      </w:r>
      <w:r w:rsidR="00B43818">
        <w:rPr>
          <w:rFonts w:cs="Arial"/>
        </w:rPr>
        <w:t xml:space="preserve">or her </w:t>
      </w:r>
      <w:r w:rsidRPr="00DE5D68">
        <w:rPr>
          <w:rFonts w:cs="Arial"/>
        </w:rPr>
        <w:t>interest in any such transaction or arrangement.</w:t>
      </w:r>
    </w:p>
    <w:p w:rsidRPr="00DE5D68" w:rsidR="00594747" w:rsidP="007944C6" w:rsidRDefault="005A7597" w14:paraId="39482D68" w14:textId="5413CE15">
      <w:pPr>
        <w:pStyle w:val="Heading3"/>
        <w:rPr>
          <w:rFonts w:cs="Arial"/>
          <w:b/>
          <w:i/>
        </w:rPr>
      </w:pPr>
      <w:r w:rsidRPr="00DE5D68">
        <w:rPr>
          <w:rFonts w:cs="Arial"/>
        </w:rPr>
        <w:t xml:space="preserve">The requirement summarised in sub-paragraph </w:t>
      </w:r>
      <w:r w:rsidR="00577D1F">
        <w:rPr>
          <w:rFonts w:cs="Arial"/>
        </w:rPr>
        <w:fldChar w:fldCharType="begin" w:fldLock="1"/>
      </w:r>
      <w:r w:rsidR="00577D1F">
        <w:rPr>
          <w:rFonts w:cs="Arial"/>
        </w:rPr>
        <w:instrText xml:space="preserve"> REF _Ref32006630 \n \h </w:instrText>
      </w:r>
      <w:r w:rsidR="00577D1F">
        <w:rPr>
          <w:rFonts w:cs="Arial"/>
        </w:rPr>
      </w:r>
      <w:r w:rsidR="00577D1F">
        <w:rPr>
          <w:rFonts w:cs="Arial"/>
        </w:rPr>
        <w:fldChar w:fldCharType="separate"/>
      </w:r>
      <w:r w:rsidR="00DA4048">
        <w:rPr>
          <w:rFonts w:cs="Arial"/>
        </w:rPr>
        <w:t>4.16.2</w:t>
      </w:r>
      <w:r w:rsidR="00577D1F">
        <w:rPr>
          <w:rFonts w:cs="Arial"/>
        </w:rPr>
        <w:fldChar w:fldCharType="end"/>
      </w:r>
      <w:r w:rsidRPr="00DE5D68" w:rsidR="00594747">
        <w:rPr>
          <w:rFonts w:cs="Arial"/>
        </w:rPr>
        <w:t xml:space="preserve"> </w:t>
      </w:r>
      <w:r w:rsidRPr="00DE5D68">
        <w:rPr>
          <w:rFonts w:cs="Arial"/>
        </w:rPr>
        <w:t>above does not apply if the transaction proposed is between a Director and the Company, or if the Company is entering into the transaction in the ordinary course of business on usual terms.</w:t>
      </w:r>
    </w:p>
    <w:p w:rsidRPr="00DE5D68" w:rsidR="00594747" w:rsidP="007944C6" w:rsidRDefault="005A7597" w14:paraId="4699189A" w14:textId="1E9189BB">
      <w:pPr>
        <w:pStyle w:val="Heading3"/>
        <w:keepNext/>
        <w:rPr>
          <w:rFonts w:cs="Arial"/>
          <w:b/>
          <w:i/>
        </w:rPr>
      </w:pPr>
      <w:r w:rsidRPr="00DE5D68">
        <w:rPr>
          <w:rFonts w:cs="Arial"/>
        </w:rPr>
        <w:t xml:space="preserve">A Director may not vote or be counted in the quorum on a resolution of the </w:t>
      </w:r>
      <w:r w:rsidRPr="00DE5D68" w:rsidR="000C0D70">
        <w:rPr>
          <w:rFonts w:cs="Arial"/>
        </w:rPr>
        <w:t>Board</w:t>
      </w:r>
      <w:r w:rsidRPr="00DE5D68">
        <w:rPr>
          <w:rFonts w:cs="Arial"/>
        </w:rPr>
        <w:t xml:space="preserve"> or committee of the </w:t>
      </w:r>
      <w:r w:rsidRPr="00DE5D68" w:rsidR="000C0D70">
        <w:rPr>
          <w:rFonts w:cs="Arial"/>
        </w:rPr>
        <w:t>Board</w:t>
      </w:r>
      <w:r w:rsidRPr="00DE5D68">
        <w:rPr>
          <w:rFonts w:cs="Arial"/>
        </w:rPr>
        <w:t xml:space="preserve"> concerning a contract, arrangement, transaction or proposal to which the Company is or is to be a party and in which he </w:t>
      </w:r>
      <w:r w:rsidR="00B43818">
        <w:rPr>
          <w:rFonts w:cs="Arial"/>
        </w:rPr>
        <w:t xml:space="preserve">or she </w:t>
      </w:r>
      <w:r w:rsidRPr="00DE5D68">
        <w:rPr>
          <w:rFonts w:cs="Arial"/>
        </w:rPr>
        <w:t>has an interest which (together with any interest of any person connected with him</w:t>
      </w:r>
      <w:r w:rsidR="00524A7C">
        <w:rPr>
          <w:rFonts w:cs="Arial"/>
        </w:rPr>
        <w:t>/her</w:t>
      </w:r>
      <w:r w:rsidRPr="00DE5D68">
        <w:rPr>
          <w:rFonts w:cs="Arial"/>
        </w:rPr>
        <w:t xml:space="preserve">) is, to his </w:t>
      </w:r>
      <w:r w:rsidR="00B43818">
        <w:rPr>
          <w:rFonts w:cs="Arial"/>
        </w:rPr>
        <w:t xml:space="preserve">or her </w:t>
      </w:r>
      <w:r w:rsidRPr="00DE5D68">
        <w:rPr>
          <w:rFonts w:cs="Arial"/>
        </w:rPr>
        <w:t xml:space="preserve">knowledge, a material interest (otherwise than by virtue of his </w:t>
      </w:r>
      <w:r w:rsidR="00B43818">
        <w:rPr>
          <w:rFonts w:cs="Arial"/>
        </w:rPr>
        <w:t xml:space="preserve">or her </w:t>
      </w:r>
      <w:r w:rsidRPr="00DE5D68">
        <w:rPr>
          <w:rFonts w:cs="Arial"/>
        </w:rPr>
        <w:t>interest in shares or debentures or other securities of or otherwise in or through the Company) but, in the absence of some other material interest than is mentioned below, this prohibition does not apply to a resolution concerning any of the following matters:</w:t>
      </w:r>
    </w:p>
    <w:p w:rsidRPr="00DE5D68" w:rsidR="00594747" w:rsidP="007944C6" w:rsidRDefault="005A7597" w14:paraId="7C1046C3" w14:textId="525DD83E">
      <w:pPr>
        <w:pStyle w:val="Heading4"/>
        <w:ind w:hanging="1134"/>
        <w:rPr>
          <w:rFonts w:cs="Arial"/>
          <w:b/>
          <w:i/>
        </w:rPr>
      </w:pPr>
      <w:r w:rsidRPr="00DE5D68">
        <w:rPr>
          <w:rFonts w:cs="Arial"/>
        </w:rPr>
        <w:t>the giving of a guarantee, security or indemnity in respect of money lent or obligations incurred by him</w:t>
      </w:r>
      <w:r w:rsidR="00524A7C">
        <w:rPr>
          <w:rFonts w:cs="Arial"/>
        </w:rPr>
        <w:t>/her</w:t>
      </w:r>
      <w:r w:rsidRPr="00DE5D68">
        <w:rPr>
          <w:rFonts w:cs="Arial"/>
        </w:rPr>
        <w:t xml:space="preserve"> or any other person at the request of or for the benefit of the Company or any of its subsidiaries;</w:t>
      </w:r>
    </w:p>
    <w:p w:rsidRPr="00DE5D68" w:rsidR="00594747" w:rsidP="007944C6" w:rsidRDefault="005A7597" w14:paraId="367605D3" w14:textId="37938885">
      <w:pPr>
        <w:pStyle w:val="Heading4"/>
        <w:ind w:hanging="1134"/>
        <w:rPr>
          <w:rFonts w:cs="Arial"/>
          <w:b/>
          <w:i/>
        </w:rPr>
      </w:pPr>
      <w:r w:rsidRPr="00DE5D68">
        <w:rPr>
          <w:rFonts w:cs="Arial"/>
        </w:rPr>
        <w:t xml:space="preserve">the giving of a guarantee, security or indemnity in respect of a debt or obligation of the Company or any of its subsidiaries for which he himself </w:t>
      </w:r>
      <w:r w:rsidR="00B43818">
        <w:rPr>
          <w:rFonts w:cs="Arial"/>
        </w:rPr>
        <w:t xml:space="preserve">or she herself </w:t>
      </w:r>
      <w:r w:rsidRPr="00DE5D68">
        <w:rPr>
          <w:rFonts w:cs="Arial"/>
        </w:rPr>
        <w:t>has assumed responsibility in whole or in part, either alone or jointly with others, under a guarantee or indemnity by the giving of security;</w:t>
      </w:r>
    </w:p>
    <w:p w:rsidRPr="00DE5D68" w:rsidR="00594747" w:rsidP="007944C6" w:rsidRDefault="005A7597" w14:paraId="2891B48C" w14:textId="1D886DA7">
      <w:pPr>
        <w:pStyle w:val="Heading4"/>
        <w:ind w:hanging="1134"/>
        <w:rPr>
          <w:rFonts w:cs="Arial"/>
          <w:b/>
          <w:i/>
        </w:rPr>
      </w:pPr>
      <w:r w:rsidRPr="00DE5D68">
        <w:rPr>
          <w:rFonts w:cs="Arial"/>
        </w:rPr>
        <w:t xml:space="preserve">a contract, arrangement, transaction or proposal concerning an offer of shares, debentures or other securities of the Company or any of its subsidiaries for subscription or purchase, in which offer he </w:t>
      </w:r>
      <w:r w:rsidR="00B43818">
        <w:rPr>
          <w:rFonts w:cs="Arial"/>
        </w:rPr>
        <w:t xml:space="preserve">or she </w:t>
      </w:r>
      <w:r w:rsidRPr="00DE5D68">
        <w:rPr>
          <w:rFonts w:cs="Arial"/>
        </w:rPr>
        <w:t>is or may be entitled to participate as a holder of securities or in the underwriting or sub-underwriting of which he</w:t>
      </w:r>
      <w:r w:rsidR="00B43818">
        <w:rPr>
          <w:rFonts w:cs="Arial"/>
        </w:rPr>
        <w:t xml:space="preserve"> or she</w:t>
      </w:r>
      <w:r w:rsidRPr="00DE5D68">
        <w:rPr>
          <w:rFonts w:cs="Arial"/>
        </w:rPr>
        <w:t xml:space="preserve"> is to participate;</w:t>
      </w:r>
    </w:p>
    <w:p w:rsidRPr="00DE5D68" w:rsidR="00594747" w:rsidP="007944C6" w:rsidRDefault="005A7597" w14:paraId="28E710AE" w14:textId="768FFFA6">
      <w:pPr>
        <w:pStyle w:val="Heading4"/>
        <w:ind w:hanging="1134"/>
        <w:rPr>
          <w:rFonts w:cs="Arial"/>
          <w:b/>
          <w:i/>
        </w:rPr>
      </w:pPr>
      <w:r w:rsidRPr="00DE5D68">
        <w:rPr>
          <w:rFonts w:cs="Arial"/>
        </w:rPr>
        <w:t xml:space="preserve">a contract, arrangement, transaction or proposal to which the Company is or is to be a party concerning another company (including any subsidiary of the Company) in which he </w:t>
      </w:r>
      <w:r w:rsidR="00B43818">
        <w:rPr>
          <w:rFonts w:cs="Arial"/>
        </w:rPr>
        <w:t xml:space="preserve">or she </w:t>
      </w:r>
      <w:r w:rsidRPr="00DE5D68">
        <w:rPr>
          <w:rFonts w:cs="Arial"/>
        </w:rPr>
        <w:t>(and any persons connected with him</w:t>
      </w:r>
      <w:r w:rsidR="00524A7C">
        <w:rPr>
          <w:rFonts w:cs="Arial"/>
        </w:rPr>
        <w:t>/</w:t>
      </w:r>
      <w:r w:rsidR="00B43818">
        <w:rPr>
          <w:rFonts w:cs="Arial"/>
        </w:rPr>
        <w:t>her</w:t>
      </w:r>
      <w:r w:rsidRPr="00DE5D68">
        <w:rPr>
          <w:rFonts w:cs="Arial"/>
        </w:rPr>
        <w:t xml:space="preserve">) is interested and whether as an officer, </w:t>
      </w:r>
      <w:r w:rsidRPr="00DE5D68" w:rsidR="000C0D70">
        <w:rPr>
          <w:rFonts w:cs="Arial"/>
        </w:rPr>
        <w:t>Shareholder</w:t>
      </w:r>
      <w:r w:rsidRPr="00DE5D68">
        <w:rPr>
          <w:rFonts w:cs="Arial"/>
        </w:rPr>
        <w:t xml:space="preserve">, creditor or otherwise, if he </w:t>
      </w:r>
      <w:r w:rsidR="00B43818">
        <w:rPr>
          <w:rFonts w:cs="Arial"/>
        </w:rPr>
        <w:t xml:space="preserve">or she </w:t>
      </w:r>
      <w:r w:rsidRPr="00DE5D68">
        <w:rPr>
          <w:rFonts w:cs="Arial"/>
        </w:rPr>
        <w:t>(and any persons connected with him</w:t>
      </w:r>
      <w:r w:rsidR="00524A7C">
        <w:rPr>
          <w:rFonts w:cs="Arial"/>
        </w:rPr>
        <w:t>/her</w:t>
      </w:r>
      <w:r w:rsidRPr="00DE5D68">
        <w:rPr>
          <w:rFonts w:cs="Arial"/>
        </w:rPr>
        <w:t xml:space="preserve">) does not to his </w:t>
      </w:r>
      <w:r w:rsidR="00B43818">
        <w:rPr>
          <w:rFonts w:cs="Arial"/>
        </w:rPr>
        <w:t xml:space="preserve">or her </w:t>
      </w:r>
      <w:r w:rsidRPr="00DE5D68">
        <w:rPr>
          <w:rFonts w:cs="Arial"/>
        </w:rPr>
        <w:t xml:space="preserve">knowledge hold an interest in shares representing one per cent. or more of any class of the equity share capital of or the voting rights in the relevant company (or of any other company through which his </w:t>
      </w:r>
      <w:r w:rsidR="00B43818">
        <w:rPr>
          <w:rFonts w:cs="Arial"/>
        </w:rPr>
        <w:t xml:space="preserve">or her </w:t>
      </w:r>
      <w:r w:rsidRPr="00DE5D68">
        <w:rPr>
          <w:rFonts w:cs="Arial"/>
        </w:rPr>
        <w:t>interest is derived);</w:t>
      </w:r>
    </w:p>
    <w:p w:rsidRPr="00DE5D68" w:rsidR="00594747" w:rsidP="007944C6" w:rsidRDefault="005A7597" w14:paraId="11C06629" w14:textId="24C6CFF2">
      <w:pPr>
        <w:pStyle w:val="Heading4"/>
        <w:ind w:hanging="1134"/>
        <w:rPr>
          <w:rFonts w:cs="Arial"/>
          <w:b/>
          <w:i/>
        </w:rPr>
      </w:pPr>
      <w:r w:rsidRPr="00DE5D68">
        <w:rPr>
          <w:rFonts w:cs="Arial"/>
        </w:rPr>
        <w:t>a contract, arrangement, transaction or proposal for the benefit of employees of the Company or any of its subsidiaries which only awards him</w:t>
      </w:r>
      <w:r w:rsidR="00524A7C">
        <w:rPr>
          <w:rFonts w:cs="Arial"/>
        </w:rPr>
        <w:t>/her</w:t>
      </w:r>
      <w:r w:rsidRPr="00DE5D68">
        <w:rPr>
          <w:rFonts w:cs="Arial"/>
        </w:rPr>
        <w:t xml:space="preserve"> a privilege or benefit generally accorded to the employees to whom it relates; and</w:t>
      </w:r>
    </w:p>
    <w:p w:rsidRPr="00DE5D68" w:rsidR="00594747" w:rsidP="007944C6" w:rsidRDefault="005A7597" w14:paraId="36A2DBB3" w14:textId="55DEE2B6">
      <w:pPr>
        <w:pStyle w:val="Heading4"/>
        <w:ind w:hanging="1134"/>
        <w:rPr>
          <w:rFonts w:cs="Arial"/>
          <w:b/>
          <w:i/>
        </w:rPr>
      </w:pPr>
      <w:r w:rsidRPr="00DE5D68">
        <w:rPr>
          <w:rFonts w:cs="Arial"/>
        </w:rPr>
        <w:t>a contract, arrangement, transaction or proposal concerning the purchase or maintenance of any insurance policy for the benefit of Directors or for the benefit of persons including Directors.</w:t>
      </w:r>
    </w:p>
    <w:p w:rsidRPr="00DE5D68" w:rsidR="00594747" w:rsidP="007944C6" w:rsidRDefault="005A7597" w14:paraId="44CC6B80" w14:textId="08D16389">
      <w:pPr>
        <w:pStyle w:val="Heading3"/>
        <w:rPr>
          <w:rFonts w:cs="Arial"/>
          <w:b/>
          <w:i/>
        </w:rPr>
      </w:pPr>
      <w:r w:rsidRPr="00DE5D68">
        <w:rPr>
          <w:rFonts w:cs="Arial"/>
        </w:rPr>
        <w:lastRenderedPageBreak/>
        <w:t>For the purposes of this article a p</w:t>
      </w:r>
      <w:r w:rsidRPr="00DE5D68" w:rsidR="00594747">
        <w:rPr>
          <w:rFonts w:cs="Arial"/>
        </w:rPr>
        <w:t xml:space="preserve">erson shall be treated as being </w:t>
      </w:r>
      <w:r w:rsidRPr="00DE5D68">
        <w:rPr>
          <w:rFonts w:cs="Arial"/>
        </w:rPr>
        <w:t>connected with a Director if that person is:</w:t>
      </w:r>
    </w:p>
    <w:p w:rsidRPr="00DE5D68" w:rsidR="005A7597" w:rsidP="007944C6" w:rsidRDefault="005A7597" w14:paraId="39068811" w14:textId="3CFA2249">
      <w:pPr>
        <w:pStyle w:val="Heading4"/>
        <w:ind w:hanging="1134"/>
        <w:rPr>
          <w:rFonts w:cs="Arial"/>
          <w:b/>
          <w:i/>
        </w:rPr>
      </w:pPr>
      <w:bookmarkStart w:name="_Ref32007023" w:id="278"/>
      <w:r w:rsidRPr="00DE5D68">
        <w:rPr>
          <w:rFonts w:cs="Arial"/>
        </w:rPr>
        <w:t>a spouse, child (under the age of eighteen) or step child (under the age of eighteen) of the Director; or</w:t>
      </w:r>
      <w:bookmarkEnd w:id="278"/>
    </w:p>
    <w:p w:rsidRPr="00DE5D68" w:rsidR="00594747" w:rsidP="007944C6" w:rsidRDefault="005A7597" w14:paraId="022BACE8" w14:textId="2F9756FC">
      <w:pPr>
        <w:pStyle w:val="Heading4"/>
        <w:ind w:hanging="1134"/>
        <w:rPr>
          <w:rFonts w:cs="Arial"/>
          <w:b/>
          <w:i/>
        </w:rPr>
      </w:pPr>
      <w:bookmarkStart w:name="_Ref32007031" w:id="279"/>
      <w:r w:rsidRPr="00DE5D68">
        <w:rPr>
          <w:rFonts w:cs="Arial"/>
        </w:rPr>
        <w:t>an associated body corporate which is a company in which the Director alone, or with connected persons, is directly or indirectly beneficially interested in 20 per cent. or more of the value of the equity share capital or is entitled (alone or with connected persons) to exercise or control the exercise of more than 20 per cent. of the voting power at general meetings; or</w:t>
      </w:r>
      <w:bookmarkEnd w:id="279"/>
    </w:p>
    <w:p w:rsidRPr="00DE5D68" w:rsidR="00594747" w:rsidP="007944C6" w:rsidRDefault="005A7597" w14:paraId="02D9F373" w14:textId="648C3616">
      <w:pPr>
        <w:pStyle w:val="Heading4"/>
        <w:ind w:hanging="1134"/>
        <w:rPr>
          <w:rFonts w:cs="Arial"/>
          <w:b/>
          <w:i/>
        </w:rPr>
      </w:pPr>
      <w:bookmarkStart w:name="_Ref32007077" w:id="280"/>
      <w:r w:rsidRPr="00DE5D68">
        <w:rPr>
          <w:rFonts w:cs="Arial"/>
        </w:rPr>
        <w:t xml:space="preserve">a trustee (acting in that capacity) of any trust, the beneficiaries of which include the Director or persons falling within paragraphs </w:t>
      </w:r>
      <w:r w:rsidR="002473F7">
        <w:rPr>
          <w:rFonts w:cs="Arial"/>
        </w:rPr>
        <w:fldChar w:fldCharType="begin" w:fldLock="1"/>
      </w:r>
      <w:r w:rsidR="002473F7">
        <w:rPr>
          <w:rFonts w:cs="Arial"/>
        </w:rPr>
        <w:instrText xml:space="preserve"> REF _Ref32007023 \n \h </w:instrText>
      </w:r>
      <w:r w:rsidR="002473F7">
        <w:rPr>
          <w:rFonts w:cs="Arial"/>
        </w:rPr>
      </w:r>
      <w:r w:rsidR="002473F7">
        <w:rPr>
          <w:rFonts w:cs="Arial"/>
        </w:rPr>
        <w:fldChar w:fldCharType="separate"/>
      </w:r>
      <w:r w:rsidR="00DA4048">
        <w:rPr>
          <w:rFonts w:cs="Arial"/>
        </w:rPr>
        <w:t>4.16.6.1</w:t>
      </w:r>
      <w:r w:rsidR="002473F7">
        <w:rPr>
          <w:rFonts w:cs="Arial"/>
        </w:rPr>
        <w:fldChar w:fldCharType="end"/>
      </w:r>
      <w:r w:rsidRPr="00DE5D68" w:rsidR="00594747">
        <w:rPr>
          <w:rFonts w:cs="Arial"/>
        </w:rPr>
        <w:t xml:space="preserve"> </w:t>
      </w:r>
      <w:r w:rsidRPr="00DE5D68">
        <w:rPr>
          <w:rFonts w:cs="Arial"/>
        </w:rPr>
        <w:t xml:space="preserve">and </w:t>
      </w:r>
      <w:r w:rsidR="002473F7">
        <w:rPr>
          <w:rFonts w:cs="Arial"/>
        </w:rPr>
        <w:fldChar w:fldCharType="begin" w:fldLock="1"/>
      </w:r>
      <w:r w:rsidR="002473F7">
        <w:rPr>
          <w:rFonts w:cs="Arial"/>
        </w:rPr>
        <w:instrText xml:space="preserve"> REF _Ref32007031 \n \h </w:instrText>
      </w:r>
      <w:r w:rsidR="002473F7">
        <w:rPr>
          <w:rFonts w:cs="Arial"/>
        </w:rPr>
      </w:r>
      <w:r w:rsidR="002473F7">
        <w:rPr>
          <w:rFonts w:cs="Arial"/>
        </w:rPr>
        <w:fldChar w:fldCharType="separate"/>
      </w:r>
      <w:r w:rsidR="00DA4048">
        <w:rPr>
          <w:rFonts w:cs="Arial"/>
        </w:rPr>
        <w:t>4.16.6.2</w:t>
      </w:r>
      <w:r w:rsidR="002473F7">
        <w:rPr>
          <w:rFonts w:cs="Arial"/>
        </w:rPr>
        <w:fldChar w:fldCharType="end"/>
      </w:r>
      <w:r w:rsidRPr="00DE5D68" w:rsidR="00594747">
        <w:rPr>
          <w:rFonts w:cs="Arial"/>
        </w:rPr>
        <w:t xml:space="preserve"> </w:t>
      </w:r>
      <w:r w:rsidRPr="00DE5D68">
        <w:rPr>
          <w:rFonts w:cs="Arial"/>
        </w:rPr>
        <w:t>above excluding trustees of an employees’ share scheme or pension scheme; or</w:t>
      </w:r>
      <w:bookmarkEnd w:id="280"/>
    </w:p>
    <w:p w:rsidRPr="00DE5D68" w:rsidR="00C63530" w:rsidP="007944C6" w:rsidRDefault="005A7597" w14:paraId="0197CDAA" w14:textId="1D66F505">
      <w:pPr>
        <w:pStyle w:val="Heading4"/>
        <w:ind w:hanging="1134"/>
        <w:rPr>
          <w:rFonts w:cs="Arial"/>
          <w:b/>
          <w:i/>
        </w:rPr>
      </w:pPr>
      <w:r w:rsidRPr="00DE5D68">
        <w:rPr>
          <w:rFonts w:cs="Arial"/>
        </w:rPr>
        <w:t xml:space="preserve">a partner (acting in that capacity) of the Director or persons in paragraphs </w:t>
      </w:r>
      <w:r w:rsidR="002473F7">
        <w:rPr>
          <w:rFonts w:cs="Arial"/>
        </w:rPr>
        <w:fldChar w:fldCharType="begin" w:fldLock="1"/>
      </w:r>
      <w:r w:rsidR="002473F7">
        <w:rPr>
          <w:rFonts w:cs="Arial"/>
        </w:rPr>
        <w:instrText xml:space="preserve"> REF _Ref32007023 \n \h </w:instrText>
      </w:r>
      <w:r w:rsidR="002473F7">
        <w:rPr>
          <w:rFonts w:cs="Arial"/>
        </w:rPr>
      </w:r>
      <w:r w:rsidR="002473F7">
        <w:rPr>
          <w:rFonts w:cs="Arial"/>
        </w:rPr>
        <w:fldChar w:fldCharType="separate"/>
      </w:r>
      <w:r w:rsidR="00DA4048">
        <w:rPr>
          <w:rFonts w:cs="Arial"/>
        </w:rPr>
        <w:t>4.16.6.1</w:t>
      </w:r>
      <w:r w:rsidR="002473F7">
        <w:rPr>
          <w:rFonts w:cs="Arial"/>
        </w:rPr>
        <w:fldChar w:fldCharType="end"/>
      </w:r>
      <w:r w:rsidRPr="00DE5D68" w:rsidR="00594747">
        <w:rPr>
          <w:rFonts w:cs="Arial"/>
        </w:rPr>
        <w:t xml:space="preserve"> </w:t>
      </w:r>
      <w:r w:rsidRPr="00DE5D68">
        <w:rPr>
          <w:rFonts w:cs="Arial"/>
        </w:rPr>
        <w:t xml:space="preserve">to </w:t>
      </w:r>
      <w:r w:rsidR="002473F7">
        <w:rPr>
          <w:rFonts w:cs="Arial"/>
        </w:rPr>
        <w:fldChar w:fldCharType="begin" w:fldLock="1"/>
      </w:r>
      <w:r w:rsidR="002473F7">
        <w:rPr>
          <w:rFonts w:cs="Arial"/>
        </w:rPr>
        <w:instrText xml:space="preserve"> REF _Ref32007077 \n \h </w:instrText>
      </w:r>
      <w:r w:rsidR="002473F7">
        <w:rPr>
          <w:rFonts w:cs="Arial"/>
        </w:rPr>
      </w:r>
      <w:r w:rsidR="002473F7">
        <w:rPr>
          <w:rFonts w:cs="Arial"/>
        </w:rPr>
        <w:fldChar w:fldCharType="separate"/>
      </w:r>
      <w:r w:rsidR="00DA4048">
        <w:rPr>
          <w:rFonts w:cs="Arial"/>
        </w:rPr>
        <w:t>4.16.6.3</w:t>
      </w:r>
      <w:r w:rsidR="002473F7">
        <w:rPr>
          <w:rFonts w:cs="Arial"/>
        </w:rPr>
        <w:fldChar w:fldCharType="end"/>
      </w:r>
      <w:r w:rsidRPr="00DE5D68" w:rsidR="00594747">
        <w:rPr>
          <w:rFonts w:cs="Arial"/>
        </w:rPr>
        <w:t xml:space="preserve"> </w:t>
      </w:r>
      <w:r w:rsidRPr="00DE5D68">
        <w:rPr>
          <w:rFonts w:cs="Arial"/>
        </w:rPr>
        <w:t>above.</w:t>
      </w:r>
    </w:p>
    <w:p w:rsidRPr="00DE5D68" w:rsidR="00031507" w:rsidP="007944C6" w:rsidRDefault="005A7597" w14:paraId="6DF95400" w14:textId="2AFCA2FD">
      <w:pPr>
        <w:pStyle w:val="Heading3"/>
        <w:rPr>
          <w:rFonts w:cs="Arial"/>
          <w:b/>
          <w:i/>
        </w:rPr>
      </w:pPr>
      <w:r w:rsidRPr="00DE5D68">
        <w:rPr>
          <w:rFonts w:cs="Arial"/>
        </w:rPr>
        <w:t xml:space="preserve">A Director, notwithstanding his </w:t>
      </w:r>
      <w:r w:rsidR="00B43818">
        <w:rPr>
          <w:rFonts w:cs="Arial"/>
        </w:rPr>
        <w:t xml:space="preserve">or her </w:t>
      </w:r>
      <w:r w:rsidRPr="00DE5D68">
        <w:rPr>
          <w:rFonts w:cs="Arial"/>
        </w:rPr>
        <w:t xml:space="preserve">interest, may be counted in the quorum present at any meeting at which he </w:t>
      </w:r>
      <w:r w:rsidR="00B43818">
        <w:rPr>
          <w:rFonts w:cs="Arial"/>
        </w:rPr>
        <w:t xml:space="preserve">or she </w:t>
      </w:r>
      <w:r w:rsidRPr="00DE5D68">
        <w:rPr>
          <w:rFonts w:cs="Arial"/>
        </w:rPr>
        <w:t xml:space="preserve">or any other Director is appointed to hold any such office or place of profit under the Company, or at which the terms of any such appointment are arranged or at which any contract between the Director and the Company are considered, and he </w:t>
      </w:r>
      <w:r w:rsidR="00B43818">
        <w:rPr>
          <w:rFonts w:cs="Arial"/>
        </w:rPr>
        <w:t xml:space="preserve">or she </w:t>
      </w:r>
      <w:r w:rsidRPr="00DE5D68">
        <w:rPr>
          <w:rFonts w:cs="Arial"/>
        </w:rPr>
        <w:t xml:space="preserve">may vote on any such appointment or arrangement other than his </w:t>
      </w:r>
      <w:r w:rsidR="00B43818">
        <w:rPr>
          <w:rFonts w:cs="Arial"/>
        </w:rPr>
        <w:t xml:space="preserve">or her </w:t>
      </w:r>
      <w:r w:rsidRPr="00DE5D68">
        <w:rPr>
          <w:rFonts w:cs="Arial"/>
        </w:rPr>
        <w:t>own appointment or the arrangement of the terms thereof. Where proposals are under consideration concerning the appointment (including without limitation fixing or varying the terms of appointment or its termination) of two or more Directors to offices or places of profit with the Company or a company in which the Company is interested, such proposals shall be divided and a separate resolution considered in relation to each Director. In such case each of the Directors concerned (if not otherwise debarred from voting under these provisions) is entitled to vote (and be counted in the quorum) in respect of each resolution except that</w:t>
      </w:r>
      <w:r w:rsidRPr="00DE5D68" w:rsidR="00031507">
        <w:rPr>
          <w:rFonts w:cs="Arial"/>
        </w:rPr>
        <w:t xml:space="preserve"> concerning his </w:t>
      </w:r>
      <w:r w:rsidR="00B43818">
        <w:rPr>
          <w:rFonts w:cs="Arial"/>
        </w:rPr>
        <w:t xml:space="preserve">or her </w:t>
      </w:r>
      <w:r w:rsidRPr="00DE5D68" w:rsidR="00031507">
        <w:rPr>
          <w:rFonts w:cs="Arial"/>
        </w:rPr>
        <w:t>own appointment.</w:t>
      </w:r>
    </w:p>
    <w:p w:rsidRPr="00DE5D68" w:rsidR="00031507" w:rsidP="007944C6" w:rsidRDefault="005A7597" w14:paraId="1210FBAF" w14:textId="58D15AE2">
      <w:pPr>
        <w:pStyle w:val="Heading3"/>
        <w:rPr>
          <w:rFonts w:cs="Arial"/>
          <w:b/>
          <w:i/>
        </w:rPr>
      </w:pPr>
      <w:r w:rsidRPr="00DE5D68">
        <w:rPr>
          <w:rFonts w:cs="Arial"/>
        </w:rPr>
        <w:t xml:space="preserve">A Director may hold any other office or place of profit under the Company (other than the </w:t>
      </w:r>
      <w:r w:rsidRPr="00DE5D68" w:rsidR="000C0D70">
        <w:rPr>
          <w:rFonts w:cs="Arial"/>
        </w:rPr>
        <w:t>Auditor</w:t>
      </w:r>
      <w:r w:rsidRPr="00DE5D68">
        <w:rPr>
          <w:rFonts w:cs="Arial"/>
        </w:rPr>
        <w:t xml:space="preserve">) in conjunction with his </w:t>
      </w:r>
      <w:r w:rsidR="00B43818">
        <w:rPr>
          <w:rFonts w:cs="Arial"/>
        </w:rPr>
        <w:t xml:space="preserve">or her </w:t>
      </w:r>
      <w:r w:rsidRPr="00DE5D68">
        <w:rPr>
          <w:rFonts w:cs="Arial"/>
        </w:rPr>
        <w:t xml:space="preserve">office of Director for such period and on such terms (as to remuneration and otherwise) as the Board may determine and no Director or intending Director shall be disqualified by his </w:t>
      </w:r>
      <w:r w:rsidR="00B43818">
        <w:rPr>
          <w:rFonts w:cs="Arial"/>
        </w:rPr>
        <w:t xml:space="preserve">or her </w:t>
      </w:r>
      <w:r w:rsidRPr="00DE5D68">
        <w:rPr>
          <w:rFonts w:cs="Arial"/>
        </w:rPr>
        <w:t>office from contracting with the Company either with regard to his</w:t>
      </w:r>
      <w:r w:rsidR="00B43818">
        <w:rPr>
          <w:rFonts w:cs="Arial"/>
        </w:rPr>
        <w:t xml:space="preserve"> or her</w:t>
      </w:r>
      <w:r w:rsidRPr="00DE5D68">
        <w:rPr>
          <w:rFonts w:cs="Arial"/>
        </w:rPr>
        <w:t xml:space="preserve"> tenure of any such office or place of profit or as vendor, purchaser or otherwise nor shall any such contract or any contract or arrangement entered into by or on behalf of the Company in which any Director so contracting or being so interested be liable to account to the Company for any profits realised by any such contract or arrangement by reason of such Director holding that office or of the fiduciary relationship thereby established.</w:t>
      </w:r>
    </w:p>
    <w:p w:rsidRPr="00DE5D68" w:rsidR="00031507" w:rsidP="007944C6" w:rsidRDefault="005A7597" w14:paraId="13AF9598" w14:textId="6E87ACEC">
      <w:pPr>
        <w:pStyle w:val="Heading3"/>
        <w:rPr>
          <w:rFonts w:cs="Arial"/>
          <w:b/>
          <w:i/>
        </w:rPr>
      </w:pPr>
      <w:r w:rsidRPr="00DE5D68">
        <w:rPr>
          <w:rFonts w:cs="Arial"/>
        </w:rPr>
        <w:t>Any Director may act by himself</w:t>
      </w:r>
      <w:r w:rsidR="00524A7C">
        <w:rPr>
          <w:rFonts w:cs="Arial"/>
        </w:rPr>
        <w:t>/herself</w:t>
      </w:r>
      <w:r w:rsidRPr="00DE5D68">
        <w:rPr>
          <w:rFonts w:cs="Arial"/>
        </w:rPr>
        <w:t xml:space="preserve"> or his </w:t>
      </w:r>
      <w:r w:rsidR="00B43818">
        <w:rPr>
          <w:rFonts w:cs="Arial"/>
        </w:rPr>
        <w:t xml:space="preserve">or her </w:t>
      </w:r>
      <w:r w:rsidRPr="00DE5D68">
        <w:rPr>
          <w:rFonts w:cs="Arial"/>
        </w:rPr>
        <w:t xml:space="preserve">firm in a professional capacity for the Company (other than </w:t>
      </w:r>
      <w:r w:rsidRPr="00DE5D68" w:rsidR="000C0D70">
        <w:rPr>
          <w:rFonts w:cs="Arial"/>
        </w:rPr>
        <w:t>Auditor</w:t>
      </w:r>
      <w:r w:rsidRPr="00DE5D68">
        <w:rPr>
          <w:rFonts w:cs="Arial"/>
        </w:rPr>
        <w:t>) and he</w:t>
      </w:r>
      <w:r w:rsidR="00B43818">
        <w:rPr>
          <w:rFonts w:cs="Arial"/>
        </w:rPr>
        <w:t>/she</w:t>
      </w:r>
      <w:r w:rsidRPr="00DE5D68">
        <w:rPr>
          <w:rFonts w:cs="Arial"/>
        </w:rPr>
        <w:t xml:space="preserve"> or his</w:t>
      </w:r>
      <w:r w:rsidR="00B43818">
        <w:rPr>
          <w:rFonts w:cs="Arial"/>
        </w:rPr>
        <w:t>/her</w:t>
      </w:r>
      <w:r w:rsidRPr="00DE5D68">
        <w:rPr>
          <w:rFonts w:cs="Arial"/>
        </w:rPr>
        <w:t xml:space="preserve"> firm shall be entitled to remuneration for professional services as if he </w:t>
      </w:r>
      <w:r w:rsidR="00B43818">
        <w:rPr>
          <w:rFonts w:cs="Arial"/>
        </w:rPr>
        <w:t xml:space="preserve">or she </w:t>
      </w:r>
      <w:r w:rsidRPr="00DE5D68">
        <w:rPr>
          <w:rFonts w:cs="Arial"/>
        </w:rPr>
        <w:t>were not a Director.</w:t>
      </w:r>
    </w:p>
    <w:p w:rsidRPr="00DE5D68" w:rsidR="00031507" w:rsidP="007944C6" w:rsidRDefault="005A7597" w14:paraId="099E7300" w14:textId="43A23FFA">
      <w:pPr>
        <w:pStyle w:val="Heading3"/>
        <w:rPr>
          <w:rFonts w:cs="Arial"/>
          <w:b/>
          <w:i/>
        </w:rPr>
      </w:pPr>
      <w:r w:rsidRPr="00DE5D68">
        <w:rPr>
          <w:rFonts w:cs="Arial"/>
        </w:rPr>
        <w:t>Any Director may continue to be or become a director, managing director, manager or other officer or member of any company promoted by the Company or in which the Company may be interested, and any such Director shall not be accountable to the Company for any remuneration or other benefits received by him</w:t>
      </w:r>
      <w:r w:rsidR="00524A7C">
        <w:rPr>
          <w:rFonts w:cs="Arial"/>
        </w:rPr>
        <w:t>/her</w:t>
      </w:r>
      <w:r w:rsidRPr="00DE5D68">
        <w:rPr>
          <w:rFonts w:cs="Arial"/>
        </w:rPr>
        <w:t xml:space="preserve"> as director, managing director, manager or other officer or member of any such company. The Directors may exercise the voting power conferred by the shares in any other company held or owned by the Company or exercisable by them as director of such other company, in such manner in all respects as they think fit (including the exercise thereof in favour of any resolution appointing themselves or any of them director, managing director, managers or other officers of such company, or voting or providing for the payment of remuneration to themselves as </w:t>
      </w:r>
      <w:r w:rsidRPr="00DE5D68" w:rsidR="000C0D70">
        <w:rPr>
          <w:rFonts w:cs="Arial"/>
        </w:rPr>
        <w:t>Directors</w:t>
      </w:r>
      <w:r w:rsidRPr="00DE5D68">
        <w:rPr>
          <w:rFonts w:cs="Arial"/>
        </w:rPr>
        <w:t xml:space="preserve">, managing directors, managers or other officers of such company) and any Director of the Company may vote in favour of the exercise of such voting rights in the manner aforesaid, notwithstanding that he </w:t>
      </w:r>
      <w:r w:rsidR="00B43818">
        <w:rPr>
          <w:rFonts w:cs="Arial"/>
        </w:rPr>
        <w:t xml:space="preserve">or she </w:t>
      </w:r>
      <w:r w:rsidRPr="00DE5D68">
        <w:rPr>
          <w:rFonts w:cs="Arial"/>
        </w:rPr>
        <w:t xml:space="preserve">may be or be about to be appointed a director, managing director, manager or other officer of such </w:t>
      </w:r>
      <w:r w:rsidRPr="00DE5D68">
        <w:rPr>
          <w:rFonts w:cs="Arial"/>
        </w:rPr>
        <w:lastRenderedPageBreak/>
        <w:t>company, and as such is or may become interested in the exercise of such voting rights in manner aforesaid.</w:t>
      </w:r>
    </w:p>
    <w:p w:rsidRPr="00DE5D68" w:rsidR="00031507" w:rsidP="007944C6" w:rsidRDefault="005A7597" w14:paraId="3E37C27B" w14:textId="01D52D79">
      <w:pPr>
        <w:pStyle w:val="Heading3"/>
        <w:rPr>
          <w:rFonts w:cs="Arial"/>
          <w:b/>
          <w:i/>
        </w:rPr>
      </w:pPr>
      <w:r w:rsidRPr="00DE5D68">
        <w:rPr>
          <w:rFonts w:cs="Arial"/>
        </w:rPr>
        <w:t>If a question arises at a meeting as to the materiality of a Director’s interest (other than the interest of the chair of the meeting) or as to the entitlement of a Director (other than the chair) to vote or to be counted in a quorum and the question is not resolved by his</w:t>
      </w:r>
      <w:r w:rsidR="00B43818">
        <w:rPr>
          <w:rFonts w:cs="Arial"/>
        </w:rPr>
        <w:t xml:space="preserve"> or her</w:t>
      </w:r>
      <w:r w:rsidRPr="00DE5D68">
        <w:rPr>
          <w:rFonts w:cs="Arial"/>
        </w:rPr>
        <w:t xml:space="preserve"> voluntarily agreeing to abstain from voting or being counted in the quorum, the question shall be referred to the chair and his</w:t>
      </w:r>
      <w:r w:rsidR="00B43818">
        <w:rPr>
          <w:rFonts w:cs="Arial"/>
        </w:rPr>
        <w:t xml:space="preserve"> or her</w:t>
      </w:r>
      <w:r w:rsidRPr="00DE5D68">
        <w:rPr>
          <w:rFonts w:cs="Arial"/>
        </w:rPr>
        <w:t xml:space="preserve"> ruling in relation to the Director concerned is conclusive and binding on all concerned.</w:t>
      </w:r>
    </w:p>
    <w:p w:rsidRPr="00DE5D68" w:rsidR="00031507" w:rsidP="007944C6" w:rsidRDefault="005A7597" w14:paraId="7A27AED4" w14:textId="3212093E">
      <w:pPr>
        <w:pStyle w:val="Heading3"/>
        <w:rPr>
          <w:rFonts w:cs="Arial"/>
          <w:b/>
          <w:i/>
        </w:rPr>
      </w:pPr>
      <w:r w:rsidRPr="00DE5D68">
        <w:rPr>
          <w:rFonts w:cs="Arial"/>
        </w:rPr>
        <w:t xml:space="preserve">If a question arises at a meeting as to the materiality of the interest of the chair of the meeting or as to the entitlement of the chair to vote or be counted in a quorum and the question is not resolved by his </w:t>
      </w:r>
      <w:r w:rsidR="00B43818">
        <w:rPr>
          <w:rFonts w:cs="Arial"/>
        </w:rPr>
        <w:t xml:space="preserve">or her </w:t>
      </w:r>
      <w:r w:rsidRPr="00DE5D68">
        <w:rPr>
          <w:rFonts w:cs="Arial"/>
        </w:rPr>
        <w:t>voluntarily agreeing to abstain from voting or being counted in the quorum, the question shall be decided by resolution of the Directors or committee members present at the meeting (excluding the chair) whose majority vote is conclusive and binding on all concerned.</w:t>
      </w:r>
    </w:p>
    <w:p w:rsidRPr="00DE5D68" w:rsidR="00031507" w:rsidP="007944C6" w:rsidRDefault="005A7597" w14:paraId="3B6FF0BF" w14:textId="246AE712">
      <w:pPr>
        <w:pStyle w:val="Heading2"/>
        <w:keepNext/>
        <w:rPr>
          <w:rFonts w:cs="Arial"/>
          <w:b/>
        </w:rPr>
      </w:pPr>
      <w:r w:rsidRPr="00DE5D68">
        <w:rPr>
          <w:rFonts w:cs="Arial"/>
          <w:b/>
        </w:rPr>
        <w:t>Dividends and Distributions</w:t>
      </w:r>
    </w:p>
    <w:p w:rsidRPr="00DE5D68" w:rsidR="00031507" w:rsidP="007944C6" w:rsidRDefault="005A7597" w14:paraId="50B6AD23" w14:textId="53C312C2">
      <w:pPr>
        <w:pStyle w:val="Heading3"/>
        <w:rPr>
          <w:rFonts w:cs="Arial"/>
          <w:b/>
          <w:i/>
        </w:rPr>
      </w:pPr>
      <w:r w:rsidRPr="00DE5D68">
        <w:rPr>
          <w:rFonts w:cs="Arial"/>
        </w:rPr>
        <w:t xml:space="preserve">Subject to the provisions of the Companies Law and the Articles, the </w:t>
      </w:r>
      <w:bookmarkStart w:name="_BPDCI_29" w:id="281"/>
      <w:r w:rsidRPr="00DE5D68" w:rsidR="00E978F4">
        <w:rPr>
          <w:rFonts w:cs="Arial"/>
          <w:szCs w:val="21"/>
        </w:rPr>
        <w:t>Board may at any time declare and pay such dividends and distributions as appear to be justified by the position of the Company.  The Board may also declare and pay any fixed dividend which is payable on any shares of the Company half-yearly or otherwise on fixed dates whenever the position in the opinion of the Board so justifies</w:t>
      </w:r>
      <w:bookmarkEnd w:id="281"/>
      <w:r w:rsidRPr="00DE5D68">
        <w:rPr>
          <w:rFonts w:cs="Arial"/>
        </w:rPr>
        <w:t>.</w:t>
      </w:r>
    </w:p>
    <w:p w:rsidRPr="00DE5D68" w:rsidR="00031507" w:rsidP="007944C6" w:rsidRDefault="005A7597" w14:paraId="787033E3" w14:textId="77777777">
      <w:pPr>
        <w:pStyle w:val="Heading3"/>
        <w:rPr>
          <w:rFonts w:cs="Arial"/>
          <w:b/>
          <w:i/>
        </w:rPr>
      </w:pPr>
      <w:r w:rsidRPr="00DE5D68">
        <w:rPr>
          <w:rFonts w:cs="Arial"/>
        </w:rPr>
        <w:t>No dividend or other distribution shall exceed the amount recommended by the Directors.</w:t>
      </w:r>
    </w:p>
    <w:p w:rsidRPr="00DE5D68" w:rsidR="00031507" w:rsidP="007944C6" w:rsidRDefault="005A7597" w14:paraId="3853EE09" w14:textId="5C10F40C">
      <w:pPr>
        <w:pStyle w:val="Heading3"/>
        <w:rPr>
          <w:rFonts w:cs="Arial"/>
          <w:b/>
          <w:i/>
        </w:rPr>
      </w:pPr>
      <w:bookmarkStart w:name="_Ref32007357" w:id="282"/>
      <w:r w:rsidRPr="00DE5D68">
        <w:rPr>
          <w:rFonts w:cs="Arial"/>
        </w:rPr>
        <w:t xml:space="preserve">Except as otherwise provided by the rights attached to shares, all dividends or other distributions shall be declared and paid </w:t>
      </w:r>
      <w:r w:rsidRPr="00DE5D68">
        <w:rPr>
          <w:rFonts w:cs="Arial"/>
          <w:i/>
        </w:rPr>
        <w:t>pro rata</w:t>
      </w:r>
      <w:r w:rsidRPr="00DE5D68">
        <w:rPr>
          <w:rFonts w:cs="Arial"/>
        </w:rPr>
        <w:t xml:space="preserve"> according to the respective numbers of shares held by </w:t>
      </w:r>
      <w:r w:rsidRPr="00DE5D68" w:rsidR="000C0D70">
        <w:rPr>
          <w:rFonts w:cs="Arial"/>
        </w:rPr>
        <w:t>Shareholder</w:t>
      </w:r>
      <w:r w:rsidRPr="00DE5D68">
        <w:rPr>
          <w:rFonts w:cs="Arial"/>
        </w:rPr>
        <w:t>s of the relevant class on which the dividend or other distribution is paid. If any share is issued on terms providing that it shall rank for dividend or other distribution as from a particular date, that share shall rank for dividend or other distribution accordingly. Any resolution declaring a dividend or a distribution on a share, whether a resolution of the Company in general meeting or a resolution of the Directors, may specify that the same shall be payable to the person registered as the holders of the shares at the close of business on a particular date notwithstanding that it may be a date prior to that on which the resolution is passed and thereupon the dividend or distribution shall be payable to such persons in accordance with their respective holdings so registered, but without prejudice to the rights inter se in respect of such dividend or distribution of transferors and transferees of any such shares.</w:t>
      </w:r>
      <w:bookmarkEnd w:id="282"/>
    </w:p>
    <w:p w:rsidRPr="00DE5D68" w:rsidR="00031507" w:rsidP="007944C6" w:rsidRDefault="00FE3DEF" w14:paraId="035CE28B" w14:textId="7BB69F37">
      <w:pPr>
        <w:pStyle w:val="Heading3"/>
        <w:rPr>
          <w:rFonts w:cs="Arial"/>
          <w:b/>
          <w:i/>
        </w:rPr>
      </w:pPr>
      <w:r w:rsidRPr="00DE5D68">
        <w:rPr>
          <w:rFonts w:cs="Arial"/>
        </w:rPr>
        <w:t>The</w:t>
      </w:r>
      <w:r w:rsidRPr="00DE5D68" w:rsidR="005A7597">
        <w:rPr>
          <w:rFonts w:cs="Arial"/>
        </w:rPr>
        <w:t xml:space="preserve"> Directors may without the authority of an ordinary resolution direct, that it shall be satisfied wholly or partly by the distribution of assets and, where any difficulty arises in regard to the distribution, the Directors may settle the same and in particular may </w:t>
      </w:r>
      <w:r w:rsidRPr="00DE5D68" w:rsidR="00A50C3E">
        <w:rPr>
          <w:rFonts w:cs="Arial"/>
        </w:rPr>
        <w:t>i</w:t>
      </w:r>
      <w:r w:rsidRPr="00DE5D68" w:rsidR="000C0D70">
        <w:rPr>
          <w:rFonts w:cs="Arial"/>
        </w:rPr>
        <w:t xml:space="preserve">ssue </w:t>
      </w:r>
      <w:r w:rsidRPr="00DE5D68" w:rsidR="005A7597">
        <w:rPr>
          <w:rFonts w:cs="Arial"/>
        </w:rPr>
        <w:t>fractional certificates and fix the value for distribution of any assets and may determine that cash shall be paid to any member upon the footing of the value so fixed in order to adjust the rights of members and may vest any assets in trustees.</w:t>
      </w:r>
    </w:p>
    <w:p w:rsidRPr="00DE5D68" w:rsidR="00031507" w:rsidP="007944C6" w:rsidRDefault="005A7597" w14:paraId="47DB4346" w14:textId="7B7075A5">
      <w:pPr>
        <w:pStyle w:val="Heading3"/>
        <w:rPr>
          <w:rFonts w:cs="Arial"/>
          <w:b/>
          <w:i/>
        </w:rPr>
      </w:pPr>
      <w:r w:rsidRPr="00DE5D68">
        <w:rPr>
          <w:rFonts w:cs="Arial"/>
        </w:rPr>
        <w:t>The Directors may deduct from any dividend or other distribution, or other moneys payable to any member on or in respect of a share, all sums of money (if any) presently payable by him</w:t>
      </w:r>
      <w:r w:rsidR="00524A7C">
        <w:rPr>
          <w:rFonts w:cs="Arial"/>
        </w:rPr>
        <w:t>/her</w:t>
      </w:r>
      <w:r w:rsidRPr="00DE5D68">
        <w:rPr>
          <w:rFonts w:cs="Arial"/>
        </w:rPr>
        <w:t xml:space="preserve"> to the Company on account of calls or otherwise in relation to the shares of the Company.</w:t>
      </w:r>
    </w:p>
    <w:p w:rsidRPr="00DE5D68" w:rsidR="00031507" w:rsidP="007944C6" w:rsidRDefault="005A7597" w14:paraId="6F0FC1A8" w14:textId="6F662345">
      <w:pPr>
        <w:pStyle w:val="Heading3"/>
        <w:rPr>
          <w:rFonts w:cs="Arial"/>
          <w:b/>
          <w:i/>
        </w:rPr>
      </w:pPr>
      <w:r w:rsidRPr="00DE5D68">
        <w:rPr>
          <w:rFonts w:cs="Arial"/>
        </w:rPr>
        <w:t>All unclaimed dividends or other distributions may be invested or otherwise made use of by the Directors for the benefit of the Company until claimed and the Company shall not be constituted a trustee thereof. Any dividend or other distribution which has remained unclaimed for twelve years from the date when it became due for payment shall, if the Directors so resolve, be forfeited and cease to remain owing by the Company. No dividend or other distribution or other moneys payable in respect of a share shall bear interest against the Company unless otherwise provided by the rights attached to the share.</w:t>
      </w:r>
    </w:p>
    <w:p w:rsidRPr="00DE5D68" w:rsidR="00031507" w:rsidP="007944C6" w:rsidRDefault="005A7597" w14:paraId="16E3AC9F" w14:textId="15000E6B">
      <w:pPr>
        <w:pStyle w:val="Heading3"/>
        <w:rPr>
          <w:rFonts w:cs="Arial"/>
          <w:b/>
          <w:i/>
        </w:rPr>
      </w:pPr>
      <w:r w:rsidRPr="00DE5D68">
        <w:rPr>
          <w:rFonts w:cs="Arial"/>
        </w:rPr>
        <w:lastRenderedPageBreak/>
        <w:t>The Directors are empowered to create reserves before recommending or declaring any dividend. The Directors may also carry forward any profits which they think prudent not to divide.</w:t>
      </w:r>
    </w:p>
    <w:p w:rsidRPr="00DE5D68" w:rsidR="005A7597" w:rsidP="007944C6" w:rsidRDefault="005A7597" w14:paraId="78D025CB" w14:textId="406B82AF">
      <w:pPr>
        <w:pStyle w:val="Heading3"/>
        <w:rPr>
          <w:rFonts w:cs="Arial"/>
          <w:b/>
          <w:i/>
        </w:rPr>
      </w:pPr>
      <w:r w:rsidRPr="00DE5D68">
        <w:rPr>
          <w:rFonts w:cs="Arial"/>
        </w:rPr>
        <w:t xml:space="preserve">The Directors may, subject to such terms and in such manner as they may determine, </w:t>
      </w:r>
      <w:r w:rsidRPr="00DE5D68" w:rsidR="00A50C3E">
        <w:rPr>
          <w:rFonts w:cs="Arial"/>
        </w:rPr>
        <w:t>i</w:t>
      </w:r>
      <w:r w:rsidRPr="00DE5D68" w:rsidR="000C0D70">
        <w:rPr>
          <w:rFonts w:cs="Arial"/>
        </w:rPr>
        <w:t xml:space="preserve">ssue </w:t>
      </w:r>
      <w:r w:rsidRPr="00DE5D68">
        <w:rPr>
          <w:rFonts w:cs="Arial"/>
        </w:rPr>
        <w:t>shares in lieu of dividends in accordance with section 306 of the Companies Law.</w:t>
      </w:r>
    </w:p>
    <w:p w:rsidRPr="00DE5D68" w:rsidR="005A7597" w:rsidP="007944C6" w:rsidRDefault="00031507" w14:paraId="6446D035" w14:textId="6CE34C73">
      <w:pPr>
        <w:pStyle w:val="Heading2"/>
        <w:keepNext/>
        <w:rPr>
          <w:rFonts w:cs="Arial"/>
          <w:b/>
        </w:rPr>
      </w:pPr>
      <w:r w:rsidRPr="00DE5D68">
        <w:rPr>
          <w:rFonts w:cs="Arial"/>
          <w:b/>
        </w:rPr>
        <w:t>Winding-Up</w:t>
      </w:r>
    </w:p>
    <w:p w:rsidRPr="00DE5D68" w:rsidR="005A7597" w:rsidP="00C27D12" w:rsidRDefault="005A7597" w14:paraId="0BAE7E03" w14:textId="6529AAF9">
      <w:pPr>
        <w:ind w:left="709"/>
        <w:rPr>
          <w:rFonts w:cs="Arial"/>
        </w:rPr>
      </w:pPr>
      <w:r w:rsidRPr="00DE5D68">
        <w:rPr>
          <w:rFonts w:cs="Arial"/>
        </w:rPr>
        <w:t>Upon a winding-up of the Company the surplus assets of the Com</w:t>
      </w:r>
      <w:r w:rsidRPr="00DE5D68" w:rsidR="00A50C3E">
        <w:rPr>
          <w:rFonts w:cs="Arial"/>
        </w:rPr>
        <w:t xml:space="preserve">pany remaining after payment of </w:t>
      </w:r>
      <w:r w:rsidRPr="00DE5D68">
        <w:rPr>
          <w:rFonts w:cs="Arial"/>
        </w:rPr>
        <w:t xml:space="preserve">all creditors shall be divided amongst the </w:t>
      </w:r>
      <w:r w:rsidRPr="00DE5D68" w:rsidR="00FE3DEF">
        <w:rPr>
          <w:rFonts w:cs="Arial"/>
        </w:rPr>
        <w:t xml:space="preserve">holders of Ordinary Shares </w:t>
      </w:r>
      <w:r w:rsidRPr="00DE5D68" w:rsidR="00FE3DEF">
        <w:rPr>
          <w:rFonts w:cs="Arial"/>
          <w:i/>
        </w:rPr>
        <w:t xml:space="preserve">pro rata </w:t>
      </w:r>
      <w:r w:rsidRPr="00DE5D68" w:rsidR="00FE3DEF">
        <w:rPr>
          <w:rFonts w:cs="Arial"/>
        </w:rPr>
        <w:t>to their holdings of their shares.</w:t>
      </w:r>
    </w:p>
    <w:p w:rsidRPr="00DE5D68" w:rsidR="00031507" w:rsidP="007944C6" w:rsidRDefault="00031507" w14:paraId="2980DA27" w14:textId="0A90FEF5">
      <w:pPr>
        <w:pStyle w:val="Heading2"/>
        <w:keepNext/>
        <w:rPr>
          <w:rFonts w:cs="Arial"/>
          <w:b/>
        </w:rPr>
      </w:pPr>
      <w:r w:rsidRPr="00DE5D68">
        <w:rPr>
          <w:rFonts w:cs="Arial"/>
          <w:b/>
        </w:rPr>
        <w:t xml:space="preserve">Certain U.S. and U.S Tax </w:t>
      </w:r>
      <w:r w:rsidRPr="00DE5D68" w:rsidR="007246EA">
        <w:rPr>
          <w:rFonts w:cs="Arial"/>
          <w:b/>
        </w:rPr>
        <w:t xml:space="preserve">related </w:t>
      </w:r>
      <w:r w:rsidRPr="00DE5D68">
        <w:rPr>
          <w:rFonts w:cs="Arial"/>
          <w:b/>
        </w:rPr>
        <w:t>Matters</w:t>
      </w:r>
    </w:p>
    <w:p w:rsidRPr="00DE5D68" w:rsidR="00031507" w:rsidP="007944C6" w:rsidRDefault="005A7597" w14:paraId="6593A791" w14:textId="4D8A05AC">
      <w:pPr>
        <w:pStyle w:val="Heading3"/>
        <w:rPr>
          <w:rFonts w:cs="Arial"/>
          <w:b/>
          <w:i/>
        </w:rPr>
      </w:pPr>
      <w:r w:rsidRPr="00DE5D68">
        <w:rPr>
          <w:rFonts w:cs="Arial"/>
        </w:rPr>
        <w:t xml:space="preserve">Without prejudice to sub-paragraph </w:t>
      </w:r>
      <w:r w:rsidR="00577D1F">
        <w:rPr>
          <w:rFonts w:cs="Arial"/>
        </w:rPr>
        <w:fldChar w:fldCharType="begin" w:fldLock="1"/>
      </w:r>
      <w:r w:rsidR="00577D1F">
        <w:rPr>
          <w:rFonts w:cs="Arial"/>
        </w:rPr>
        <w:instrText xml:space="preserve"> REF _Ref32004159 \n \h </w:instrText>
      </w:r>
      <w:r w:rsidR="00577D1F">
        <w:rPr>
          <w:rFonts w:cs="Arial"/>
        </w:rPr>
      </w:r>
      <w:r w:rsidR="00577D1F">
        <w:rPr>
          <w:rFonts w:cs="Arial"/>
        </w:rPr>
        <w:fldChar w:fldCharType="separate"/>
      </w:r>
      <w:r w:rsidR="00DA4048">
        <w:rPr>
          <w:rFonts w:cs="Arial"/>
        </w:rPr>
        <w:t>4.6.3</w:t>
      </w:r>
      <w:r w:rsidR="00577D1F">
        <w:rPr>
          <w:rFonts w:cs="Arial"/>
        </w:rPr>
        <w:fldChar w:fldCharType="end"/>
      </w:r>
      <w:r w:rsidRPr="00DE5D68">
        <w:rPr>
          <w:rFonts w:cs="Arial"/>
        </w:rPr>
        <w:t xml:space="preserve">, the Company is authorised to take any action it determines is desirable to comply with FATCA and any similar laws (as defined in sub-paragraph </w:t>
      </w:r>
      <w:r w:rsidR="00577D1F">
        <w:rPr>
          <w:rFonts w:cs="Arial"/>
        </w:rPr>
        <w:fldChar w:fldCharType="begin" w:fldLock="1"/>
      </w:r>
      <w:r w:rsidR="00577D1F">
        <w:rPr>
          <w:rFonts w:cs="Arial"/>
        </w:rPr>
        <w:instrText xml:space="preserve"> REF _Ref32004159 \n \h </w:instrText>
      </w:r>
      <w:r w:rsidR="00577D1F">
        <w:rPr>
          <w:rFonts w:cs="Arial"/>
        </w:rPr>
      </w:r>
      <w:r w:rsidR="00577D1F">
        <w:rPr>
          <w:rFonts w:cs="Arial"/>
        </w:rPr>
        <w:fldChar w:fldCharType="separate"/>
      </w:r>
      <w:r w:rsidR="00DA4048">
        <w:rPr>
          <w:rFonts w:cs="Arial"/>
        </w:rPr>
        <w:t>4.6.3</w:t>
      </w:r>
      <w:r w:rsidR="00577D1F">
        <w:rPr>
          <w:rFonts w:cs="Arial"/>
        </w:rPr>
        <w:fldChar w:fldCharType="end"/>
      </w:r>
      <w:r w:rsidRPr="00DE5D68">
        <w:rPr>
          <w:rFonts w:cs="Arial"/>
        </w:rPr>
        <w:t xml:space="preserve"> above), and may enter into an agreement with the U.S. Internal Revenue Service or the taxing and revenue services of any other country. The Company shall not pay any additional amounts to any person in respect of any withholding of taxes, including those relating to the provisions referred to above.</w:t>
      </w:r>
    </w:p>
    <w:p w:rsidRPr="00AF0793" w:rsidR="00031507" w:rsidP="007944C6" w:rsidRDefault="005A7597" w14:paraId="2EA23C14" w14:textId="563BEB73">
      <w:pPr>
        <w:pStyle w:val="Heading3"/>
        <w:rPr>
          <w:rFonts w:cs="Arial"/>
          <w:b/>
          <w:i/>
        </w:rPr>
      </w:pPr>
      <w:r w:rsidRPr="00DE5D68">
        <w:rPr>
          <w:rFonts w:cs="Arial"/>
        </w:rPr>
        <w:t>The Company is not required to make available the information necessary for any person to make a so-called “qualified electing fund” election under U.S. tax law.</w:t>
      </w:r>
    </w:p>
    <w:p w:rsidRPr="00DE5D68" w:rsidR="00AF0793" w:rsidP="00AF0793" w:rsidRDefault="00AF0793" w14:paraId="3CC018F6" w14:textId="77D7481F">
      <w:pPr>
        <w:pStyle w:val="Heading2"/>
        <w:keepNext/>
        <w:rPr>
          <w:rFonts w:cs="Arial"/>
          <w:b/>
        </w:rPr>
      </w:pPr>
      <w:bookmarkStart w:name="_Hlk188374454" w:id="283"/>
      <w:r>
        <w:rPr>
          <w:rFonts w:cs="Arial"/>
          <w:b/>
        </w:rPr>
        <w:t>Continuation Resolution</w:t>
      </w:r>
    </w:p>
    <w:p w:rsidR="00AF0793" w:rsidP="00AF0793" w:rsidRDefault="00AF0793" w14:paraId="6E6D2229" w14:textId="37837669">
      <w:pPr>
        <w:pStyle w:val="Heading3"/>
        <w:rPr>
          <w:rFonts w:cs="Arial"/>
          <w:bCs/>
          <w:iCs/>
        </w:rPr>
      </w:pPr>
      <w:r w:rsidRPr="00AF0793">
        <w:rPr>
          <w:rFonts w:cs="Arial"/>
          <w:bCs/>
          <w:iCs/>
        </w:rPr>
        <w:t xml:space="preserve">The Directors shall propose an ordinary resolution that the Company continues its business as presently constituted (the </w:t>
      </w:r>
      <w:r>
        <w:rPr>
          <w:rFonts w:cs="Arial"/>
          <w:bCs/>
          <w:iCs/>
        </w:rPr>
        <w:t>"</w:t>
      </w:r>
      <w:r w:rsidRPr="00AF0793">
        <w:rPr>
          <w:rFonts w:cs="Arial"/>
          <w:b/>
          <w:iCs/>
        </w:rPr>
        <w:t>Initial Continuation Resolution</w:t>
      </w:r>
      <w:r>
        <w:rPr>
          <w:rFonts w:cs="Arial"/>
          <w:bCs/>
          <w:iCs/>
        </w:rPr>
        <w:t>"</w:t>
      </w:r>
      <w:r w:rsidRPr="00AF0793">
        <w:rPr>
          <w:rFonts w:cs="Arial"/>
          <w:bCs/>
          <w:iCs/>
        </w:rPr>
        <w:t xml:space="preserve">) at the Company’s </w:t>
      </w:r>
      <w:r>
        <w:rPr>
          <w:rFonts w:cs="Arial"/>
          <w:bCs/>
          <w:iCs/>
        </w:rPr>
        <w:t xml:space="preserve">third </w:t>
      </w:r>
      <w:r w:rsidRPr="00AF0793">
        <w:rPr>
          <w:rFonts w:cs="Arial"/>
          <w:bCs/>
          <w:iCs/>
        </w:rPr>
        <w:t xml:space="preserve">annual general </w:t>
      </w:r>
      <w:r>
        <w:rPr>
          <w:rFonts w:cs="Arial"/>
          <w:bCs/>
          <w:iCs/>
        </w:rPr>
        <w:t xml:space="preserve">following </w:t>
      </w:r>
      <w:r w:rsidR="00054653">
        <w:rPr>
          <w:rFonts w:cs="Arial"/>
          <w:bCs/>
          <w:iCs/>
        </w:rPr>
        <w:t xml:space="preserve">Initial </w:t>
      </w:r>
      <w:r>
        <w:rPr>
          <w:rFonts w:cs="Arial"/>
          <w:bCs/>
          <w:iCs/>
        </w:rPr>
        <w:t>Admission</w:t>
      </w:r>
      <w:r w:rsidRPr="00AF0793">
        <w:rPr>
          <w:rFonts w:cs="Arial"/>
          <w:bCs/>
          <w:iCs/>
        </w:rPr>
        <w:t xml:space="preserve">. If the Initial Continuation Resolution is passed, the Directors shall propose an ordinary resolution that the Company continue its business as presently constituted at each annual general meeting thereafter (a </w:t>
      </w:r>
      <w:r>
        <w:rPr>
          <w:rFonts w:cs="Arial"/>
          <w:bCs/>
          <w:iCs/>
        </w:rPr>
        <w:t>"</w:t>
      </w:r>
      <w:r w:rsidRPr="00AF0793">
        <w:rPr>
          <w:rFonts w:cs="Arial"/>
          <w:b/>
          <w:iCs/>
        </w:rPr>
        <w:t>Continuation Resolution</w:t>
      </w:r>
      <w:r>
        <w:rPr>
          <w:rFonts w:cs="Arial"/>
          <w:bCs/>
          <w:iCs/>
        </w:rPr>
        <w:t>"</w:t>
      </w:r>
      <w:r w:rsidRPr="00AF0793">
        <w:rPr>
          <w:rFonts w:cs="Arial"/>
          <w:bCs/>
          <w:iCs/>
        </w:rPr>
        <w:t>).</w:t>
      </w:r>
    </w:p>
    <w:p w:rsidRPr="00AF0793" w:rsidR="00AF0793" w:rsidP="00AF0793" w:rsidRDefault="00AF0793" w14:paraId="68968A5B" w14:textId="3B6EB96A">
      <w:pPr>
        <w:pStyle w:val="Heading3"/>
        <w:rPr>
          <w:rFonts w:cs="Arial"/>
          <w:bCs/>
          <w:iCs/>
        </w:rPr>
      </w:pPr>
      <w:r w:rsidRPr="00AF0793">
        <w:rPr>
          <w:rFonts w:cs="Arial"/>
          <w:bCs/>
          <w:iCs/>
        </w:rPr>
        <w:t>If the Initial Continuation Resolution or any Continuation Resolution is not passed, the Directors shall put forward proposals for the reconstruction</w:t>
      </w:r>
      <w:r w:rsidR="00D56F21">
        <w:rPr>
          <w:rFonts w:cs="Arial"/>
          <w:bCs/>
          <w:iCs/>
        </w:rPr>
        <w:t>,</w:t>
      </w:r>
      <w:r w:rsidRPr="00AF0793">
        <w:rPr>
          <w:rFonts w:cs="Arial"/>
          <w:bCs/>
          <w:iCs/>
        </w:rPr>
        <w:t xml:space="preserve"> reorganisation</w:t>
      </w:r>
      <w:r w:rsidR="00D56F21">
        <w:rPr>
          <w:rFonts w:cs="Arial"/>
          <w:bCs/>
          <w:iCs/>
        </w:rPr>
        <w:t xml:space="preserve"> or winding up</w:t>
      </w:r>
      <w:r w:rsidRPr="00AF0793">
        <w:rPr>
          <w:rFonts w:cs="Arial"/>
          <w:bCs/>
          <w:iCs/>
        </w:rPr>
        <w:t xml:space="preserve"> of the Company to Shareholders for their approval as soon as reasonably practicable following the date on which the Initial Continuation Resolution or any Continuation Resolution (as the case may be) is not passed.</w:t>
      </w:r>
    </w:p>
    <w:bookmarkEnd w:id="283"/>
    <w:p w:rsidRPr="00DE5D68" w:rsidR="00EF6284" w:rsidP="00601DB6" w:rsidRDefault="00F9129E" w14:paraId="486C846B" w14:textId="5FEB8AFB">
      <w:pPr>
        <w:pStyle w:val="Heading1"/>
        <w:rPr>
          <w:rFonts w:cs="Arial"/>
          <w:caps w:val="0"/>
        </w:rPr>
      </w:pPr>
      <w:r w:rsidRPr="00DE5D68">
        <w:rPr>
          <w:rFonts w:cs="Arial"/>
          <w:caps w:val="0"/>
        </w:rPr>
        <w:t>CITY CODE ON TAKEOVERS AND MERGERS</w:t>
      </w:r>
    </w:p>
    <w:p w:rsidRPr="00DE5D68" w:rsidR="00D20876" w:rsidP="007944C6" w:rsidRDefault="00D20876" w14:paraId="0620D8D0" w14:textId="0EFA2D8F">
      <w:pPr>
        <w:pStyle w:val="Heading2"/>
        <w:keepNext/>
        <w:rPr>
          <w:rFonts w:cs="Arial"/>
          <w:b/>
        </w:rPr>
      </w:pPr>
      <w:r w:rsidRPr="00DE5D68">
        <w:rPr>
          <w:rFonts w:cs="Arial"/>
          <w:b/>
        </w:rPr>
        <w:t>Mandatory bid</w:t>
      </w:r>
    </w:p>
    <w:p w:rsidRPr="00DE5D68" w:rsidR="00D20876" w:rsidP="00C27D12" w:rsidRDefault="00D20876" w14:paraId="352A522B" w14:textId="3291BDE7">
      <w:pPr>
        <w:keepNext/>
        <w:ind w:left="709"/>
        <w:rPr>
          <w:rFonts w:cs="Arial"/>
          <w:spacing w:val="8"/>
        </w:rPr>
      </w:pPr>
      <w:r w:rsidRPr="00DE5D68">
        <w:rPr>
          <w:rFonts w:cs="Arial"/>
        </w:rPr>
        <w:t>The City Code applies to the Company. Under Rule 9 of the City Code, if</w:t>
      </w:r>
      <w:r w:rsidRPr="00DE5D68">
        <w:rPr>
          <w:rFonts w:cs="Arial"/>
          <w:spacing w:val="8"/>
        </w:rPr>
        <w:t>:</w:t>
      </w:r>
    </w:p>
    <w:p w:rsidRPr="00DE5D68" w:rsidR="00C46C3B" w:rsidP="00C27D12" w:rsidRDefault="00D20876" w14:paraId="339F14B6" w14:textId="1EF16D34">
      <w:pPr>
        <w:pStyle w:val="Bullet3"/>
        <w:rPr>
          <w:rFonts w:cs="Arial"/>
        </w:rPr>
      </w:pPr>
      <w:r w:rsidRPr="00DE5D68">
        <w:rPr>
          <w:rFonts w:cs="Arial"/>
        </w:rPr>
        <w:t xml:space="preserve">a person acquires an interest in </w:t>
      </w:r>
      <w:r w:rsidRPr="00DE5D68" w:rsidR="005D4040">
        <w:rPr>
          <w:rFonts w:cs="Arial"/>
        </w:rPr>
        <w:t xml:space="preserve">shares </w:t>
      </w:r>
      <w:r w:rsidRPr="00DE5D68">
        <w:rPr>
          <w:rFonts w:cs="Arial"/>
        </w:rPr>
        <w:t xml:space="preserve">which, when taken together with </w:t>
      </w:r>
      <w:r w:rsidRPr="00DE5D68" w:rsidR="005D4040">
        <w:rPr>
          <w:rFonts w:cs="Arial"/>
        </w:rPr>
        <w:t xml:space="preserve">shares </w:t>
      </w:r>
      <w:r w:rsidRPr="00DE5D68">
        <w:rPr>
          <w:rFonts w:cs="Arial"/>
        </w:rPr>
        <w:t>already held by him</w:t>
      </w:r>
      <w:r w:rsidR="00524A7C">
        <w:rPr>
          <w:rFonts w:cs="Arial"/>
        </w:rPr>
        <w:t>/her</w:t>
      </w:r>
      <w:r w:rsidRPr="00DE5D68">
        <w:rPr>
          <w:rFonts w:cs="Arial"/>
        </w:rPr>
        <w:t xml:space="preserve"> or persons acting in concert with him</w:t>
      </w:r>
      <w:r w:rsidR="00524A7C">
        <w:rPr>
          <w:rFonts w:cs="Arial"/>
        </w:rPr>
        <w:t>/her</w:t>
      </w:r>
      <w:r w:rsidRPr="00DE5D68">
        <w:rPr>
          <w:rFonts w:cs="Arial"/>
        </w:rPr>
        <w:t>, carry 30</w:t>
      </w:r>
      <w:r w:rsidRPr="00DE5D68" w:rsidR="00CD6A69">
        <w:rPr>
          <w:rFonts w:cs="Arial"/>
        </w:rPr>
        <w:t xml:space="preserve"> per cent.</w:t>
      </w:r>
      <w:r w:rsidRPr="00DE5D68">
        <w:rPr>
          <w:rFonts w:cs="Arial"/>
        </w:rPr>
        <w:t xml:space="preserve"> </w:t>
      </w:r>
      <w:r w:rsidRPr="00DE5D68" w:rsidR="00E84B69">
        <w:rPr>
          <w:rFonts w:cs="Arial"/>
        </w:rPr>
        <w:t>o</w:t>
      </w:r>
      <w:r w:rsidRPr="00DE5D68">
        <w:rPr>
          <w:rFonts w:cs="Arial"/>
        </w:rPr>
        <w:t>r more of the voting rights in the Company; or</w:t>
      </w:r>
    </w:p>
    <w:p w:rsidRPr="00DE5D68" w:rsidR="00D20876" w:rsidP="00C27D12" w:rsidRDefault="00D20876" w14:paraId="78EA62D4" w14:textId="676DD7E3">
      <w:pPr>
        <w:pStyle w:val="Bullet3"/>
        <w:rPr>
          <w:rFonts w:cs="Arial"/>
        </w:rPr>
      </w:pPr>
      <w:r w:rsidRPr="00DE5D68">
        <w:rPr>
          <w:rFonts w:cs="Arial"/>
        </w:rPr>
        <w:t>a person who, together with persons acting in concert with him</w:t>
      </w:r>
      <w:r w:rsidR="00524A7C">
        <w:rPr>
          <w:rFonts w:cs="Arial"/>
        </w:rPr>
        <w:t>/her</w:t>
      </w:r>
      <w:r w:rsidRPr="00DE5D68">
        <w:rPr>
          <w:rFonts w:cs="Arial"/>
        </w:rPr>
        <w:t>, is interested in not less than 30</w:t>
      </w:r>
      <w:r w:rsidRPr="00DE5D68" w:rsidR="00CD6A69">
        <w:rPr>
          <w:rFonts w:cs="Arial"/>
        </w:rPr>
        <w:t xml:space="preserve"> per cent.</w:t>
      </w:r>
      <w:r w:rsidRPr="00DE5D68">
        <w:rPr>
          <w:rFonts w:cs="Arial"/>
        </w:rPr>
        <w:t xml:space="preserve"> </w:t>
      </w:r>
      <w:r w:rsidRPr="00DE5D68" w:rsidR="00E84B69">
        <w:rPr>
          <w:rFonts w:cs="Arial"/>
        </w:rPr>
        <w:t>a</w:t>
      </w:r>
      <w:r w:rsidRPr="00DE5D68">
        <w:rPr>
          <w:rFonts w:cs="Arial"/>
        </w:rPr>
        <w:t>nd not more than 50</w:t>
      </w:r>
      <w:r w:rsidRPr="00DE5D68" w:rsidR="00CD6A69">
        <w:rPr>
          <w:rFonts w:cs="Arial"/>
        </w:rPr>
        <w:t xml:space="preserve"> per cent.</w:t>
      </w:r>
      <w:r w:rsidRPr="00DE5D68" w:rsidR="006D348F">
        <w:rPr>
          <w:rFonts w:cs="Arial"/>
        </w:rPr>
        <w:t xml:space="preserve"> </w:t>
      </w:r>
      <w:r w:rsidRPr="00DE5D68" w:rsidR="00E84B69">
        <w:rPr>
          <w:rFonts w:cs="Arial"/>
        </w:rPr>
        <w:t>o</w:t>
      </w:r>
      <w:r w:rsidRPr="00DE5D68">
        <w:rPr>
          <w:rFonts w:cs="Arial"/>
        </w:rPr>
        <w:t xml:space="preserve">f the voting rights in the Company acquires additional interests in </w:t>
      </w:r>
      <w:r w:rsidRPr="00DE5D68" w:rsidR="005D4040">
        <w:rPr>
          <w:rFonts w:cs="Arial"/>
        </w:rPr>
        <w:t xml:space="preserve">shares </w:t>
      </w:r>
      <w:r w:rsidRPr="00DE5D68">
        <w:rPr>
          <w:rFonts w:cs="Arial"/>
        </w:rPr>
        <w:t xml:space="preserve">which increase the percentage of </w:t>
      </w:r>
      <w:r w:rsidRPr="00DE5D68" w:rsidR="005D4040">
        <w:rPr>
          <w:rFonts w:cs="Arial"/>
        </w:rPr>
        <w:t xml:space="preserve">shares </w:t>
      </w:r>
      <w:r w:rsidRPr="00DE5D68">
        <w:rPr>
          <w:rFonts w:cs="Arial"/>
        </w:rPr>
        <w:t>carrying voting rights in which that person is interested,</w:t>
      </w:r>
    </w:p>
    <w:p w:rsidRPr="00DE5D68" w:rsidR="00D20876" w:rsidP="00C27D12" w:rsidRDefault="00D20876" w14:paraId="52DE619D" w14:textId="77777777">
      <w:pPr>
        <w:ind w:left="709"/>
        <w:rPr>
          <w:rFonts w:cs="Arial"/>
        </w:rPr>
      </w:pPr>
      <w:r w:rsidRPr="00DE5D68">
        <w:rPr>
          <w:rFonts w:cs="Arial"/>
        </w:rPr>
        <w:t xml:space="preserve">the acquirer and, depending on the circumstances, its concert parties, would be required (except with the consent of the Panel on Takeovers and Mergers) to make a cash offer for the outstanding </w:t>
      </w:r>
      <w:r w:rsidRPr="00DE5D68" w:rsidR="005D4040">
        <w:rPr>
          <w:rFonts w:cs="Arial"/>
        </w:rPr>
        <w:t xml:space="preserve">shares </w:t>
      </w:r>
      <w:r w:rsidRPr="00DE5D68">
        <w:rPr>
          <w:rFonts w:cs="Arial"/>
        </w:rPr>
        <w:t xml:space="preserve">at a price not less than the highest price paid for any interests in the </w:t>
      </w:r>
      <w:r w:rsidRPr="00DE5D68" w:rsidR="005D4040">
        <w:rPr>
          <w:rFonts w:cs="Arial"/>
        </w:rPr>
        <w:t xml:space="preserve">shares </w:t>
      </w:r>
      <w:r w:rsidRPr="00DE5D68">
        <w:rPr>
          <w:rFonts w:cs="Arial"/>
        </w:rPr>
        <w:t>by the acquirer or its concert parties during the previous 12 months</w:t>
      </w:r>
      <w:r w:rsidRPr="00DE5D68">
        <w:rPr>
          <w:rFonts w:cs="Arial"/>
          <w:spacing w:val="8"/>
        </w:rPr>
        <w:t>.</w:t>
      </w:r>
    </w:p>
    <w:p w:rsidRPr="00DE5D68" w:rsidR="00D20876" w:rsidP="007944C6" w:rsidRDefault="00D20876" w14:paraId="3853B4F4" w14:textId="6A3FB844">
      <w:pPr>
        <w:pStyle w:val="Heading2"/>
        <w:keepNext/>
        <w:rPr>
          <w:rFonts w:cs="Arial"/>
          <w:b/>
        </w:rPr>
      </w:pPr>
      <w:r w:rsidRPr="00DE5D68">
        <w:rPr>
          <w:rFonts w:cs="Arial"/>
          <w:b/>
        </w:rPr>
        <w:lastRenderedPageBreak/>
        <w:t xml:space="preserve">Compulsory </w:t>
      </w:r>
      <w:r w:rsidRPr="00DE5D68" w:rsidR="000C0D70">
        <w:rPr>
          <w:rFonts w:cs="Arial"/>
          <w:b/>
        </w:rPr>
        <w:t>Acquisition</w:t>
      </w:r>
    </w:p>
    <w:p w:rsidRPr="00DE5D68" w:rsidR="006F52A1" w:rsidP="00C27D12" w:rsidRDefault="006F52A1" w14:paraId="024E29E5" w14:textId="3E41AE29">
      <w:pPr>
        <w:ind w:left="709"/>
        <w:rPr>
          <w:rFonts w:cs="Arial"/>
        </w:rPr>
      </w:pPr>
      <w:bookmarkStart w:name="_Ref329161310" w:id="284"/>
      <w:bookmarkStart w:name="_Ref329949121" w:id="285"/>
      <w:r w:rsidRPr="00DE5D68">
        <w:rPr>
          <w:rFonts w:cs="Arial"/>
        </w:rPr>
        <w:t xml:space="preserve">The Companies Law provides that if an offer is made for the shares or any class of shares in the capital of a company and if, within four months after the date of such offer, the offer is approved or accepted by </w:t>
      </w:r>
      <w:r w:rsidRPr="00DE5D68" w:rsidR="001010C7">
        <w:rPr>
          <w:rFonts w:cs="Arial"/>
        </w:rPr>
        <w:t>Shareholder</w:t>
      </w:r>
      <w:r w:rsidRPr="00DE5D68">
        <w:rPr>
          <w:rFonts w:cs="Arial"/>
        </w:rPr>
        <w:t xml:space="preserve">s comprising not less than 90 per cent. in value of the shares affected, then the offeror may, within a period of two months immediately after the </w:t>
      </w:r>
      <w:r w:rsidR="00FC383D">
        <w:rPr>
          <w:rFonts w:cs="Arial"/>
        </w:rPr>
        <w:t>threshold is reached</w:t>
      </w:r>
      <w:r w:rsidRPr="00DE5D68" w:rsidR="001010C7">
        <w:rPr>
          <w:rFonts w:cs="Arial"/>
        </w:rPr>
        <w:t>, give notice to any dissenting shareholder</w:t>
      </w:r>
      <w:r w:rsidRPr="00DE5D68">
        <w:rPr>
          <w:rFonts w:cs="Arial"/>
        </w:rPr>
        <w:t>s informing them that it wishes to acquire t</w:t>
      </w:r>
      <w:r w:rsidR="00B36CB7">
        <w:rPr>
          <w:rFonts w:cs="Arial"/>
        </w:rPr>
        <w:t>heir shares (an "</w:t>
      </w:r>
      <w:r w:rsidRPr="00DE5D68">
        <w:rPr>
          <w:rFonts w:cs="Arial"/>
          <w:b/>
        </w:rPr>
        <w:t>Acquisition Notice</w:t>
      </w:r>
      <w:r w:rsidR="00B36CB7">
        <w:rPr>
          <w:rFonts w:cs="Arial"/>
        </w:rPr>
        <w:t>"</w:t>
      </w:r>
      <w:r w:rsidRPr="00DE5D68">
        <w:rPr>
          <w:rFonts w:cs="Arial"/>
        </w:rPr>
        <w:t xml:space="preserve">). Where an Acquisition Notice is given, the offeror is then entitled and </w:t>
      </w:r>
      <w:r w:rsidRPr="00DE5D68" w:rsidR="001010C7">
        <w:rPr>
          <w:rFonts w:cs="Arial"/>
        </w:rPr>
        <w:t>bound to acquire the dissenting shareholder</w:t>
      </w:r>
      <w:r w:rsidRPr="00DE5D68">
        <w:rPr>
          <w:rFonts w:cs="Arial"/>
        </w:rPr>
        <w:t>s’ shares on the ter</w:t>
      </w:r>
      <w:r w:rsidRPr="00DE5D68" w:rsidR="001010C7">
        <w:rPr>
          <w:rFonts w:cs="Arial"/>
        </w:rPr>
        <w:t>ms of the offer approved by the shareholder</w:t>
      </w:r>
      <w:r w:rsidRPr="00DE5D68">
        <w:rPr>
          <w:rFonts w:cs="Arial"/>
        </w:rPr>
        <w:t>s comprising not less than 90 per cent. in value of the shares affected; and where the terms of the offer provided a choice of consideration, the Acquisition Notice must give particulars of the choice and state</w:t>
      </w:r>
      <w:r w:rsidR="00D06CEC">
        <w:rPr>
          <w:rFonts w:cs="Arial"/>
        </w:rPr>
        <w:t>,</w:t>
      </w:r>
      <w:r w:rsidRPr="00DE5D68">
        <w:rPr>
          <w:rFonts w:cs="Arial"/>
        </w:rPr>
        <w:t xml:space="preserve"> (a) the period within which, and the </w:t>
      </w:r>
      <w:r w:rsidRPr="00DE5D68" w:rsidR="001010C7">
        <w:rPr>
          <w:rFonts w:cs="Arial"/>
        </w:rPr>
        <w:t xml:space="preserve">manner in which, the dissenting shareholder </w:t>
      </w:r>
      <w:r w:rsidRPr="00DE5D68">
        <w:rPr>
          <w:rFonts w:cs="Arial"/>
        </w:rPr>
        <w:t xml:space="preserve">must notify the offeror of his </w:t>
      </w:r>
      <w:r w:rsidR="00B43818">
        <w:rPr>
          <w:rFonts w:cs="Arial"/>
        </w:rPr>
        <w:t xml:space="preserve">or her </w:t>
      </w:r>
      <w:r w:rsidRPr="00DE5D68">
        <w:rPr>
          <w:rFonts w:cs="Arial"/>
        </w:rPr>
        <w:t>choice</w:t>
      </w:r>
      <w:r w:rsidR="00D06CEC">
        <w:rPr>
          <w:rFonts w:cs="Arial"/>
        </w:rPr>
        <w:t>,</w:t>
      </w:r>
      <w:r w:rsidRPr="00DE5D68">
        <w:rPr>
          <w:rFonts w:cs="Arial"/>
        </w:rPr>
        <w:t xml:space="preserve"> and (b) which consideration specifi</w:t>
      </w:r>
      <w:r w:rsidR="00567A7C">
        <w:rPr>
          <w:rFonts w:cs="Arial"/>
        </w:rPr>
        <w:t>ed in the offer will apply if it</w:t>
      </w:r>
      <w:r w:rsidRPr="00DE5D68">
        <w:rPr>
          <w:rFonts w:cs="Arial"/>
        </w:rPr>
        <w:t xml:space="preserve"> does not so notify the offeror.</w:t>
      </w:r>
    </w:p>
    <w:p w:rsidRPr="00DE5D68" w:rsidR="001777B4" w:rsidP="00C56C96" w:rsidRDefault="00F9129E" w14:paraId="66A35018" w14:textId="298CF6ED">
      <w:pPr>
        <w:pStyle w:val="Heading1"/>
        <w:tabs>
          <w:tab w:val="clear" w:pos="1134"/>
          <w:tab w:val="num" w:pos="709"/>
        </w:tabs>
        <w:rPr>
          <w:rFonts w:cs="Arial"/>
          <w:caps w:val="0"/>
        </w:rPr>
      </w:pPr>
      <w:r w:rsidRPr="00DE5D68">
        <w:rPr>
          <w:rFonts w:cs="Arial"/>
          <w:caps w:val="0"/>
        </w:rPr>
        <w:t>MATERIAL CONTRACTS OF THE COMPANY</w:t>
      </w:r>
      <w:bookmarkEnd w:id="284"/>
      <w:bookmarkEnd w:id="285"/>
    </w:p>
    <w:p w:rsidRPr="00DE5D68" w:rsidR="001777B4" w:rsidP="00C27D12" w:rsidRDefault="001777B4" w14:paraId="22448675" w14:textId="286C8334">
      <w:pPr>
        <w:ind w:left="709"/>
        <w:rPr>
          <w:rFonts w:cs="Arial"/>
        </w:rPr>
      </w:pPr>
      <w:r w:rsidRPr="00DE5D68">
        <w:rPr>
          <w:rFonts w:cs="Arial"/>
        </w:rPr>
        <w:t>The following</w:t>
      </w:r>
      <w:r w:rsidRPr="00DE5D68" w:rsidR="00DA735B">
        <w:rPr>
          <w:rFonts w:cs="Arial"/>
        </w:rPr>
        <w:t xml:space="preserve"> are all of the </w:t>
      </w:r>
      <w:r w:rsidRPr="00DE5D68">
        <w:rPr>
          <w:rFonts w:cs="Arial"/>
        </w:rPr>
        <w:t>contracts, not being contracts entered into in the ordinary course of business</w:t>
      </w:r>
      <w:r w:rsidRPr="00DE5D68" w:rsidR="00DA735B">
        <w:rPr>
          <w:rFonts w:cs="Arial"/>
        </w:rPr>
        <w:t xml:space="preserve"> that</w:t>
      </w:r>
      <w:r w:rsidRPr="00DE5D68">
        <w:rPr>
          <w:rFonts w:cs="Arial"/>
        </w:rPr>
        <w:t xml:space="preserve"> have been entered into by the Company since its incorporation</w:t>
      </w:r>
      <w:r w:rsidRPr="00DE5D68" w:rsidR="00DA735B">
        <w:rPr>
          <w:rFonts w:cs="Arial"/>
        </w:rPr>
        <w:t xml:space="preserve"> and are, or may be, material or contain any provision under which the Company has any obligation or entitlement which is or may be material to it as at the date of this document</w:t>
      </w:r>
      <w:r w:rsidRPr="00DE5D68">
        <w:rPr>
          <w:rFonts w:cs="Arial"/>
        </w:rPr>
        <w:t>:</w:t>
      </w:r>
      <w:r w:rsidRPr="00DE5D68" w:rsidR="00EC756D">
        <w:rPr>
          <w:rFonts w:cs="Arial"/>
          <w:b/>
        </w:rPr>
        <w:t xml:space="preserve"> </w:t>
      </w:r>
    </w:p>
    <w:p w:rsidRPr="00DE5D68" w:rsidR="001777B4" w:rsidP="007944C6" w:rsidRDefault="00020807" w14:paraId="39E6F2E6" w14:textId="504B7630">
      <w:pPr>
        <w:pStyle w:val="Heading2"/>
        <w:keepNext/>
        <w:rPr>
          <w:rFonts w:cs="Arial"/>
          <w:b/>
        </w:rPr>
      </w:pPr>
      <w:bookmarkStart w:name="_Ref188880853" w:id="286"/>
      <w:r>
        <w:rPr>
          <w:rFonts w:cs="Arial"/>
          <w:b/>
        </w:rPr>
        <w:t>Placing Agreement</w:t>
      </w:r>
      <w:bookmarkEnd w:id="286"/>
    </w:p>
    <w:p w:rsidRPr="00DE5D68" w:rsidR="00777B27" w:rsidP="00C27D12" w:rsidRDefault="00777B27" w14:paraId="6C012477" w14:textId="7AB5444F">
      <w:pPr>
        <w:ind w:left="709"/>
        <w:rPr>
          <w:rFonts w:cs="Arial"/>
        </w:rPr>
      </w:pPr>
      <w:r w:rsidRPr="00DE5D68">
        <w:rPr>
          <w:rFonts w:cs="Arial"/>
        </w:rPr>
        <w:t xml:space="preserve">The </w:t>
      </w:r>
      <w:r w:rsidR="00020807">
        <w:rPr>
          <w:rFonts w:cs="Arial"/>
        </w:rPr>
        <w:t>Placing Agreement</w:t>
      </w:r>
      <w:r w:rsidRPr="00DE5D68">
        <w:rPr>
          <w:rFonts w:cs="Arial"/>
        </w:rPr>
        <w:t xml:space="preserve"> dated </w:t>
      </w:r>
      <w:r w:rsidR="00C615BB">
        <w:rPr>
          <w:rFonts w:cs="Arial"/>
        </w:rPr>
        <w:t>20</w:t>
      </w:r>
      <w:r w:rsidRPr="00DE5D68">
        <w:rPr>
          <w:rFonts w:cs="Arial"/>
        </w:rPr>
        <w:t xml:space="preserve"> </w:t>
      </w:r>
      <w:r w:rsidR="00A10F64">
        <w:rPr>
          <w:rFonts w:cs="Arial"/>
        </w:rPr>
        <w:t xml:space="preserve">February </w:t>
      </w:r>
      <w:r w:rsidRPr="00DE5D68" w:rsidR="00C46C3B">
        <w:rPr>
          <w:rFonts w:cs="Arial"/>
        </w:rPr>
        <w:t>20</w:t>
      </w:r>
      <w:r w:rsidR="002B4311">
        <w:rPr>
          <w:rFonts w:cs="Arial"/>
        </w:rPr>
        <w:t>2</w:t>
      </w:r>
      <w:r w:rsidR="00044E36">
        <w:rPr>
          <w:rFonts w:cs="Arial"/>
        </w:rPr>
        <w:t>5</w:t>
      </w:r>
      <w:r w:rsidRPr="00DE5D68">
        <w:rPr>
          <w:rFonts w:cs="Arial"/>
        </w:rPr>
        <w:t xml:space="preserve"> between the Company, </w:t>
      </w:r>
      <w:r w:rsidRPr="00DE5D68" w:rsidR="00895231">
        <w:rPr>
          <w:rFonts w:cs="Arial"/>
        </w:rPr>
        <w:t xml:space="preserve">the Directors, </w:t>
      </w:r>
      <w:r w:rsidRPr="00DE5D68" w:rsidR="009154AB">
        <w:rPr>
          <w:rFonts w:cs="Arial"/>
        </w:rPr>
        <w:t xml:space="preserve">the </w:t>
      </w:r>
      <w:r w:rsidRPr="00DE5D68" w:rsidR="004B2B0E">
        <w:rPr>
          <w:rFonts w:cs="Arial"/>
        </w:rPr>
        <w:t xml:space="preserve">Investment </w:t>
      </w:r>
      <w:r w:rsidRPr="00DE5D68" w:rsidR="0071244C">
        <w:rPr>
          <w:rFonts w:cs="Arial"/>
        </w:rPr>
        <w:t>Manager</w:t>
      </w:r>
      <w:r w:rsidR="00DD0C05">
        <w:rPr>
          <w:rFonts w:cs="Arial"/>
        </w:rPr>
        <w:t xml:space="preserve"> and</w:t>
      </w:r>
      <w:r w:rsidR="002545DB">
        <w:rPr>
          <w:rFonts w:cs="Arial"/>
        </w:rPr>
        <w:t xml:space="preserve"> </w:t>
      </w:r>
      <w:r w:rsidR="00DD0C05">
        <w:rPr>
          <w:rFonts w:cs="Arial"/>
        </w:rPr>
        <w:t>Singer Capital Markets</w:t>
      </w:r>
      <w:r w:rsidRPr="00DE5D68">
        <w:rPr>
          <w:rFonts w:cs="Arial"/>
        </w:rPr>
        <w:t xml:space="preserve">, pursuant to which, subject to certain conditions, </w:t>
      </w:r>
      <w:r w:rsidR="00DD0C05">
        <w:rPr>
          <w:rFonts w:cs="Arial"/>
        </w:rPr>
        <w:t>Singer Capital Markets</w:t>
      </w:r>
      <w:r w:rsidRPr="00DE5D68" w:rsidR="00631C3F">
        <w:rPr>
          <w:rFonts w:cs="Arial"/>
        </w:rPr>
        <w:t xml:space="preserve"> </w:t>
      </w:r>
      <w:r w:rsidRPr="00DE5D68">
        <w:rPr>
          <w:rFonts w:cs="Arial"/>
        </w:rPr>
        <w:t xml:space="preserve">has agreed to use reasonable endeavours to procure subscribers for </w:t>
      </w:r>
      <w:r w:rsidRPr="00DE5D68" w:rsidR="00675615">
        <w:rPr>
          <w:rFonts w:cs="Arial"/>
        </w:rPr>
        <w:t xml:space="preserve">Ordinary </w:t>
      </w:r>
      <w:r w:rsidRPr="00DE5D68">
        <w:rPr>
          <w:rFonts w:cs="Arial"/>
        </w:rPr>
        <w:t>Shares purs</w:t>
      </w:r>
      <w:r w:rsidRPr="00DE5D68" w:rsidR="00C46C3B">
        <w:rPr>
          <w:rFonts w:cs="Arial"/>
        </w:rPr>
        <w:t>uant to the</w:t>
      </w:r>
      <w:r w:rsidRPr="00DE5D68" w:rsidR="006F52A1">
        <w:rPr>
          <w:rFonts w:cs="Arial"/>
        </w:rPr>
        <w:t xml:space="preserve"> Initial</w:t>
      </w:r>
      <w:r w:rsidRPr="00DE5D68" w:rsidR="00C46C3B">
        <w:rPr>
          <w:rFonts w:cs="Arial"/>
        </w:rPr>
        <w:t xml:space="preserve"> </w:t>
      </w:r>
      <w:r w:rsidRPr="00DE5D68">
        <w:rPr>
          <w:rFonts w:cs="Arial"/>
        </w:rPr>
        <w:t>Placing at the Issue Price</w:t>
      </w:r>
      <w:r w:rsidRPr="00DE5D68" w:rsidR="00085045">
        <w:rPr>
          <w:rFonts w:cs="Arial"/>
        </w:rPr>
        <w:t xml:space="preserve"> and</w:t>
      </w:r>
      <w:r w:rsidRPr="00DE5D68" w:rsidR="006F52A1">
        <w:rPr>
          <w:rFonts w:cs="Arial"/>
        </w:rPr>
        <w:t xml:space="preserve"> to use reasonable endeavours to procure subscribers </w:t>
      </w:r>
      <w:r w:rsidRPr="00DE5D68" w:rsidR="00934E9D">
        <w:rPr>
          <w:rFonts w:cs="Arial"/>
        </w:rPr>
        <w:t xml:space="preserve">for </w:t>
      </w:r>
      <w:r w:rsidR="00934E9D">
        <w:rPr>
          <w:rFonts w:cs="Arial"/>
        </w:rPr>
        <w:t xml:space="preserve">Ordinary </w:t>
      </w:r>
      <w:r w:rsidRPr="00DE5D68" w:rsidR="00934E9D">
        <w:rPr>
          <w:rFonts w:cs="Arial"/>
        </w:rPr>
        <w:t xml:space="preserve">Shares </w:t>
      </w:r>
      <w:r w:rsidRPr="00DE5D68" w:rsidR="006F52A1">
        <w:rPr>
          <w:rFonts w:cs="Arial"/>
        </w:rPr>
        <w:t>under th</w:t>
      </w:r>
      <w:r w:rsidRPr="00DE5D68" w:rsidR="00CD6A69">
        <w:rPr>
          <w:rFonts w:cs="Arial"/>
        </w:rPr>
        <w:t xml:space="preserve">e Placing Programme </w:t>
      </w:r>
      <w:r w:rsidRPr="00DE5D68" w:rsidR="006F52A1">
        <w:rPr>
          <w:rFonts w:cs="Arial"/>
        </w:rPr>
        <w:t>at the Placing Programme Price.</w:t>
      </w:r>
      <w:r w:rsidRPr="00DE5D68" w:rsidR="00085045">
        <w:rPr>
          <w:rFonts w:cs="Arial"/>
        </w:rPr>
        <w:t xml:space="preserve"> </w:t>
      </w:r>
      <w:r w:rsidRPr="00DE5D68" w:rsidR="003B40CD">
        <w:rPr>
          <w:rFonts w:cs="Arial"/>
        </w:rPr>
        <w:t xml:space="preserve">The Company has </w:t>
      </w:r>
      <w:r w:rsidR="00DD0C05">
        <w:rPr>
          <w:rFonts w:cs="Arial"/>
        </w:rPr>
        <w:t xml:space="preserve">also </w:t>
      </w:r>
      <w:r w:rsidRPr="00DE5D68" w:rsidR="003B40CD">
        <w:rPr>
          <w:rFonts w:cs="Arial"/>
        </w:rPr>
        <w:t xml:space="preserve">appointed </w:t>
      </w:r>
      <w:r w:rsidR="00DD0C05">
        <w:rPr>
          <w:rFonts w:cs="Arial"/>
        </w:rPr>
        <w:t>Singer Capital Markets</w:t>
      </w:r>
      <w:r w:rsidR="004C675D">
        <w:rPr>
          <w:rFonts w:cs="Arial"/>
        </w:rPr>
        <w:t xml:space="preserve"> as financial adviser</w:t>
      </w:r>
      <w:r w:rsidR="002B4311">
        <w:rPr>
          <w:rFonts w:cs="Arial"/>
        </w:rPr>
        <w:t xml:space="preserve"> </w:t>
      </w:r>
      <w:r w:rsidRPr="00DE5D68" w:rsidR="003B40CD">
        <w:rPr>
          <w:rFonts w:cs="Arial"/>
        </w:rPr>
        <w:t xml:space="preserve">to the Company in connection with the </w:t>
      </w:r>
      <w:r w:rsidR="00E64580">
        <w:rPr>
          <w:rFonts w:cs="Arial"/>
        </w:rPr>
        <w:t>Initial Placing</w:t>
      </w:r>
      <w:r w:rsidRPr="00DE5D68" w:rsidR="006F52A1">
        <w:rPr>
          <w:rFonts w:cs="Arial"/>
        </w:rPr>
        <w:t xml:space="preserve"> and the Placing Programme</w:t>
      </w:r>
      <w:r w:rsidRPr="00DE5D68" w:rsidR="003B40CD">
        <w:rPr>
          <w:rFonts w:cs="Arial"/>
        </w:rPr>
        <w:t>.</w:t>
      </w:r>
    </w:p>
    <w:p w:rsidRPr="00DE5D68" w:rsidR="00777B27" w:rsidP="00C27D12" w:rsidRDefault="002C262C" w14:paraId="27A16E88" w14:textId="32BBB04A">
      <w:pPr>
        <w:ind w:left="709"/>
        <w:rPr>
          <w:rFonts w:cs="Arial"/>
        </w:rPr>
      </w:pPr>
      <w:r w:rsidRPr="00DE5D68">
        <w:rPr>
          <w:rFonts w:cs="Arial"/>
        </w:rPr>
        <w:t xml:space="preserve">The </w:t>
      </w:r>
      <w:r w:rsidR="00020807">
        <w:rPr>
          <w:rFonts w:cs="Arial"/>
        </w:rPr>
        <w:t>Placing Agreement</w:t>
      </w:r>
      <w:r w:rsidR="002B4311">
        <w:rPr>
          <w:rFonts w:cs="Arial"/>
        </w:rPr>
        <w:t xml:space="preserve"> provides for </w:t>
      </w:r>
      <w:r w:rsidR="00DD0C05">
        <w:rPr>
          <w:rFonts w:cs="Arial"/>
        </w:rPr>
        <w:t>Singer Capital Markets</w:t>
      </w:r>
      <w:r w:rsidRPr="00DE5D68" w:rsidR="00631C3F">
        <w:rPr>
          <w:rFonts w:cs="Arial"/>
        </w:rPr>
        <w:t xml:space="preserve"> </w:t>
      </w:r>
      <w:r w:rsidRPr="00DE5D68">
        <w:rPr>
          <w:rFonts w:cs="Arial"/>
        </w:rPr>
        <w:t>to be paid commission</w:t>
      </w:r>
      <w:r w:rsidRPr="00DE5D68" w:rsidR="00FB203F">
        <w:rPr>
          <w:rFonts w:cs="Arial"/>
        </w:rPr>
        <w:t>s by the Com</w:t>
      </w:r>
      <w:r w:rsidRPr="00DE5D68" w:rsidR="00CD6A69">
        <w:rPr>
          <w:rFonts w:cs="Arial"/>
        </w:rPr>
        <w:t xml:space="preserve">pany in respect of the </w:t>
      </w:r>
      <w:r w:rsidR="002B4311">
        <w:rPr>
          <w:rFonts w:cs="Arial"/>
        </w:rPr>
        <w:t xml:space="preserve">Ordinary </w:t>
      </w:r>
      <w:r w:rsidRPr="00DE5D68" w:rsidR="00FB203F">
        <w:rPr>
          <w:rFonts w:cs="Arial"/>
        </w:rPr>
        <w:t xml:space="preserve">Shares to be </w:t>
      </w:r>
      <w:r w:rsidRPr="00DE5D68" w:rsidR="00E978F4">
        <w:rPr>
          <w:rFonts w:cs="Arial"/>
        </w:rPr>
        <w:t xml:space="preserve">issued </w:t>
      </w:r>
      <w:r w:rsidR="002B4311">
        <w:rPr>
          <w:rFonts w:cs="Arial"/>
        </w:rPr>
        <w:t xml:space="preserve">pursuant to the </w:t>
      </w:r>
      <w:r w:rsidR="00E64580">
        <w:rPr>
          <w:rFonts w:cs="Arial"/>
        </w:rPr>
        <w:t>Initial Placing</w:t>
      </w:r>
      <w:r w:rsidRPr="00DE5D68" w:rsidR="00FB203F">
        <w:rPr>
          <w:rFonts w:cs="Arial"/>
        </w:rPr>
        <w:t xml:space="preserve"> and the Placing Programme.</w:t>
      </w:r>
      <w:r w:rsidR="00903C3A">
        <w:rPr>
          <w:rFonts w:cs="Arial"/>
        </w:rPr>
        <w:t xml:space="preserve"> </w:t>
      </w:r>
      <w:r w:rsidR="002B4311">
        <w:rPr>
          <w:rFonts w:cs="Arial"/>
        </w:rPr>
        <w:t xml:space="preserve">Under the </w:t>
      </w:r>
      <w:r w:rsidR="00020807">
        <w:rPr>
          <w:rFonts w:cs="Arial"/>
        </w:rPr>
        <w:t>Placing Agreement</w:t>
      </w:r>
      <w:r w:rsidRPr="00DE5D68" w:rsidR="00FB203F">
        <w:rPr>
          <w:rFonts w:cs="Arial"/>
        </w:rPr>
        <w:t xml:space="preserve">, </w:t>
      </w:r>
      <w:r w:rsidR="00DD0C05">
        <w:rPr>
          <w:rFonts w:cs="Arial"/>
        </w:rPr>
        <w:t>Singer Capital Markets</w:t>
      </w:r>
      <w:r w:rsidRPr="00DE5D68" w:rsidR="00FB203F">
        <w:rPr>
          <w:rFonts w:cs="Arial"/>
        </w:rPr>
        <w:t xml:space="preserve"> is entitled at its discretion and out of its own resources at any time to rebate to </w:t>
      </w:r>
      <w:r w:rsidR="00903C3A">
        <w:rPr>
          <w:rFonts w:cs="Arial"/>
        </w:rPr>
        <w:t>any third party</w:t>
      </w:r>
      <w:r w:rsidRPr="00DE5D68" w:rsidR="00FB203F">
        <w:rPr>
          <w:rFonts w:cs="Arial"/>
        </w:rPr>
        <w:t>, part or all of its fees</w:t>
      </w:r>
      <w:r w:rsidR="00903C3A">
        <w:rPr>
          <w:rFonts w:cs="Arial"/>
        </w:rPr>
        <w:t xml:space="preserve"> relating to the Initial Placing and/or the Placing Programme</w:t>
      </w:r>
      <w:r w:rsidRPr="00DE5D68" w:rsidR="00FB203F">
        <w:rPr>
          <w:rFonts w:cs="Arial"/>
        </w:rPr>
        <w:t xml:space="preserve">. </w:t>
      </w:r>
      <w:r w:rsidR="00DD0C05">
        <w:rPr>
          <w:rFonts w:cs="Arial"/>
        </w:rPr>
        <w:t>Singer Capital Markets</w:t>
      </w:r>
      <w:r w:rsidRPr="00DE5D68" w:rsidR="00FB203F">
        <w:rPr>
          <w:rFonts w:cs="Arial"/>
        </w:rPr>
        <w:t xml:space="preserve"> is also entit</w:t>
      </w:r>
      <w:r w:rsidR="002B4311">
        <w:rPr>
          <w:rFonts w:cs="Arial"/>
        </w:rPr>
        <w:t xml:space="preserve">led under the </w:t>
      </w:r>
      <w:r w:rsidR="00020807">
        <w:rPr>
          <w:rFonts w:cs="Arial"/>
        </w:rPr>
        <w:t>Placing Agreement</w:t>
      </w:r>
      <w:r w:rsidRPr="00DE5D68" w:rsidR="00FB203F">
        <w:rPr>
          <w:rFonts w:cs="Arial"/>
        </w:rPr>
        <w:t xml:space="preserve"> to retain agents and may pay </w:t>
      </w:r>
      <w:r w:rsidR="0024483F">
        <w:rPr>
          <w:rFonts w:cs="Arial"/>
        </w:rPr>
        <w:t>c</w:t>
      </w:r>
      <w:r w:rsidRPr="00DE5D68" w:rsidR="000C0D70">
        <w:rPr>
          <w:rFonts w:cs="Arial"/>
        </w:rPr>
        <w:t>ommission</w:t>
      </w:r>
      <w:r w:rsidRPr="00DE5D68" w:rsidR="00FB203F">
        <w:rPr>
          <w:rFonts w:cs="Arial"/>
        </w:rPr>
        <w:t xml:space="preserve"> </w:t>
      </w:r>
      <w:r w:rsidR="00903C3A">
        <w:rPr>
          <w:rFonts w:cs="Arial"/>
        </w:rPr>
        <w:t xml:space="preserve">in respect of the Initial Placing and/or the Placing Programme </w:t>
      </w:r>
      <w:r w:rsidRPr="00DE5D68" w:rsidR="00FB203F">
        <w:rPr>
          <w:rFonts w:cs="Arial"/>
        </w:rPr>
        <w:t>to any or all of those agents out of its own resources.</w:t>
      </w:r>
      <w:r w:rsidR="00903C3A">
        <w:rPr>
          <w:rFonts w:cs="Arial"/>
        </w:rPr>
        <w:t xml:space="preserve"> </w:t>
      </w:r>
      <w:r w:rsidRPr="00DE5D68" w:rsidR="00777B27">
        <w:rPr>
          <w:rFonts w:cs="Arial"/>
        </w:rPr>
        <w:t xml:space="preserve">The </w:t>
      </w:r>
      <w:r w:rsidR="00020807">
        <w:rPr>
          <w:rFonts w:cs="Arial"/>
        </w:rPr>
        <w:t>Placing Agreement</w:t>
      </w:r>
      <w:r w:rsidRPr="00DE5D68" w:rsidR="00777B27">
        <w:rPr>
          <w:rFonts w:cs="Arial"/>
        </w:rPr>
        <w:t xml:space="preserve"> may be terminated by </w:t>
      </w:r>
      <w:r w:rsidR="002B4311">
        <w:rPr>
          <w:rFonts w:cs="Arial"/>
        </w:rPr>
        <w:t>Singer Capital Markets</w:t>
      </w:r>
      <w:r w:rsidRPr="00DE5D68" w:rsidR="00631C3F">
        <w:rPr>
          <w:rFonts w:cs="Arial"/>
        </w:rPr>
        <w:t xml:space="preserve"> </w:t>
      </w:r>
      <w:r w:rsidRPr="00DE5D68" w:rsidR="00FB203F">
        <w:rPr>
          <w:rFonts w:cs="Arial"/>
        </w:rPr>
        <w:t xml:space="preserve">in certain customary </w:t>
      </w:r>
      <w:r w:rsidRPr="00DE5D68" w:rsidR="00777B27">
        <w:rPr>
          <w:rFonts w:cs="Arial"/>
        </w:rPr>
        <w:t xml:space="preserve">circumstances. </w:t>
      </w:r>
    </w:p>
    <w:p w:rsidRPr="00DE5D68" w:rsidR="00FB203F" w:rsidP="00C27D12" w:rsidRDefault="00777B27" w14:paraId="7B27B6EB" w14:textId="0A461441">
      <w:pPr>
        <w:ind w:left="709"/>
        <w:rPr>
          <w:rFonts w:cs="Arial"/>
        </w:rPr>
      </w:pPr>
      <w:r w:rsidRPr="00DE5D68">
        <w:rPr>
          <w:rFonts w:cs="Arial"/>
        </w:rPr>
        <w:t xml:space="preserve">The obligation of the Company to </w:t>
      </w:r>
      <w:r w:rsidRPr="00DE5D68" w:rsidR="00A50C3E">
        <w:rPr>
          <w:rFonts w:cs="Arial"/>
        </w:rPr>
        <w:t>i</w:t>
      </w:r>
      <w:r w:rsidRPr="00DE5D68" w:rsidR="000C0D70">
        <w:rPr>
          <w:rFonts w:cs="Arial"/>
        </w:rPr>
        <w:t xml:space="preserve">ssue </w:t>
      </w:r>
      <w:r w:rsidRPr="00DE5D68" w:rsidR="00675615">
        <w:rPr>
          <w:rFonts w:cs="Arial"/>
        </w:rPr>
        <w:t xml:space="preserve">Ordinary </w:t>
      </w:r>
      <w:r w:rsidRPr="00DE5D68">
        <w:rPr>
          <w:rFonts w:cs="Arial"/>
        </w:rPr>
        <w:t xml:space="preserve">Shares and the obligation of </w:t>
      </w:r>
      <w:r w:rsidR="00DD0C05">
        <w:rPr>
          <w:rFonts w:cs="Arial"/>
        </w:rPr>
        <w:t>Singer Capital Markets</w:t>
      </w:r>
      <w:r w:rsidRPr="00DE5D68" w:rsidR="00631C3F">
        <w:rPr>
          <w:rFonts w:cs="Arial"/>
        </w:rPr>
        <w:t xml:space="preserve"> </w:t>
      </w:r>
      <w:r w:rsidRPr="00DE5D68">
        <w:rPr>
          <w:rFonts w:cs="Arial"/>
        </w:rPr>
        <w:t xml:space="preserve">to use its reasonable endeavours to procure subscribers for </w:t>
      </w:r>
      <w:r w:rsidRPr="00DE5D68" w:rsidR="00675615">
        <w:rPr>
          <w:rFonts w:cs="Arial"/>
        </w:rPr>
        <w:t xml:space="preserve">Ordinary </w:t>
      </w:r>
      <w:r w:rsidRPr="00DE5D68">
        <w:rPr>
          <w:rFonts w:cs="Arial"/>
        </w:rPr>
        <w:t xml:space="preserve">Shares pursuant to the </w:t>
      </w:r>
      <w:r w:rsidRPr="00DE5D68" w:rsidR="00FB203F">
        <w:rPr>
          <w:rFonts w:cs="Arial"/>
        </w:rPr>
        <w:t xml:space="preserve">Initial </w:t>
      </w:r>
      <w:r w:rsidRPr="00DE5D68">
        <w:rPr>
          <w:rFonts w:cs="Arial"/>
        </w:rPr>
        <w:t>Placing is conditional upon certain conditions that are typical for an agreement of this nature. These conditions include, among others: (</w:t>
      </w:r>
      <w:proofErr w:type="spellStart"/>
      <w:r w:rsidRPr="00DE5D68">
        <w:rPr>
          <w:rFonts w:cs="Arial"/>
        </w:rPr>
        <w:t>i</w:t>
      </w:r>
      <w:proofErr w:type="spellEnd"/>
      <w:r w:rsidRPr="00DE5D68">
        <w:rPr>
          <w:rFonts w:cs="Arial"/>
        </w:rPr>
        <w:t xml:space="preserve">) </w:t>
      </w:r>
      <w:r w:rsidRPr="00DE5D68" w:rsidR="00FB203F">
        <w:rPr>
          <w:rFonts w:cs="Arial"/>
        </w:rPr>
        <w:t xml:space="preserve">Initial </w:t>
      </w:r>
      <w:r w:rsidRPr="00DE5D68">
        <w:rPr>
          <w:rFonts w:cs="Arial"/>
        </w:rPr>
        <w:t xml:space="preserve">Admission </w:t>
      </w:r>
      <w:r w:rsidRPr="00DE5D68" w:rsidR="00246758">
        <w:rPr>
          <w:rFonts w:cs="Arial"/>
        </w:rPr>
        <w:t>having become effective on or before</w:t>
      </w:r>
      <w:r w:rsidRPr="00DE5D68">
        <w:rPr>
          <w:rFonts w:cs="Arial"/>
        </w:rPr>
        <w:t xml:space="preserve"> 8.00 a.m. on </w:t>
      </w:r>
      <w:r w:rsidR="0055680D">
        <w:rPr>
          <w:rFonts w:cs="Arial"/>
        </w:rPr>
        <w:t>2</w:t>
      </w:r>
      <w:r w:rsidR="00C615BB">
        <w:rPr>
          <w:rFonts w:cs="Arial"/>
        </w:rPr>
        <w:t>5</w:t>
      </w:r>
      <w:r w:rsidRPr="00DE5D68">
        <w:rPr>
          <w:rFonts w:cs="Arial"/>
        </w:rPr>
        <w:t xml:space="preserve"> </w:t>
      </w:r>
      <w:r w:rsidR="00A10F64">
        <w:rPr>
          <w:rFonts w:cs="Arial"/>
        </w:rPr>
        <w:t xml:space="preserve">February </w:t>
      </w:r>
      <w:r w:rsidRPr="00DE5D68" w:rsidR="00146C31">
        <w:rPr>
          <w:rFonts w:cs="Arial"/>
        </w:rPr>
        <w:t>20</w:t>
      </w:r>
      <w:r w:rsidRPr="00DE5D68" w:rsidR="00FB203F">
        <w:rPr>
          <w:rFonts w:cs="Arial"/>
        </w:rPr>
        <w:t>2</w:t>
      </w:r>
      <w:r w:rsidR="00044E36">
        <w:rPr>
          <w:rFonts w:cs="Arial"/>
        </w:rPr>
        <w:t>5</w:t>
      </w:r>
      <w:r w:rsidRPr="00DE5D68">
        <w:rPr>
          <w:rFonts w:cs="Arial"/>
        </w:rPr>
        <w:t xml:space="preserve"> (</w:t>
      </w:r>
      <w:r w:rsidRPr="00DE5D68" w:rsidR="00246758">
        <w:rPr>
          <w:rFonts w:cs="Arial"/>
        </w:rPr>
        <w:t>or such later time and/or date</w:t>
      </w:r>
      <w:r w:rsidR="002B4311">
        <w:rPr>
          <w:rFonts w:cs="Arial"/>
        </w:rPr>
        <w:t xml:space="preserve"> as the Company and </w:t>
      </w:r>
      <w:r w:rsidR="00DD0C05">
        <w:rPr>
          <w:rFonts w:cs="Arial"/>
        </w:rPr>
        <w:t>Singer Capital Markets</w:t>
      </w:r>
      <w:r w:rsidRPr="00DE5D68" w:rsidR="00631C3F">
        <w:rPr>
          <w:rFonts w:cs="Arial"/>
        </w:rPr>
        <w:t xml:space="preserve"> </w:t>
      </w:r>
      <w:r w:rsidRPr="00DE5D68">
        <w:rPr>
          <w:rFonts w:cs="Arial"/>
        </w:rPr>
        <w:t>may agree</w:t>
      </w:r>
      <w:r w:rsidRPr="00DE5D68" w:rsidR="00246758">
        <w:rPr>
          <w:rFonts w:cs="Arial"/>
        </w:rPr>
        <w:t xml:space="preserve"> (not being </w:t>
      </w:r>
      <w:r w:rsidRPr="00DE5D68" w:rsidR="002B133E">
        <w:rPr>
          <w:rFonts w:cs="Arial"/>
        </w:rPr>
        <w:t xml:space="preserve">later than 8.00 a.m. on </w:t>
      </w:r>
      <w:r w:rsidR="007A1FC2">
        <w:rPr>
          <w:rFonts w:cs="Arial"/>
        </w:rPr>
        <w:t>31 March</w:t>
      </w:r>
      <w:r w:rsidR="00A10F64">
        <w:rPr>
          <w:rFonts w:cs="Arial"/>
        </w:rPr>
        <w:t xml:space="preserve"> </w:t>
      </w:r>
      <w:r w:rsidR="002D2E48">
        <w:rPr>
          <w:rFonts w:cs="Arial"/>
        </w:rPr>
        <w:t>202</w:t>
      </w:r>
      <w:r w:rsidR="00044E36">
        <w:rPr>
          <w:rFonts w:cs="Arial"/>
        </w:rPr>
        <w:t>5</w:t>
      </w:r>
      <w:r w:rsidRPr="00DE5D68" w:rsidR="00246758">
        <w:rPr>
          <w:rFonts w:cs="Arial"/>
        </w:rPr>
        <w:t>)</w:t>
      </w:r>
      <w:r w:rsidRPr="00DE5D68" w:rsidR="006C3214">
        <w:rPr>
          <w:rFonts w:cs="Arial"/>
        </w:rPr>
        <w:t>)</w:t>
      </w:r>
      <w:r w:rsidRPr="00DE5D68" w:rsidR="00246758">
        <w:rPr>
          <w:rFonts w:cs="Arial"/>
        </w:rPr>
        <w:t xml:space="preserve">; </w:t>
      </w:r>
      <w:r w:rsidRPr="00DE5D68">
        <w:rPr>
          <w:rFonts w:cs="Arial"/>
        </w:rPr>
        <w:t xml:space="preserve">(ii) the </w:t>
      </w:r>
      <w:r w:rsidR="00020807">
        <w:rPr>
          <w:rFonts w:cs="Arial"/>
        </w:rPr>
        <w:t>Placing Agreement</w:t>
      </w:r>
      <w:r w:rsidRPr="00DE5D68">
        <w:rPr>
          <w:rFonts w:cs="Arial"/>
        </w:rPr>
        <w:t xml:space="preserve"> </w:t>
      </w:r>
      <w:r w:rsidRPr="00DE5D68" w:rsidR="00246758">
        <w:rPr>
          <w:rFonts w:cs="Arial"/>
        </w:rPr>
        <w:t xml:space="preserve">becoming wholly unconditional (save as to </w:t>
      </w:r>
      <w:r w:rsidRPr="00DE5D68" w:rsidR="00FB203F">
        <w:rPr>
          <w:rFonts w:cs="Arial"/>
        </w:rPr>
        <w:t xml:space="preserve">Initial </w:t>
      </w:r>
      <w:r w:rsidRPr="00DE5D68" w:rsidR="00246758">
        <w:rPr>
          <w:rFonts w:cs="Arial"/>
        </w:rPr>
        <w:t xml:space="preserve">Admission) and </w:t>
      </w:r>
      <w:r w:rsidRPr="00DE5D68">
        <w:rPr>
          <w:rFonts w:cs="Arial"/>
        </w:rPr>
        <w:t>not having been terminat</w:t>
      </w:r>
      <w:r w:rsidRPr="00DE5D68" w:rsidR="00246758">
        <w:rPr>
          <w:rFonts w:cs="Arial"/>
        </w:rPr>
        <w:t>ed in accordance with its terms</w:t>
      </w:r>
      <w:r w:rsidRPr="00DE5D68" w:rsidR="00E93ABF">
        <w:rPr>
          <w:rFonts w:cs="Arial"/>
        </w:rPr>
        <w:t xml:space="preserve"> at any time prior to </w:t>
      </w:r>
      <w:r w:rsidRPr="00DE5D68" w:rsidR="00FB203F">
        <w:rPr>
          <w:rFonts w:cs="Arial"/>
        </w:rPr>
        <w:t xml:space="preserve">Initial </w:t>
      </w:r>
      <w:r w:rsidRPr="00DE5D68" w:rsidR="00E93ABF">
        <w:rPr>
          <w:rFonts w:cs="Arial"/>
        </w:rPr>
        <w:t>Admission</w:t>
      </w:r>
      <w:r w:rsidRPr="00DE5D68" w:rsidR="00246758">
        <w:rPr>
          <w:rFonts w:cs="Arial"/>
        </w:rPr>
        <w:t xml:space="preserve">; and (iii) the Minimum </w:t>
      </w:r>
      <w:r w:rsidRPr="00DE5D68" w:rsidR="00C42326">
        <w:rPr>
          <w:rFonts w:cs="Arial"/>
        </w:rPr>
        <w:t xml:space="preserve">Gross </w:t>
      </w:r>
      <w:r w:rsidRPr="00DE5D68" w:rsidR="00246758">
        <w:rPr>
          <w:rFonts w:cs="Arial"/>
        </w:rPr>
        <w:t>Proceeds being raised</w:t>
      </w:r>
      <w:r w:rsidRPr="00DE5D68" w:rsidR="00E51BC4">
        <w:rPr>
          <w:rFonts w:cs="Arial"/>
        </w:rPr>
        <w:t xml:space="preserve"> (or such lesser amount as the Company and </w:t>
      </w:r>
      <w:r w:rsidR="002B4311">
        <w:rPr>
          <w:rFonts w:cs="Arial"/>
        </w:rPr>
        <w:t>Singer Capital Markets</w:t>
      </w:r>
      <w:r w:rsidRPr="00DE5D68" w:rsidR="00631C3F">
        <w:rPr>
          <w:rFonts w:cs="Arial"/>
        </w:rPr>
        <w:t xml:space="preserve"> </w:t>
      </w:r>
      <w:r w:rsidRPr="00DE5D68" w:rsidR="00E51BC4">
        <w:rPr>
          <w:rFonts w:cs="Arial"/>
        </w:rPr>
        <w:t>may agree)</w:t>
      </w:r>
      <w:r w:rsidRPr="00DE5D68" w:rsidR="00246758">
        <w:rPr>
          <w:rFonts w:cs="Arial"/>
        </w:rPr>
        <w:t xml:space="preserve">. </w:t>
      </w:r>
    </w:p>
    <w:p w:rsidRPr="00DE5D68" w:rsidR="00FB203F" w:rsidP="00C27D12" w:rsidRDefault="00FB203F" w14:paraId="18BC169F" w14:textId="029B8FF4">
      <w:pPr>
        <w:ind w:left="709"/>
        <w:rPr>
          <w:rFonts w:cs="Arial"/>
          <w:szCs w:val="20"/>
        </w:rPr>
      </w:pPr>
      <w:r w:rsidRPr="00DE5D68">
        <w:rPr>
          <w:rFonts w:cs="Arial"/>
          <w:szCs w:val="20"/>
        </w:rPr>
        <w:t xml:space="preserve">Each </w:t>
      </w:r>
      <w:r w:rsidRPr="00DE5D68" w:rsidR="00A50C3E">
        <w:rPr>
          <w:rFonts w:cs="Arial"/>
          <w:szCs w:val="20"/>
        </w:rPr>
        <w:t>i</w:t>
      </w:r>
      <w:r w:rsidRPr="00DE5D68" w:rsidR="000C0D70">
        <w:rPr>
          <w:rFonts w:cs="Arial"/>
          <w:szCs w:val="20"/>
        </w:rPr>
        <w:t xml:space="preserve">ssue </w:t>
      </w:r>
      <w:r w:rsidRPr="00DE5D68">
        <w:rPr>
          <w:rFonts w:cs="Arial"/>
          <w:szCs w:val="20"/>
        </w:rPr>
        <w:t xml:space="preserve">of </w:t>
      </w:r>
      <w:r w:rsidR="002B4311">
        <w:rPr>
          <w:rFonts w:cs="Arial"/>
          <w:szCs w:val="20"/>
        </w:rPr>
        <w:t xml:space="preserve">Ordinary </w:t>
      </w:r>
      <w:r w:rsidRPr="00DE5D68" w:rsidR="00C21FEA">
        <w:rPr>
          <w:rFonts w:cs="Arial"/>
          <w:szCs w:val="20"/>
        </w:rPr>
        <w:t>Shares</w:t>
      </w:r>
      <w:r w:rsidRPr="00DE5D68">
        <w:rPr>
          <w:rFonts w:cs="Arial"/>
          <w:szCs w:val="20"/>
        </w:rPr>
        <w:t xml:space="preserve"> pursuant to a Subsequent Placing under the Placing Programme is conditional, </w:t>
      </w:r>
      <w:r w:rsidRPr="00DE5D68">
        <w:rPr>
          <w:rFonts w:cs="Arial"/>
          <w:i/>
          <w:szCs w:val="20"/>
        </w:rPr>
        <w:t>inter alia</w:t>
      </w:r>
      <w:r w:rsidRPr="00DE5D68">
        <w:rPr>
          <w:rFonts w:cs="Arial"/>
          <w:szCs w:val="20"/>
        </w:rPr>
        <w:t>, on</w:t>
      </w:r>
      <w:r w:rsidR="00E56878">
        <w:rPr>
          <w:rFonts w:cs="Arial"/>
          <w:szCs w:val="20"/>
        </w:rPr>
        <w:t>:</w:t>
      </w:r>
      <w:r w:rsidRPr="00DE5D68">
        <w:rPr>
          <w:rFonts w:cs="Arial"/>
          <w:szCs w:val="20"/>
        </w:rPr>
        <w:t xml:space="preserve"> (</w:t>
      </w:r>
      <w:proofErr w:type="spellStart"/>
      <w:r w:rsidRPr="00DE5D68">
        <w:rPr>
          <w:rFonts w:cs="Arial"/>
          <w:szCs w:val="20"/>
        </w:rPr>
        <w:t>i</w:t>
      </w:r>
      <w:proofErr w:type="spellEnd"/>
      <w:r w:rsidRPr="00DE5D68">
        <w:rPr>
          <w:rFonts w:cs="Arial"/>
          <w:szCs w:val="20"/>
        </w:rPr>
        <w:t xml:space="preserve">) Admission of the relevant </w:t>
      </w:r>
      <w:r w:rsidR="00503099">
        <w:rPr>
          <w:rFonts w:cs="Arial"/>
          <w:szCs w:val="20"/>
        </w:rPr>
        <w:t xml:space="preserve">Ordinary </w:t>
      </w:r>
      <w:r w:rsidRPr="00DE5D68" w:rsidR="00C21FEA">
        <w:rPr>
          <w:rFonts w:cs="Arial"/>
          <w:szCs w:val="20"/>
        </w:rPr>
        <w:t>Shares</w:t>
      </w:r>
      <w:r w:rsidRPr="00DE5D68">
        <w:rPr>
          <w:rFonts w:cs="Arial"/>
          <w:szCs w:val="20"/>
        </w:rPr>
        <w:t xml:space="preserve"> occurring by no later than 8.00 a.m. on such date as the Company and </w:t>
      </w:r>
      <w:r w:rsidR="00DD0C05">
        <w:rPr>
          <w:rFonts w:cs="Arial"/>
        </w:rPr>
        <w:t>Singer Capital Markets</w:t>
      </w:r>
      <w:r w:rsidRPr="00DE5D68">
        <w:rPr>
          <w:rFonts w:cs="Arial"/>
          <w:szCs w:val="20"/>
        </w:rPr>
        <w:t xml:space="preserve"> may agree from time to time in relation to that Admission, not being later than </w:t>
      </w:r>
      <w:r w:rsidR="007A1FC2">
        <w:rPr>
          <w:rFonts w:cs="Arial"/>
          <w:szCs w:val="20"/>
        </w:rPr>
        <w:t>1</w:t>
      </w:r>
      <w:r w:rsidR="00C615BB">
        <w:rPr>
          <w:rFonts w:cs="Arial"/>
          <w:szCs w:val="20"/>
        </w:rPr>
        <w:t>9</w:t>
      </w:r>
      <w:r w:rsidRPr="00DE5D68">
        <w:rPr>
          <w:rFonts w:cs="Arial"/>
          <w:szCs w:val="20"/>
        </w:rPr>
        <w:t xml:space="preserve"> </w:t>
      </w:r>
      <w:r w:rsidR="00A10F64">
        <w:rPr>
          <w:rFonts w:cs="Arial"/>
          <w:szCs w:val="20"/>
        </w:rPr>
        <w:t xml:space="preserve">February </w:t>
      </w:r>
      <w:r w:rsidRPr="00DE5D68">
        <w:rPr>
          <w:rFonts w:cs="Arial"/>
          <w:szCs w:val="20"/>
        </w:rPr>
        <w:t>202</w:t>
      </w:r>
      <w:r w:rsidR="00044E36">
        <w:rPr>
          <w:rFonts w:cs="Arial"/>
          <w:szCs w:val="20"/>
        </w:rPr>
        <w:t>6</w:t>
      </w:r>
      <w:r w:rsidRPr="00DE5D68">
        <w:rPr>
          <w:rFonts w:cs="Arial"/>
          <w:szCs w:val="20"/>
        </w:rPr>
        <w:t>; (ii) a valid supplementary prospectus being published by the Company if such is required by the Prospectus Regulation Rules; (iii), the Placing Programme Price being determined by the Directors;</w:t>
      </w:r>
      <w:r w:rsidR="00503099">
        <w:rPr>
          <w:rFonts w:cs="Arial"/>
          <w:szCs w:val="20"/>
        </w:rPr>
        <w:t xml:space="preserve"> and (iv) the </w:t>
      </w:r>
      <w:r w:rsidR="00020807">
        <w:rPr>
          <w:rFonts w:cs="Arial"/>
          <w:szCs w:val="20"/>
        </w:rPr>
        <w:t>Placing Agreement</w:t>
      </w:r>
      <w:r w:rsidRPr="00DE5D68">
        <w:rPr>
          <w:rFonts w:cs="Arial"/>
          <w:szCs w:val="20"/>
        </w:rPr>
        <w:t xml:space="preserve"> being wholly unconditional as regards the relevant Subsequent Placing (save as to </w:t>
      </w:r>
      <w:r w:rsidRPr="00DE5D68">
        <w:rPr>
          <w:rFonts w:cs="Arial"/>
          <w:szCs w:val="20"/>
        </w:rPr>
        <w:lastRenderedPageBreak/>
        <w:t>Admission) and not having been terminated in accordance with its terms prior to the relevant Admission.</w:t>
      </w:r>
    </w:p>
    <w:p w:rsidRPr="00DE5D68" w:rsidR="00777B27" w:rsidP="00C27D12" w:rsidRDefault="00F6615A" w14:paraId="3EFA4076" w14:textId="349EC0A6">
      <w:pPr>
        <w:ind w:left="709"/>
        <w:rPr>
          <w:rFonts w:cs="Arial"/>
        </w:rPr>
      </w:pPr>
      <w:r w:rsidRPr="00DE5D68">
        <w:rPr>
          <w:rFonts w:cs="Arial"/>
        </w:rPr>
        <w:t>The Company</w:t>
      </w:r>
      <w:r w:rsidRPr="00DE5D68" w:rsidR="0010704F">
        <w:rPr>
          <w:rFonts w:cs="Arial"/>
        </w:rPr>
        <w:t>, the Directors</w:t>
      </w:r>
      <w:r w:rsidRPr="00DE5D68" w:rsidR="00A86616">
        <w:rPr>
          <w:rFonts w:cs="Arial"/>
        </w:rPr>
        <w:t xml:space="preserve"> and</w:t>
      </w:r>
      <w:r w:rsidRPr="00DE5D68">
        <w:rPr>
          <w:rFonts w:cs="Arial"/>
        </w:rPr>
        <w:t xml:space="preserve"> the </w:t>
      </w:r>
      <w:r w:rsidRPr="00DE5D68" w:rsidR="00E305F7">
        <w:rPr>
          <w:rFonts w:cs="Arial"/>
        </w:rPr>
        <w:t>Investment</w:t>
      </w:r>
      <w:r w:rsidRPr="00DE5D68">
        <w:rPr>
          <w:rFonts w:cs="Arial"/>
        </w:rPr>
        <w:t xml:space="preserve"> </w:t>
      </w:r>
      <w:r w:rsidRPr="00DE5D68" w:rsidR="0071244C">
        <w:rPr>
          <w:rFonts w:cs="Arial"/>
        </w:rPr>
        <w:t>Manager</w:t>
      </w:r>
      <w:r w:rsidRPr="00DE5D68" w:rsidR="00A86616">
        <w:rPr>
          <w:rFonts w:cs="Arial"/>
        </w:rPr>
        <w:t xml:space="preserve"> </w:t>
      </w:r>
      <w:r w:rsidRPr="00DE5D68" w:rsidR="00777B27">
        <w:rPr>
          <w:rFonts w:cs="Arial"/>
        </w:rPr>
        <w:t xml:space="preserve">have given warranties to </w:t>
      </w:r>
      <w:r w:rsidR="00503099">
        <w:rPr>
          <w:rFonts w:cs="Arial"/>
        </w:rPr>
        <w:t>Singer Capital Markets</w:t>
      </w:r>
      <w:r w:rsidRPr="00DE5D68" w:rsidR="00631C3F">
        <w:rPr>
          <w:rFonts w:cs="Arial"/>
        </w:rPr>
        <w:t xml:space="preserve"> </w:t>
      </w:r>
      <w:r w:rsidRPr="00DE5D68" w:rsidR="00777B27">
        <w:rPr>
          <w:rFonts w:cs="Arial"/>
        </w:rPr>
        <w:t xml:space="preserve">concerning, </w:t>
      </w:r>
      <w:r w:rsidRPr="00DE5D68" w:rsidR="00777B27">
        <w:rPr>
          <w:rFonts w:cs="Arial"/>
          <w:i/>
        </w:rPr>
        <w:t>inter alia</w:t>
      </w:r>
      <w:r w:rsidRPr="00DE5D68" w:rsidR="00777B27">
        <w:rPr>
          <w:rFonts w:cs="Arial"/>
        </w:rPr>
        <w:t xml:space="preserve">, the accuracy of the information contained in this document. The Company and </w:t>
      </w:r>
      <w:r w:rsidRPr="00DE5D68" w:rsidR="009154AB">
        <w:rPr>
          <w:rFonts w:cs="Arial"/>
        </w:rPr>
        <w:t xml:space="preserve">the </w:t>
      </w:r>
      <w:r w:rsidRPr="00DE5D68" w:rsidR="00E305F7">
        <w:rPr>
          <w:rFonts w:cs="Arial"/>
        </w:rPr>
        <w:t xml:space="preserve">Investment </w:t>
      </w:r>
      <w:r w:rsidRPr="00DE5D68">
        <w:rPr>
          <w:rFonts w:cs="Arial"/>
        </w:rPr>
        <w:t>Manager</w:t>
      </w:r>
      <w:r w:rsidRPr="00DE5D68" w:rsidR="00777B27">
        <w:rPr>
          <w:rFonts w:cs="Arial"/>
        </w:rPr>
        <w:t xml:space="preserve"> have also given indemnities to </w:t>
      </w:r>
      <w:r w:rsidR="00503099">
        <w:rPr>
          <w:rFonts w:cs="Arial"/>
        </w:rPr>
        <w:t>Singer Capital Markets</w:t>
      </w:r>
      <w:r w:rsidRPr="00DE5D68" w:rsidR="00777B27">
        <w:rPr>
          <w:rFonts w:cs="Arial"/>
        </w:rPr>
        <w:t>. The warranties and indem</w:t>
      </w:r>
      <w:r w:rsidRPr="00DE5D68">
        <w:rPr>
          <w:rFonts w:cs="Arial"/>
        </w:rPr>
        <w:t xml:space="preserve">nities </w:t>
      </w:r>
      <w:r w:rsidRPr="00DE5D68" w:rsidR="00777B27">
        <w:rPr>
          <w:rFonts w:cs="Arial"/>
        </w:rPr>
        <w:t>are standard for an agreement of this nature.</w:t>
      </w:r>
    </w:p>
    <w:p w:rsidRPr="00DE5D68" w:rsidR="00777B27" w:rsidP="00C27D12" w:rsidRDefault="00777B27" w14:paraId="2187C111" w14:textId="21CBDD91">
      <w:pPr>
        <w:ind w:left="709"/>
        <w:rPr>
          <w:rFonts w:cs="Arial"/>
        </w:rPr>
      </w:pPr>
      <w:r w:rsidRPr="00DE5D68">
        <w:rPr>
          <w:rFonts w:cs="Arial"/>
        </w:rPr>
        <w:t xml:space="preserve">The </w:t>
      </w:r>
      <w:r w:rsidR="00020807">
        <w:rPr>
          <w:rFonts w:cs="Arial"/>
        </w:rPr>
        <w:t>Placing Agreement</w:t>
      </w:r>
      <w:r w:rsidRPr="00DE5D68">
        <w:rPr>
          <w:rFonts w:cs="Arial"/>
        </w:rPr>
        <w:t xml:space="preserve"> is governed by</w:t>
      </w:r>
      <w:bookmarkStart w:name="_Ref329161312" w:id="287"/>
      <w:r w:rsidRPr="00DE5D68">
        <w:rPr>
          <w:rFonts w:cs="Arial"/>
        </w:rPr>
        <w:t xml:space="preserve"> the laws of England and Wales.</w:t>
      </w:r>
      <w:bookmarkEnd w:id="287"/>
    </w:p>
    <w:p w:rsidRPr="00DE5D68" w:rsidR="005B277D" w:rsidP="007944C6" w:rsidRDefault="00CD6A69" w14:paraId="7006669D" w14:textId="47DFDA45">
      <w:pPr>
        <w:pStyle w:val="Heading2"/>
        <w:keepNext/>
        <w:rPr>
          <w:rFonts w:cs="Arial"/>
          <w:b/>
        </w:rPr>
      </w:pPr>
      <w:bookmarkStart w:name="_Ref65762500" w:id="288"/>
      <w:r w:rsidRPr="00DE5D68">
        <w:rPr>
          <w:rFonts w:cs="Arial"/>
          <w:b/>
        </w:rPr>
        <w:t>Investment Management</w:t>
      </w:r>
      <w:r w:rsidRPr="00DE5D68" w:rsidR="006F039B">
        <w:rPr>
          <w:rFonts w:cs="Arial"/>
          <w:b/>
        </w:rPr>
        <w:t xml:space="preserve"> Agreement</w:t>
      </w:r>
      <w:bookmarkEnd w:id="288"/>
    </w:p>
    <w:p w:rsidR="00EB2825" w:rsidP="00EB2825" w:rsidRDefault="008634DA" w14:paraId="4032730D" w14:textId="12789159">
      <w:pPr>
        <w:ind w:left="709"/>
        <w:rPr>
          <w:rFonts w:cs="Arial"/>
        </w:rPr>
      </w:pPr>
      <w:r w:rsidRPr="00DE5D68">
        <w:rPr>
          <w:rFonts w:cs="Arial"/>
        </w:rPr>
        <w:t xml:space="preserve">The </w:t>
      </w:r>
      <w:r w:rsidRPr="00DE5D68" w:rsidR="00CD6A69">
        <w:rPr>
          <w:rFonts w:cs="Arial"/>
        </w:rPr>
        <w:t>Investment Management</w:t>
      </w:r>
      <w:r w:rsidRPr="00DE5D68" w:rsidR="006F039B">
        <w:rPr>
          <w:rFonts w:cs="Arial"/>
        </w:rPr>
        <w:t xml:space="preserve"> Agreement</w:t>
      </w:r>
      <w:r w:rsidRPr="00DE5D68" w:rsidR="00375C86">
        <w:rPr>
          <w:rFonts w:cs="Arial"/>
        </w:rPr>
        <w:t xml:space="preserve"> dated </w:t>
      </w:r>
      <w:r w:rsidR="00C615BB">
        <w:rPr>
          <w:rFonts w:cs="Arial"/>
        </w:rPr>
        <w:t>20</w:t>
      </w:r>
      <w:r w:rsidRPr="00DE5D68">
        <w:rPr>
          <w:rFonts w:cs="Arial"/>
        </w:rPr>
        <w:t xml:space="preserve"> </w:t>
      </w:r>
      <w:r w:rsidR="00A10F64">
        <w:rPr>
          <w:rFonts w:cs="Arial"/>
        </w:rPr>
        <w:t xml:space="preserve">February </w:t>
      </w:r>
      <w:r w:rsidRPr="00DE5D68" w:rsidR="00A60852">
        <w:rPr>
          <w:rFonts w:cs="Arial"/>
        </w:rPr>
        <w:t>20</w:t>
      </w:r>
      <w:r w:rsidRPr="00DE5D68" w:rsidR="000A5DC0">
        <w:rPr>
          <w:rFonts w:cs="Arial"/>
        </w:rPr>
        <w:t>2</w:t>
      </w:r>
      <w:r w:rsidR="00044E36">
        <w:rPr>
          <w:rFonts w:cs="Arial"/>
        </w:rPr>
        <w:t>5</w:t>
      </w:r>
      <w:r w:rsidRPr="00DE5D68">
        <w:rPr>
          <w:rFonts w:cs="Arial"/>
        </w:rPr>
        <w:t xml:space="preserve"> between the Company and the </w:t>
      </w:r>
      <w:r w:rsidRPr="00DE5D68" w:rsidR="007C78AD">
        <w:rPr>
          <w:rFonts w:cs="Arial"/>
        </w:rPr>
        <w:t>Investment</w:t>
      </w:r>
      <w:r w:rsidRPr="00DE5D68" w:rsidR="00F6615A">
        <w:rPr>
          <w:rFonts w:cs="Arial"/>
        </w:rPr>
        <w:t xml:space="preserve"> Manager</w:t>
      </w:r>
      <w:r w:rsidRPr="00DE5D68">
        <w:rPr>
          <w:rFonts w:cs="Arial"/>
        </w:rPr>
        <w:t xml:space="preserve">, pursuant to which the </w:t>
      </w:r>
      <w:r w:rsidRPr="00DE5D68" w:rsidR="007C78AD">
        <w:rPr>
          <w:rFonts w:cs="Arial"/>
        </w:rPr>
        <w:t xml:space="preserve">Investment </w:t>
      </w:r>
      <w:r w:rsidRPr="00DE5D68" w:rsidR="00F6615A">
        <w:rPr>
          <w:rFonts w:cs="Arial"/>
        </w:rPr>
        <w:t>Manager</w:t>
      </w:r>
      <w:r w:rsidRPr="00DE5D68">
        <w:rPr>
          <w:rFonts w:cs="Arial"/>
        </w:rPr>
        <w:t xml:space="preserve"> is appointed</w:t>
      </w:r>
      <w:r w:rsidRPr="00DE5D68" w:rsidR="004C5342">
        <w:rPr>
          <w:rFonts w:cs="Arial"/>
        </w:rPr>
        <w:t xml:space="preserve"> </w:t>
      </w:r>
      <w:r w:rsidRPr="00DE5D68" w:rsidR="00015B11">
        <w:rPr>
          <w:rFonts w:cs="Arial"/>
        </w:rPr>
        <w:t xml:space="preserve">to act as the Company's </w:t>
      </w:r>
      <w:r w:rsidR="00D06CEC">
        <w:rPr>
          <w:rFonts w:cs="Arial"/>
        </w:rPr>
        <w:t xml:space="preserve">alternative investment fund </w:t>
      </w:r>
      <w:r w:rsidRPr="00DE5D68" w:rsidR="00015B11">
        <w:rPr>
          <w:rFonts w:cs="Arial"/>
        </w:rPr>
        <w:t>manager</w:t>
      </w:r>
      <w:r w:rsidRPr="00DE5D68" w:rsidR="00F6615A">
        <w:rPr>
          <w:rFonts w:cs="Arial"/>
        </w:rPr>
        <w:t xml:space="preserve">, </w:t>
      </w:r>
      <w:r w:rsidRPr="00DE5D68" w:rsidR="00015B11">
        <w:rPr>
          <w:rFonts w:cs="Arial"/>
        </w:rPr>
        <w:t>and accordingly the Investment Manager is responsible for providing portfolio management and risk management services to the Company, subject to the overall control an</w:t>
      </w:r>
      <w:r w:rsidRPr="00DE5D68" w:rsidR="00FA60EF">
        <w:rPr>
          <w:rFonts w:cs="Arial"/>
        </w:rPr>
        <w:t>d supervisions of the Directors</w:t>
      </w:r>
      <w:r w:rsidRPr="00DE5D68" w:rsidR="00A60852">
        <w:rPr>
          <w:rFonts w:cs="Arial"/>
        </w:rPr>
        <w:t xml:space="preserve">. </w:t>
      </w:r>
      <w:r w:rsidR="00EB2825">
        <w:rPr>
          <w:rFonts w:cs="Arial"/>
        </w:rPr>
        <w:t>A</w:t>
      </w:r>
      <w:r w:rsidRPr="00EB2825" w:rsidR="00EB2825">
        <w:rPr>
          <w:rFonts w:cs="Arial"/>
        </w:rPr>
        <w:t xml:space="preserve">ny </w:t>
      </w:r>
      <w:r w:rsidR="00EB2825">
        <w:rPr>
          <w:rFonts w:cs="Arial"/>
        </w:rPr>
        <w:t>i</w:t>
      </w:r>
      <w:r w:rsidRPr="00EB2825" w:rsidR="00EB2825">
        <w:rPr>
          <w:rFonts w:cs="Arial"/>
        </w:rPr>
        <w:t xml:space="preserve">nvestment which represents more than 25 per cent. of Net Asset Value at the time that such </w:t>
      </w:r>
      <w:r w:rsidR="00EB2825">
        <w:rPr>
          <w:rFonts w:cs="Arial"/>
        </w:rPr>
        <w:t>i</w:t>
      </w:r>
      <w:r w:rsidRPr="00EB2825" w:rsidR="00EB2825">
        <w:rPr>
          <w:rFonts w:cs="Arial"/>
        </w:rPr>
        <w:t xml:space="preserve">nvestment is made will need the prior approval of the </w:t>
      </w:r>
      <w:r w:rsidR="00040C8C">
        <w:rPr>
          <w:rFonts w:cs="Arial"/>
        </w:rPr>
        <w:t xml:space="preserve">independent </w:t>
      </w:r>
      <w:r w:rsidRPr="00EB2825" w:rsidR="00EB2825">
        <w:rPr>
          <w:rFonts w:cs="Arial"/>
        </w:rPr>
        <w:t>Directors</w:t>
      </w:r>
      <w:r w:rsidR="00EB2825">
        <w:rPr>
          <w:rFonts w:cs="Arial"/>
        </w:rPr>
        <w:t>, provided always that</w:t>
      </w:r>
      <w:r w:rsidRPr="00EB2825" w:rsidR="00EB2825">
        <w:rPr>
          <w:rFonts w:cs="Arial"/>
        </w:rPr>
        <w:t xml:space="preserve"> any investment or divestment decision shall be made </w:t>
      </w:r>
      <w:r w:rsidR="00EB2825">
        <w:rPr>
          <w:rFonts w:cs="Arial"/>
        </w:rPr>
        <w:t xml:space="preserve">solely </w:t>
      </w:r>
      <w:r w:rsidRPr="00EB2825" w:rsidR="00EB2825">
        <w:rPr>
          <w:rFonts w:cs="Arial"/>
        </w:rPr>
        <w:t>by the Investment Manager</w:t>
      </w:r>
      <w:r w:rsidR="00EB2825">
        <w:rPr>
          <w:rFonts w:cs="Arial"/>
        </w:rPr>
        <w:t xml:space="preserve"> in its capacity as the Company's alternative investment fund </w:t>
      </w:r>
      <w:r w:rsidRPr="00DE5D68" w:rsidR="00EB2825">
        <w:rPr>
          <w:rFonts w:cs="Arial"/>
        </w:rPr>
        <w:t>manager</w:t>
      </w:r>
      <w:r w:rsidR="00EB2825">
        <w:rPr>
          <w:rFonts w:cs="Arial"/>
        </w:rPr>
        <w:t>.</w:t>
      </w:r>
    </w:p>
    <w:p w:rsidRPr="00DE5D68" w:rsidR="00015B11" w:rsidP="00C27D12" w:rsidRDefault="00A60852" w14:paraId="409B9324" w14:textId="667ABEC6">
      <w:pPr>
        <w:ind w:left="709"/>
        <w:rPr>
          <w:rFonts w:cs="Arial"/>
        </w:rPr>
      </w:pPr>
      <w:r w:rsidRPr="00DE5D68">
        <w:rPr>
          <w:rFonts w:cs="Arial"/>
        </w:rPr>
        <w:t>The Investment Manager, in it</w:t>
      </w:r>
      <w:r w:rsidR="00D06CEC">
        <w:rPr>
          <w:rFonts w:cs="Arial"/>
        </w:rPr>
        <w:t xml:space="preserve">s capacity as the Company’s alternative investment fund </w:t>
      </w:r>
      <w:r w:rsidRPr="00DE5D68" w:rsidR="00D06CEC">
        <w:rPr>
          <w:rFonts w:cs="Arial"/>
        </w:rPr>
        <w:t>manager</w:t>
      </w:r>
      <w:r w:rsidRPr="00DE5D68">
        <w:rPr>
          <w:rFonts w:cs="Arial"/>
        </w:rPr>
        <w:t xml:space="preserve">, will also make the relevant notifications for the marketing of the </w:t>
      </w:r>
      <w:r w:rsidR="008F0B72">
        <w:rPr>
          <w:rFonts w:cs="Arial"/>
        </w:rPr>
        <w:t xml:space="preserve">Ordinary </w:t>
      </w:r>
      <w:r w:rsidRPr="00DE5D68" w:rsidR="00C21FEA">
        <w:rPr>
          <w:rFonts w:cs="Arial"/>
        </w:rPr>
        <w:t>Shares</w:t>
      </w:r>
      <w:r w:rsidRPr="00DE5D68">
        <w:rPr>
          <w:rFonts w:cs="Arial"/>
        </w:rPr>
        <w:t xml:space="preserve"> in the United Kingdom and elsewhere (if required).</w:t>
      </w:r>
    </w:p>
    <w:p w:rsidR="0038720B" w:rsidP="004A3A2F" w:rsidRDefault="00BD0C92" w14:paraId="53115BF7" w14:textId="7B3326AB">
      <w:pPr>
        <w:ind w:left="709"/>
        <w:rPr>
          <w:rFonts w:cs="Arial"/>
        </w:rPr>
      </w:pPr>
      <w:r w:rsidRPr="00CB6933">
        <w:rPr>
          <w:rFonts w:cs="Arial"/>
        </w:rPr>
        <w:t>In relation to</w:t>
      </w:r>
      <w:r w:rsidRPr="00CB6933" w:rsidR="004A3A2F">
        <w:rPr>
          <w:rFonts w:cs="Arial"/>
        </w:rPr>
        <w:t xml:space="preserve"> the provision of its services under the Investment Management Agreement</w:t>
      </w:r>
      <w:r w:rsidRPr="00CB6933">
        <w:rPr>
          <w:rFonts w:cs="Arial"/>
        </w:rPr>
        <w:t>, the Investment Manager</w:t>
      </w:r>
      <w:r w:rsidRPr="00CB6933" w:rsidR="004A3A2F">
        <w:rPr>
          <w:rFonts w:cs="Arial"/>
        </w:rPr>
        <w:t xml:space="preserve"> will be entitled to </w:t>
      </w:r>
      <w:r w:rsidRPr="00CB6933">
        <w:rPr>
          <w:rFonts w:cs="Arial"/>
        </w:rPr>
        <w:t>be paid an annual management fee (the "</w:t>
      </w:r>
      <w:r w:rsidRPr="00CB6933">
        <w:rPr>
          <w:rFonts w:cs="Arial"/>
          <w:b/>
          <w:bCs/>
        </w:rPr>
        <w:t>Management Fee</w:t>
      </w:r>
      <w:r w:rsidRPr="00CB6933">
        <w:rPr>
          <w:rFonts w:cs="Arial"/>
        </w:rPr>
        <w:t xml:space="preserve">") and </w:t>
      </w:r>
      <w:r w:rsidRPr="00CB6933" w:rsidR="004A3A2F">
        <w:rPr>
          <w:rFonts w:cs="Arial"/>
        </w:rPr>
        <w:t>a performance fee (the "</w:t>
      </w:r>
      <w:r w:rsidRPr="00CB6933" w:rsidR="004A3A2F">
        <w:rPr>
          <w:rFonts w:cs="Arial"/>
          <w:b/>
        </w:rPr>
        <w:t>Performance Fee</w:t>
      </w:r>
      <w:r w:rsidRPr="00CB6933" w:rsidR="004A3A2F">
        <w:rPr>
          <w:rFonts w:cs="Arial"/>
        </w:rPr>
        <w:t>") in certain circumstances.</w:t>
      </w:r>
      <w:r w:rsidR="00711F27">
        <w:rPr>
          <w:rFonts w:cs="Arial"/>
        </w:rPr>
        <w:t xml:space="preserve"> </w:t>
      </w:r>
    </w:p>
    <w:p w:rsidR="00040C8C" w:rsidP="00040C8C" w:rsidRDefault="00040C8C" w14:paraId="2DC2513A" w14:textId="3645407E">
      <w:pPr>
        <w:ind w:left="709"/>
        <w:rPr>
          <w:rFonts w:cs="Arial"/>
        </w:rPr>
      </w:pPr>
      <w:bookmarkStart w:name="_Hlk187406788" w:id="289"/>
      <w:r>
        <w:rPr>
          <w:rFonts w:cs="Arial"/>
        </w:rPr>
        <w:t>The Management Fee shall be equal to 1.00 per cent. per annum of the lower of: (</w:t>
      </w:r>
      <w:proofErr w:type="spellStart"/>
      <w:r>
        <w:rPr>
          <w:rFonts w:cs="Arial"/>
        </w:rPr>
        <w:t>i</w:t>
      </w:r>
      <w:proofErr w:type="spellEnd"/>
      <w:r>
        <w:rPr>
          <w:rFonts w:cs="Arial"/>
        </w:rPr>
        <w:t>) the Net Asset Value (but excluding any accrual for Management Fee and Performance Fee)</w:t>
      </w:r>
      <w:r w:rsidR="00903C3A">
        <w:rPr>
          <w:rFonts w:cs="Arial"/>
        </w:rPr>
        <w:t>;</w:t>
      </w:r>
      <w:r>
        <w:rPr>
          <w:rFonts w:cs="Arial"/>
        </w:rPr>
        <w:t xml:space="preserve"> and (ii) the Average Market Capitalisation. </w:t>
      </w:r>
      <w:r w:rsidRPr="00CB6933">
        <w:rPr>
          <w:rFonts w:cs="Arial"/>
        </w:rPr>
        <w:t xml:space="preserve">The Management Fee is calculated and accrues </w:t>
      </w:r>
      <w:r w:rsidR="00413AAF">
        <w:rPr>
          <w:rFonts w:cs="Arial"/>
        </w:rPr>
        <w:t>monthly</w:t>
      </w:r>
      <w:r w:rsidRPr="00CB6933" w:rsidR="00413AAF">
        <w:rPr>
          <w:rFonts w:cs="Arial"/>
        </w:rPr>
        <w:t xml:space="preserve"> </w:t>
      </w:r>
      <w:r w:rsidRPr="00CB6933">
        <w:rPr>
          <w:rFonts w:cs="Arial"/>
        </w:rPr>
        <w:t>and shall be invoiced monthly</w:t>
      </w:r>
      <w:r>
        <w:rPr>
          <w:rFonts w:cs="Arial"/>
        </w:rPr>
        <w:t xml:space="preserve"> </w:t>
      </w:r>
      <w:r w:rsidRPr="00CB6933">
        <w:rPr>
          <w:rFonts w:cs="Arial"/>
        </w:rPr>
        <w:t>in arrears.</w:t>
      </w:r>
    </w:p>
    <w:tbl>
      <w:tblPr>
        <w:tblStyle w:val="TableGrid"/>
        <w:tblW w:w="0" w:type="auto"/>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29"/>
        <w:gridCol w:w="4316"/>
      </w:tblGrid>
      <w:tr w:rsidR="00040C8C" w:rsidTr="006F186B" w14:paraId="7280E8BE" w14:textId="77777777">
        <w:tc>
          <w:tcPr>
            <w:tcW w:w="4329" w:type="dxa"/>
          </w:tcPr>
          <w:p w:rsidRPr="009B666E" w:rsidR="00040C8C" w:rsidP="006F186B" w:rsidRDefault="00040C8C" w14:paraId="12B2E6D4" w14:textId="77777777">
            <w:pPr>
              <w:rPr>
                <w:rFonts w:cs="Arial"/>
                <w:b/>
                <w:bCs/>
              </w:rPr>
            </w:pPr>
            <w:r w:rsidRPr="009B666E">
              <w:rPr>
                <w:rFonts w:cs="Arial"/>
                <w:b/>
                <w:bCs/>
              </w:rPr>
              <w:t>Average Market Capitalisation</w:t>
            </w:r>
          </w:p>
        </w:tc>
        <w:tc>
          <w:tcPr>
            <w:tcW w:w="4316" w:type="dxa"/>
          </w:tcPr>
          <w:p w:rsidR="00040C8C" w:rsidP="006F186B" w:rsidRDefault="00040C8C" w14:paraId="744E14CD" w14:textId="7DE8279F">
            <w:pPr>
              <w:rPr>
                <w:rFonts w:cs="Arial"/>
              </w:rPr>
            </w:pPr>
            <w:r w:rsidRPr="00CB6933">
              <w:rPr>
                <w:rFonts w:cs="Arial"/>
              </w:rPr>
              <w:t>means in relation to each month where the Management</w:t>
            </w:r>
            <w:r>
              <w:rPr>
                <w:rFonts w:cs="Arial"/>
              </w:rPr>
              <w:t xml:space="preserve"> </w:t>
            </w:r>
            <w:r w:rsidRPr="00CB6933">
              <w:rPr>
                <w:rFonts w:cs="Arial"/>
              </w:rPr>
              <w:t>Fee is payable, the mean average of the Market Capitalisation for</w:t>
            </w:r>
            <w:r>
              <w:rPr>
                <w:rFonts w:cs="Arial"/>
              </w:rPr>
              <w:t xml:space="preserve"> </w:t>
            </w:r>
            <w:r w:rsidRPr="00CB6933">
              <w:rPr>
                <w:rFonts w:cs="Arial"/>
              </w:rPr>
              <w:t>each London Stock Exchange trading day of the relevant month;</w:t>
            </w:r>
          </w:p>
        </w:tc>
      </w:tr>
      <w:tr w:rsidR="00040C8C" w:rsidTr="006F186B" w14:paraId="37AE46CE" w14:textId="77777777">
        <w:tc>
          <w:tcPr>
            <w:tcW w:w="4329" w:type="dxa"/>
          </w:tcPr>
          <w:p w:rsidRPr="009B666E" w:rsidR="00040C8C" w:rsidP="006F186B" w:rsidRDefault="00040C8C" w14:paraId="566DACFE" w14:textId="77777777">
            <w:pPr>
              <w:rPr>
                <w:rFonts w:cs="Arial"/>
                <w:b/>
                <w:bCs/>
              </w:rPr>
            </w:pPr>
            <w:r w:rsidRPr="009B666E">
              <w:rPr>
                <w:rFonts w:cs="Arial"/>
                <w:b/>
                <w:bCs/>
              </w:rPr>
              <w:t>Market Capitalisation</w:t>
            </w:r>
          </w:p>
        </w:tc>
        <w:tc>
          <w:tcPr>
            <w:tcW w:w="4316" w:type="dxa"/>
          </w:tcPr>
          <w:p w:rsidRPr="00CB6933" w:rsidR="00040C8C" w:rsidP="006F186B" w:rsidRDefault="00040C8C" w14:paraId="489282BC" w14:textId="77777777">
            <w:pPr>
              <w:rPr>
                <w:rFonts w:cs="Arial"/>
              </w:rPr>
            </w:pPr>
            <w:r w:rsidRPr="009B666E">
              <w:rPr>
                <w:rFonts w:cs="Arial"/>
              </w:rPr>
              <w:t>for any day, the closing mid-market price of an Ordinary Share quoted by Bloomberg (or such other pricing service as may be agreed between the Company and the Investment Manager from time to time) multiplied by the number of Ordinary Shares in issue as at 5.30 p.m. (London time) on such day</w:t>
            </w:r>
            <w:r>
              <w:rPr>
                <w:rFonts w:cs="Arial"/>
              </w:rPr>
              <w:t>.</w:t>
            </w:r>
          </w:p>
        </w:tc>
      </w:tr>
    </w:tbl>
    <w:bookmarkEnd w:id="289"/>
    <w:p w:rsidRPr="00AD5876" w:rsidR="00AD5876" w:rsidP="00AD5876" w:rsidRDefault="00AD5876" w14:paraId="2BB6D3C2" w14:textId="7FEE9D55">
      <w:pPr>
        <w:ind w:left="709"/>
        <w:rPr>
          <w:rFonts w:cs="Arial" w:eastAsiaTheme="minorHAnsi"/>
          <w:lang w:eastAsia="en-US"/>
        </w:rPr>
      </w:pPr>
      <w:r w:rsidRPr="00AD5876">
        <w:rPr>
          <w:rFonts w:cs="Arial" w:eastAsiaTheme="minorHAnsi"/>
          <w:lang w:eastAsia="en-US"/>
        </w:rPr>
        <w:t>The Investment Manager shall be entitled to receive from the Company in respect of the services provided under this Agreement a Performance Fee in respect of each Performance Fee Period in which the Total Return NAV per Share on the Performance Fee Calculation Date referable to such Performance Fee Period exceeds the higher of: (a)</w:t>
      </w:r>
      <w:r>
        <w:rPr>
          <w:rFonts w:cs="Arial" w:eastAsiaTheme="minorHAnsi"/>
          <w:lang w:eastAsia="en-US"/>
        </w:rPr>
        <w:t xml:space="preserve"> </w:t>
      </w:r>
      <w:r w:rsidRPr="00AD5876">
        <w:rPr>
          <w:rFonts w:cs="Arial" w:eastAsiaTheme="minorHAnsi"/>
          <w:lang w:eastAsia="en-US"/>
        </w:rPr>
        <w:t>the Hurdle NAV per Share; or</w:t>
      </w:r>
      <w:r>
        <w:rPr>
          <w:rFonts w:cs="Arial" w:eastAsiaTheme="minorHAnsi"/>
          <w:lang w:eastAsia="en-US"/>
        </w:rPr>
        <w:t xml:space="preserve"> </w:t>
      </w:r>
      <w:r w:rsidRPr="00AD5876">
        <w:rPr>
          <w:rFonts w:cs="Arial" w:eastAsiaTheme="minorHAnsi"/>
          <w:lang w:eastAsia="en-US"/>
        </w:rPr>
        <w:t>(b)</w:t>
      </w:r>
      <w:r>
        <w:rPr>
          <w:rFonts w:cs="Arial" w:eastAsiaTheme="minorHAnsi"/>
          <w:lang w:eastAsia="en-US"/>
        </w:rPr>
        <w:t xml:space="preserve"> </w:t>
      </w:r>
      <w:r w:rsidRPr="00AD5876">
        <w:rPr>
          <w:rFonts w:cs="Arial" w:eastAsiaTheme="minorHAnsi"/>
          <w:lang w:eastAsia="en-US"/>
        </w:rPr>
        <w:t>the High Watermark.</w:t>
      </w:r>
    </w:p>
    <w:p w:rsidR="00DE13AF" w:rsidP="00AD5876" w:rsidRDefault="00AD5876" w14:paraId="4320E1FD" w14:textId="3E40CE25">
      <w:pPr>
        <w:ind w:left="709"/>
        <w:rPr>
          <w:rFonts w:cs="Arial" w:eastAsiaTheme="minorHAnsi"/>
          <w:lang w:eastAsia="en-US"/>
        </w:rPr>
      </w:pPr>
      <w:r w:rsidRPr="00AD5876">
        <w:rPr>
          <w:rFonts w:cs="Arial" w:eastAsiaTheme="minorHAnsi"/>
          <w:lang w:eastAsia="en-US"/>
        </w:rPr>
        <w:t xml:space="preserve">The Performance Fee payable in relation to any Performance Fee Period shall be the aggregate of </w:t>
      </w:r>
      <w:r w:rsidR="00FE3FD6">
        <w:rPr>
          <w:rFonts w:cs="Arial" w:eastAsiaTheme="minorHAnsi"/>
          <w:lang w:eastAsia="en-US"/>
        </w:rPr>
        <w:t>10</w:t>
      </w:r>
      <w:r w:rsidRPr="00AD5876">
        <w:rPr>
          <w:rFonts w:cs="Arial" w:eastAsiaTheme="minorHAnsi"/>
          <w:lang w:eastAsia="en-US"/>
        </w:rPr>
        <w:t xml:space="preserve"> per cent. of the amount (if any) by which the Total Return NAV per Share on the Performance Fee Calculation Date exceeds the higher of:</w:t>
      </w:r>
      <w:r>
        <w:rPr>
          <w:rFonts w:cs="Arial" w:eastAsiaTheme="minorHAnsi"/>
          <w:lang w:eastAsia="en-US"/>
        </w:rPr>
        <w:t xml:space="preserve"> </w:t>
      </w:r>
      <w:r w:rsidRPr="00AD5876">
        <w:rPr>
          <w:rFonts w:cs="Arial" w:eastAsiaTheme="minorHAnsi"/>
          <w:lang w:eastAsia="en-US"/>
        </w:rPr>
        <w:t>(a)</w:t>
      </w:r>
      <w:r>
        <w:rPr>
          <w:rFonts w:cs="Arial" w:eastAsiaTheme="minorHAnsi"/>
          <w:lang w:eastAsia="en-US"/>
        </w:rPr>
        <w:t xml:space="preserve"> </w:t>
      </w:r>
      <w:r w:rsidRPr="00AD5876">
        <w:rPr>
          <w:rFonts w:cs="Arial" w:eastAsiaTheme="minorHAnsi"/>
          <w:lang w:eastAsia="en-US"/>
        </w:rPr>
        <w:t>the Hurdle NAV per share; and</w:t>
      </w:r>
      <w:r>
        <w:rPr>
          <w:rFonts w:cs="Arial" w:eastAsiaTheme="minorHAnsi"/>
          <w:lang w:eastAsia="en-US"/>
        </w:rPr>
        <w:t xml:space="preserve"> </w:t>
      </w:r>
      <w:r w:rsidRPr="00AD5876">
        <w:rPr>
          <w:rFonts w:cs="Arial" w:eastAsiaTheme="minorHAnsi"/>
          <w:lang w:eastAsia="en-US"/>
        </w:rPr>
        <w:t>(b)</w:t>
      </w:r>
      <w:r>
        <w:rPr>
          <w:rFonts w:cs="Arial" w:eastAsiaTheme="minorHAnsi"/>
          <w:lang w:eastAsia="en-US"/>
        </w:rPr>
        <w:t xml:space="preserve"> </w:t>
      </w:r>
      <w:r w:rsidRPr="00AD5876">
        <w:rPr>
          <w:rFonts w:cs="Arial" w:eastAsiaTheme="minorHAnsi"/>
          <w:lang w:eastAsia="en-US"/>
        </w:rPr>
        <w:t>the High</w:t>
      </w:r>
      <w:r w:rsidR="00D56F21">
        <w:rPr>
          <w:rFonts w:cs="Arial" w:eastAsiaTheme="minorHAnsi"/>
          <w:lang w:eastAsia="en-US"/>
        </w:rPr>
        <w:t xml:space="preserve"> W</w:t>
      </w:r>
      <w:r w:rsidRPr="00AD5876">
        <w:rPr>
          <w:rFonts w:cs="Arial" w:eastAsiaTheme="minorHAnsi"/>
          <w:lang w:eastAsia="en-US"/>
        </w:rPr>
        <w:t>ater</w:t>
      </w:r>
      <w:r w:rsidR="00D56F21">
        <w:rPr>
          <w:rFonts w:cs="Arial" w:eastAsiaTheme="minorHAnsi"/>
          <w:lang w:eastAsia="en-US"/>
        </w:rPr>
        <w:t>m</w:t>
      </w:r>
      <w:r w:rsidRPr="00AD5876">
        <w:rPr>
          <w:rFonts w:cs="Arial" w:eastAsiaTheme="minorHAnsi"/>
          <w:lang w:eastAsia="en-US"/>
        </w:rPr>
        <w:t>ark</w:t>
      </w:r>
      <w:r>
        <w:rPr>
          <w:rFonts w:cs="Arial" w:eastAsiaTheme="minorHAnsi"/>
          <w:lang w:eastAsia="en-US"/>
        </w:rPr>
        <w:t xml:space="preserve">. </w:t>
      </w:r>
      <w:r w:rsidRPr="00AD5876">
        <w:rPr>
          <w:rFonts w:cs="Arial" w:eastAsiaTheme="minorHAnsi"/>
          <w:lang w:eastAsia="en-US"/>
        </w:rPr>
        <w:t xml:space="preserve">This amount will be multiplied by the time-weighted average number of </w:t>
      </w:r>
      <w:r>
        <w:rPr>
          <w:rFonts w:cs="Arial" w:eastAsiaTheme="minorHAnsi"/>
          <w:lang w:eastAsia="en-US"/>
        </w:rPr>
        <w:t xml:space="preserve">Ordinary </w:t>
      </w:r>
      <w:r w:rsidRPr="00AD5876">
        <w:rPr>
          <w:rFonts w:cs="Arial" w:eastAsiaTheme="minorHAnsi"/>
          <w:lang w:eastAsia="en-US"/>
        </w:rPr>
        <w:t>Shares in issue during the relevant Performance Fee Period.</w:t>
      </w:r>
    </w:p>
    <w:p w:rsidR="00AD5876" w:rsidP="00AD5876" w:rsidRDefault="00AD5876" w14:paraId="5B4D06D2" w14:textId="461C396D">
      <w:pPr>
        <w:ind w:left="709"/>
        <w:rPr>
          <w:rFonts w:cs="Arial" w:eastAsiaTheme="minorHAnsi"/>
          <w:lang w:eastAsia="en-US"/>
        </w:rPr>
      </w:pPr>
      <w:r>
        <w:rPr>
          <w:rFonts w:cs="Arial" w:eastAsiaTheme="minorHAnsi"/>
          <w:lang w:eastAsia="en-US"/>
        </w:rPr>
        <w:lastRenderedPageBreak/>
        <w:t>For the purpose of the calculation of the Performance Fee, the following terms have the following meanings:</w:t>
      </w:r>
    </w:p>
    <w:tbl>
      <w:tblPr>
        <w:tblStyle w:val="TableGrid"/>
        <w:tblW w:w="0" w:type="auto"/>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18"/>
        <w:gridCol w:w="4327"/>
      </w:tblGrid>
      <w:tr w:rsidR="00162592" w:rsidTr="00162592" w14:paraId="3AE3A014" w14:textId="77777777">
        <w:tc>
          <w:tcPr>
            <w:tcW w:w="4318" w:type="dxa"/>
          </w:tcPr>
          <w:p w:rsidRPr="00AD5876" w:rsidR="00162592" w:rsidP="00162592" w:rsidRDefault="00162592" w14:paraId="3E23DDD7" w14:textId="24FEAAE3">
            <w:pPr>
              <w:rPr>
                <w:rFonts w:cs="Arial" w:eastAsiaTheme="minorHAnsi"/>
                <w:lang w:eastAsia="en-US"/>
              </w:rPr>
            </w:pPr>
            <w:r w:rsidRPr="00AD5876">
              <w:rPr>
                <w:rFonts w:cs="Arial" w:eastAsiaTheme="minorHAnsi"/>
                <w:b/>
                <w:bCs/>
                <w:lang w:eastAsia="en-US"/>
              </w:rPr>
              <w:t>High Watermark</w:t>
            </w:r>
          </w:p>
          <w:p w:rsidR="00162592" w:rsidP="00162592" w:rsidRDefault="00162592" w14:paraId="51C6DBDD" w14:textId="77777777">
            <w:pPr>
              <w:rPr>
                <w:rFonts w:cs="Arial" w:eastAsiaTheme="minorHAnsi"/>
                <w:lang w:eastAsia="en-US"/>
              </w:rPr>
            </w:pPr>
          </w:p>
        </w:tc>
        <w:tc>
          <w:tcPr>
            <w:tcW w:w="4327" w:type="dxa"/>
          </w:tcPr>
          <w:p w:rsidRPr="00AD5876" w:rsidR="00162592" w:rsidP="00162592" w:rsidRDefault="00162592" w14:paraId="0102631E" w14:textId="77777777">
            <w:pPr>
              <w:rPr>
                <w:rFonts w:cs="Arial" w:eastAsiaTheme="minorHAnsi"/>
                <w:lang w:eastAsia="en-US"/>
              </w:rPr>
            </w:pPr>
            <w:r w:rsidRPr="00AD5876">
              <w:rPr>
                <w:rFonts w:cs="Arial" w:eastAsiaTheme="minorHAnsi"/>
                <w:lang w:eastAsia="en-US"/>
              </w:rPr>
              <w:t>(a)</w:t>
            </w:r>
            <w:r>
              <w:rPr>
                <w:rFonts w:cs="Arial" w:eastAsiaTheme="minorHAnsi"/>
                <w:lang w:eastAsia="en-US"/>
              </w:rPr>
              <w:t xml:space="preserve"> </w:t>
            </w:r>
            <w:r w:rsidRPr="00AD5876">
              <w:rPr>
                <w:rFonts w:cs="Arial" w:eastAsiaTheme="minorHAnsi"/>
                <w:lang w:eastAsia="en-US"/>
              </w:rPr>
              <w:t xml:space="preserve">the highest Total Return NAV per Share by reference to which a Performance Fee was previously paid, or </w:t>
            </w:r>
          </w:p>
          <w:p w:rsidRPr="00AD5876" w:rsidR="00162592" w:rsidP="00162592" w:rsidRDefault="00162592" w14:paraId="53A1197D" w14:textId="77777777">
            <w:pPr>
              <w:rPr>
                <w:rFonts w:cs="Arial" w:eastAsiaTheme="minorHAnsi"/>
                <w:lang w:eastAsia="en-US"/>
              </w:rPr>
            </w:pPr>
            <w:r w:rsidRPr="00AD5876">
              <w:rPr>
                <w:rFonts w:cs="Arial" w:eastAsiaTheme="minorHAnsi"/>
                <w:lang w:eastAsia="en-US"/>
              </w:rPr>
              <w:t>(b)</w:t>
            </w:r>
            <w:r>
              <w:rPr>
                <w:rFonts w:cs="Arial" w:eastAsiaTheme="minorHAnsi"/>
                <w:lang w:eastAsia="en-US"/>
              </w:rPr>
              <w:t xml:space="preserve"> </w:t>
            </w:r>
            <w:r w:rsidRPr="00AD5876">
              <w:rPr>
                <w:rFonts w:cs="Arial" w:eastAsiaTheme="minorHAnsi"/>
                <w:lang w:eastAsia="en-US"/>
              </w:rPr>
              <w:t xml:space="preserve">if no Performance Fee has previously been paid, 100p, </w:t>
            </w:r>
          </w:p>
          <w:p w:rsidR="00162592" w:rsidP="00162592" w:rsidRDefault="00162592" w14:paraId="665BB4F7" w14:textId="289EB272">
            <w:pPr>
              <w:rPr>
                <w:rFonts w:cs="Arial" w:eastAsiaTheme="minorHAnsi"/>
                <w:lang w:eastAsia="en-US"/>
              </w:rPr>
            </w:pPr>
            <w:r w:rsidRPr="00AD5876">
              <w:rPr>
                <w:rFonts w:cs="Arial" w:eastAsiaTheme="minorHAnsi"/>
                <w:lang w:eastAsia="en-US"/>
              </w:rPr>
              <w:t>in each case, reduced by the amount per Share of any dividends or returns of capital paid since, (</w:t>
            </w:r>
            <w:proofErr w:type="spellStart"/>
            <w:r w:rsidRPr="00AD5876">
              <w:rPr>
                <w:rFonts w:cs="Arial" w:eastAsiaTheme="minorHAnsi"/>
                <w:lang w:eastAsia="en-US"/>
              </w:rPr>
              <w:t>i</w:t>
            </w:r>
            <w:proofErr w:type="spellEnd"/>
            <w:r w:rsidRPr="00AD5876">
              <w:rPr>
                <w:rFonts w:cs="Arial" w:eastAsiaTheme="minorHAnsi"/>
                <w:lang w:eastAsia="en-US"/>
              </w:rPr>
              <w:t xml:space="preserve">) in the case of (a), the payment of such previous Performance Fee, or (ii) in the case of (b), </w:t>
            </w:r>
            <w:r w:rsidR="00054653">
              <w:rPr>
                <w:rFonts w:cs="Arial" w:eastAsiaTheme="minorHAnsi"/>
                <w:lang w:eastAsia="en-US"/>
              </w:rPr>
              <w:t xml:space="preserve">Initial </w:t>
            </w:r>
            <w:r w:rsidRPr="00AD5876">
              <w:rPr>
                <w:rFonts w:cs="Arial" w:eastAsiaTheme="minorHAnsi"/>
                <w:lang w:eastAsia="en-US"/>
              </w:rPr>
              <w:t>Admission.</w:t>
            </w:r>
          </w:p>
          <w:p w:rsidRPr="00AD5876" w:rsidR="00162592" w:rsidP="00162592" w:rsidRDefault="00162592" w14:paraId="54ED9E6D" w14:textId="673A43E4">
            <w:pPr>
              <w:rPr>
                <w:rFonts w:cs="Arial" w:eastAsiaTheme="minorHAnsi"/>
                <w:lang w:eastAsia="en-US"/>
              </w:rPr>
            </w:pPr>
            <w:r w:rsidRPr="00AD5876">
              <w:rPr>
                <w:rFonts w:cs="Arial" w:eastAsiaTheme="minorHAnsi"/>
                <w:lang w:eastAsia="en-US"/>
              </w:rPr>
              <w:t>The High Watermark will be adjusted for any capital re-organisation, rights issue, bonus share issue or similar changes in such a way as to ensure the economic result is fair and equitable to all parties.</w:t>
            </w:r>
          </w:p>
        </w:tc>
      </w:tr>
      <w:tr w:rsidR="00162592" w:rsidTr="00162592" w14:paraId="46D7319B" w14:textId="77777777">
        <w:tc>
          <w:tcPr>
            <w:tcW w:w="4318" w:type="dxa"/>
          </w:tcPr>
          <w:p w:rsidR="00162592" w:rsidP="00162592" w:rsidRDefault="00162592" w14:paraId="233690B6" w14:textId="50F99683">
            <w:pPr>
              <w:rPr>
                <w:rFonts w:cs="Arial" w:eastAsiaTheme="minorHAnsi"/>
                <w:lang w:eastAsia="en-US"/>
              </w:rPr>
            </w:pPr>
            <w:r w:rsidRPr="00AD5876">
              <w:rPr>
                <w:rFonts w:cs="Arial" w:eastAsiaTheme="minorHAnsi"/>
                <w:b/>
                <w:bCs/>
                <w:lang w:eastAsia="en-US"/>
              </w:rPr>
              <w:t>Hurdle NAV per Share</w:t>
            </w:r>
          </w:p>
        </w:tc>
        <w:tc>
          <w:tcPr>
            <w:tcW w:w="4327" w:type="dxa"/>
          </w:tcPr>
          <w:p w:rsidRPr="00AD5876" w:rsidR="00162592" w:rsidP="00162592" w:rsidRDefault="00162592" w14:paraId="4B6C8DF6" w14:textId="3B667095">
            <w:pPr>
              <w:rPr>
                <w:rFonts w:cs="Arial" w:eastAsiaTheme="minorHAnsi"/>
                <w:lang w:eastAsia="en-US"/>
              </w:rPr>
            </w:pPr>
            <w:r w:rsidRPr="00AD5876">
              <w:rPr>
                <w:rFonts w:cs="Arial" w:eastAsiaTheme="minorHAnsi"/>
                <w:lang w:eastAsia="en-US"/>
              </w:rPr>
              <w:t xml:space="preserve">at any Performance Fee Calculation Date an amount equal to no less than the higher of </w:t>
            </w:r>
            <w:r w:rsidR="00FE3FD6">
              <w:rPr>
                <w:rFonts w:cs="Arial" w:eastAsiaTheme="minorHAnsi"/>
                <w:lang w:eastAsia="en-US"/>
              </w:rPr>
              <w:t>10</w:t>
            </w:r>
            <w:r w:rsidRPr="00AD5876">
              <w:rPr>
                <w:rFonts w:cs="Arial" w:eastAsiaTheme="minorHAnsi"/>
                <w:lang w:eastAsia="en-US"/>
              </w:rPr>
              <w:t xml:space="preserve"> per cent. per annum (simple) above: </w:t>
            </w:r>
          </w:p>
          <w:p w:rsidRPr="00AD5876" w:rsidR="00162592" w:rsidP="00162592" w:rsidRDefault="00162592" w14:paraId="1E8F0530" w14:textId="7C2ADAD1">
            <w:pPr>
              <w:rPr>
                <w:rFonts w:cs="Arial" w:eastAsiaTheme="minorHAnsi"/>
                <w:lang w:eastAsia="en-US"/>
              </w:rPr>
            </w:pPr>
            <w:r w:rsidRPr="00AD5876">
              <w:rPr>
                <w:rFonts w:cs="Arial" w:eastAsiaTheme="minorHAnsi"/>
                <w:lang w:eastAsia="en-US"/>
              </w:rPr>
              <w:t>(a)</w:t>
            </w:r>
            <w:r>
              <w:rPr>
                <w:rFonts w:cs="Arial" w:eastAsiaTheme="minorHAnsi"/>
                <w:lang w:eastAsia="en-US"/>
              </w:rPr>
              <w:t xml:space="preserve"> </w:t>
            </w:r>
            <w:r w:rsidRPr="00AD5876">
              <w:rPr>
                <w:rFonts w:cs="Arial" w:eastAsiaTheme="minorHAnsi"/>
                <w:lang w:eastAsia="en-US"/>
              </w:rPr>
              <w:t xml:space="preserve">the Hurdle NAV per Share on the last preceding Performance Fee Calculation Date, or </w:t>
            </w:r>
          </w:p>
          <w:p w:rsidR="00162592" w:rsidP="00162592" w:rsidRDefault="00162592" w14:paraId="114DFA85" w14:textId="53F4A2E9">
            <w:pPr>
              <w:rPr>
                <w:rFonts w:cs="Arial" w:eastAsiaTheme="minorHAnsi"/>
                <w:lang w:eastAsia="en-US"/>
              </w:rPr>
            </w:pPr>
            <w:r w:rsidRPr="00AD5876">
              <w:rPr>
                <w:rFonts w:cs="Arial" w:eastAsiaTheme="minorHAnsi"/>
                <w:lang w:eastAsia="en-US"/>
              </w:rPr>
              <w:t>(b)</w:t>
            </w:r>
            <w:r>
              <w:rPr>
                <w:rFonts w:cs="Arial" w:eastAsiaTheme="minorHAnsi"/>
                <w:lang w:eastAsia="en-US"/>
              </w:rPr>
              <w:t xml:space="preserve"> </w:t>
            </w:r>
            <w:r w:rsidRPr="00AD5876">
              <w:rPr>
                <w:rFonts w:cs="Arial" w:eastAsiaTheme="minorHAnsi"/>
                <w:lang w:eastAsia="en-US"/>
              </w:rPr>
              <w:t xml:space="preserve">if there has not been a previous Performance Fee Calculation Date, 100p. </w:t>
            </w:r>
          </w:p>
          <w:p w:rsidRPr="00AD5876" w:rsidR="00162592" w:rsidP="00162592" w:rsidRDefault="00162592" w14:paraId="77906C12" w14:textId="77777777">
            <w:pPr>
              <w:rPr>
                <w:rFonts w:cs="Arial" w:eastAsiaTheme="minorHAnsi"/>
                <w:lang w:eastAsia="en-US"/>
              </w:rPr>
            </w:pPr>
            <w:r w:rsidRPr="00AD5876">
              <w:rPr>
                <w:rFonts w:cs="Arial" w:eastAsiaTheme="minorHAnsi"/>
                <w:lang w:eastAsia="en-US"/>
              </w:rPr>
              <w:t xml:space="preserve">For the purposes of the calculation, the Hurdle NAV per Share shall be reduced by the amount per Share of any dividends or returns of capital made during the relevant Performance Fee Period in the week that such dividend or return of capital is paid. </w:t>
            </w:r>
          </w:p>
          <w:p w:rsidR="00162592" w:rsidP="00162592" w:rsidRDefault="00162592" w14:paraId="7F5A50B5" w14:textId="58DCBB99">
            <w:pPr>
              <w:rPr>
                <w:rFonts w:cs="Arial" w:eastAsiaTheme="minorHAnsi"/>
                <w:lang w:eastAsia="en-US"/>
              </w:rPr>
            </w:pPr>
            <w:r w:rsidRPr="00AD5876">
              <w:rPr>
                <w:rFonts w:cs="Arial" w:eastAsiaTheme="minorHAnsi"/>
                <w:lang w:eastAsia="en-US"/>
              </w:rPr>
              <w:t xml:space="preserve">The Hurdle NAV per Share will be adjusted for any capital re-organisation, rights issue, bonus share issue or similar changes in such a way as to ensure the economic result is fair and equitable to all parties. </w:t>
            </w:r>
          </w:p>
        </w:tc>
      </w:tr>
      <w:tr w:rsidR="00162592" w:rsidTr="00162592" w14:paraId="5155EFEB" w14:textId="77777777">
        <w:tc>
          <w:tcPr>
            <w:tcW w:w="4318" w:type="dxa"/>
          </w:tcPr>
          <w:p w:rsidR="00162592" w:rsidP="00162592" w:rsidRDefault="00162592" w14:paraId="6968D0A2" w14:textId="0D561ACE">
            <w:pPr>
              <w:rPr>
                <w:rFonts w:cs="Arial" w:eastAsiaTheme="minorHAnsi"/>
                <w:lang w:eastAsia="en-US"/>
              </w:rPr>
            </w:pPr>
            <w:r w:rsidRPr="00AD5876">
              <w:rPr>
                <w:rFonts w:cs="Arial" w:eastAsiaTheme="minorHAnsi"/>
                <w:b/>
                <w:bCs/>
                <w:lang w:eastAsia="en-US"/>
              </w:rPr>
              <w:t>Performance Fee Calculation Date</w:t>
            </w:r>
          </w:p>
        </w:tc>
        <w:tc>
          <w:tcPr>
            <w:tcW w:w="4327" w:type="dxa"/>
          </w:tcPr>
          <w:p w:rsidRPr="00AD5876" w:rsidR="00162592" w:rsidP="00162592" w:rsidRDefault="00162592" w14:paraId="5F105A56" w14:textId="46C76BAC">
            <w:pPr>
              <w:rPr>
                <w:rFonts w:cs="Arial" w:eastAsiaTheme="minorHAnsi"/>
                <w:lang w:eastAsia="en-US"/>
              </w:rPr>
            </w:pPr>
            <w:r w:rsidRPr="00AD5876">
              <w:rPr>
                <w:rFonts w:cs="Arial" w:eastAsiaTheme="minorHAnsi"/>
                <w:lang w:eastAsia="en-US"/>
              </w:rPr>
              <w:t>(a)</w:t>
            </w:r>
            <w:r>
              <w:rPr>
                <w:rFonts w:cs="Arial" w:eastAsiaTheme="minorHAnsi"/>
                <w:lang w:eastAsia="en-US"/>
              </w:rPr>
              <w:t xml:space="preserve"> </w:t>
            </w:r>
            <w:r w:rsidRPr="00AD5876">
              <w:rPr>
                <w:rFonts w:cs="Arial" w:eastAsiaTheme="minorHAnsi"/>
                <w:lang w:eastAsia="en-US"/>
              </w:rPr>
              <w:t>each Redemption Notice Date; and</w:t>
            </w:r>
          </w:p>
          <w:p w:rsidRPr="00AD5876" w:rsidR="00162592" w:rsidP="00162592" w:rsidRDefault="00162592" w14:paraId="7518BEA0" w14:textId="310B16A3">
            <w:pPr>
              <w:rPr>
                <w:rFonts w:cs="Arial" w:eastAsiaTheme="minorHAnsi"/>
                <w:lang w:eastAsia="en-US"/>
              </w:rPr>
            </w:pPr>
            <w:r w:rsidRPr="00AD5876">
              <w:rPr>
                <w:rFonts w:cs="Arial" w:eastAsiaTheme="minorHAnsi"/>
                <w:lang w:eastAsia="en-US"/>
              </w:rPr>
              <w:t>(b)</w:t>
            </w:r>
            <w:r>
              <w:rPr>
                <w:rFonts w:cs="Arial" w:eastAsiaTheme="minorHAnsi"/>
                <w:lang w:eastAsia="en-US"/>
              </w:rPr>
              <w:t xml:space="preserve"> </w:t>
            </w:r>
            <w:r w:rsidRPr="00AD5876">
              <w:rPr>
                <w:rFonts w:cs="Arial" w:eastAsiaTheme="minorHAnsi"/>
                <w:lang w:eastAsia="en-US"/>
              </w:rPr>
              <w:t>the Termination Date.</w:t>
            </w:r>
          </w:p>
        </w:tc>
      </w:tr>
      <w:tr w:rsidR="00162592" w:rsidTr="00162592" w14:paraId="592B847E" w14:textId="77777777">
        <w:tc>
          <w:tcPr>
            <w:tcW w:w="4318" w:type="dxa"/>
          </w:tcPr>
          <w:p w:rsidRPr="00AD5876" w:rsidR="00162592" w:rsidP="00162592" w:rsidRDefault="00162592" w14:paraId="08CFD1A7" w14:textId="60D58933">
            <w:pPr>
              <w:rPr>
                <w:rFonts w:cs="Arial" w:eastAsiaTheme="minorHAnsi"/>
                <w:lang w:eastAsia="en-US"/>
              </w:rPr>
            </w:pPr>
            <w:r w:rsidRPr="00AD5876">
              <w:rPr>
                <w:rFonts w:cs="Arial" w:eastAsiaTheme="minorHAnsi"/>
                <w:b/>
                <w:bCs/>
                <w:lang w:eastAsia="en-US"/>
              </w:rPr>
              <w:t>Performance Fee Period</w:t>
            </w:r>
          </w:p>
        </w:tc>
        <w:tc>
          <w:tcPr>
            <w:tcW w:w="4327" w:type="dxa"/>
          </w:tcPr>
          <w:p w:rsidR="00162592" w:rsidP="00162592" w:rsidRDefault="00162592" w14:paraId="55CDFAA4" w14:textId="371E3335">
            <w:pPr>
              <w:rPr>
                <w:rFonts w:cs="Arial" w:eastAsiaTheme="minorHAnsi"/>
                <w:lang w:eastAsia="en-US"/>
              </w:rPr>
            </w:pPr>
            <w:r w:rsidRPr="00AD5876">
              <w:rPr>
                <w:rFonts w:cs="Arial" w:eastAsiaTheme="minorHAnsi"/>
                <w:lang w:eastAsia="en-US"/>
              </w:rPr>
              <w:t>(</w:t>
            </w:r>
            <w:r>
              <w:rPr>
                <w:rFonts w:cs="Arial" w:eastAsiaTheme="minorHAnsi"/>
                <w:lang w:eastAsia="en-US"/>
              </w:rPr>
              <w:t>a</w:t>
            </w:r>
            <w:r w:rsidRPr="00AD5876">
              <w:rPr>
                <w:rFonts w:cs="Arial" w:eastAsiaTheme="minorHAnsi"/>
                <w:lang w:eastAsia="en-US"/>
              </w:rPr>
              <w:t xml:space="preserve">) the period commencing on </w:t>
            </w:r>
            <w:r w:rsidR="00054653">
              <w:rPr>
                <w:rFonts w:cs="Arial" w:eastAsiaTheme="minorHAnsi"/>
                <w:lang w:eastAsia="en-US"/>
              </w:rPr>
              <w:t xml:space="preserve">Initial </w:t>
            </w:r>
            <w:r w:rsidRPr="00AD5876">
              <w:rPr>
                <w:rFonts w:cs="Arial" w:eastAsiaTheme="minorHAnsi"/>
                <w:lang w:eastAsia="en-US"/>
              </w:rPr>
              <w:t xml:space="preserve">Admission and ending on the first Redemption Notice Date, and </w:t>
            </w:r>
          </w:p>
          <w:p w:rsidRPr="00AD5876" w:rsidR="00162592" w:rsidP="00162592" w:rsidRDefault="00162592" w14:paraId="27AAA93E" w14:textId="6856C9E5">
            <w:pPr>
              <w:rPr>
                <w:rFonts w:cs="Arial" w:eastAsiaTheme="minorHAnsi"/>
                <w:lang w:eastAsia="en-US"/>
              </w:rPr>
            </w:pPr>
            <w:r w:rsidRPr="00AD5876">
              <w:rPr>
                <w:rFonts w:cs="Arial" w:eastAsiaTheme="minorHAnsi"/>
                <w:lang w:eastAsia="en-US"/>
              </w:rPr>
              <w:t>(</w:t>
            </w:r>
            <w:r>
              <w:rPr>
                <w:rFonts w:cs="Arial" w:eastAsiaTheme="minorHAnsi"/>
                <w:lang w:eastAsia="en-US"/>
              </w:rPr>
              <w:t>b</w:t>
            </w:r>
            <w:r w:rsidRPr="00AD5876">
              <w:rPr>
                <w:rFonts w:cs="Arial" w:eastAsiaTheme="minorHAnsi"/>
                <w:lang w:eastAsia="en-US"/>
              </w:rPr>
              <w:t>) thereafter, in each case, the period commencing on the first business day following a Redemption Notice Date and ending on the earlier to occur of: (</w:t>
            </w:r>
            <w:proofErr w:type="spellStart"/>
            <w:r>
              <w:rPr>
                <w:rFonts w:cs="Arial" w:eastAsiaTheme="minorHAnsi"/>
                <w:lang w:eastAsia="en-US"/>
              </w:rPr>
              <w:t>i</w:t>
            </w:r>
            <w:proofErr w:type="spellEnd"/>
            <w:r w:rsidRPr="00AD5876">
              <w:rPr>
                <w:rFonts w:cs="Arial" w:eastAsiaTheme="minorHAnsi"/>
                <w:lang w:eastAsia="en-US"/>
              </w:rPr>
              <w:t>) the next following Redemption Notice Date, or (</w:t>
            </w:r>
            <w:r>
              <w:rPr>
                <w:rFonts w:cs="Arial" w:eastAsiaTheme="minorHAnsi"/>
                <w:lang w:eastAsia="en-US"/>
              </w:rPr>
              <w:t>ii</w:t>
            </w:r>
            <w:r w:rsidRPr="00AD5876">
              <w:rPr>
                <w:rFonts w:cs="Arial" w:eastAsiaTheme="minorHAnsi"/>
                <w:lang w:eastAsia="en-US"/>
              </w:rPr>
              <w:t>) the Termination Date.</w:t>
            </w:r>
          </w:p>
        </w:tc>
      </w:tr>
      <w:tr w:rsidR="00162592" w:rsidTr="00162592" w14:paraId="5CF07100" w14:textId="77777777">
        <w:tc>
          <w:tcPr>
            <w:tcW w:w="4318" w:type="dxa"/>
          </w:tcPr>
          <w:p w:rsidR="00162592" w:rsidP="00162592" w:rsidRDefault="00162592" w14:paraId="5301BEEC" w14:textId="631F2706">
            <w:pPr>
              <w:rPr>
                <w:rFonts w:cs="Arial" w:eastAsiaTheme="minorHAnsi"/>
                <w:lang w:eastAsia="en-US"/>
              </w:rPr>
            </w:pPr>
            <w:r w:rsidRPr="00AD5876">
              <w:rPr>
                <w:rFonts w:cs="Arial" w:eastAsiaTheme="minorHAnsi"/>
                <w:b/>
                <w:bCs/>
                <w:lang w:eastAsia="en-US"/>
              </w:rPr>
              <w:lastRenderedPageBreak/>
              <w:t>Redemption Notice Date</w:t>
            </w:r>
          </w:p>
        </w:tc>
        <w:tc>
          <w:tcPr>
            <w:tcW w:w="4327" w:type="dxa"/>
          </w:tcPr>
          <w:p w:rsidRPr="00AD5876" w:rsidR="00162592" w:rsidP="00162592" w:rsidRDefault="00162592" w14:paraId="05064778" w14:textId="7C79D6F7">
            <w:pPr>
              <w:rPr>
                <w:rFonts w:cs="Arial" w:eastAsiaTheme="minorHAnsi"/>
                <w:lang w:eastAsia="en-US"/>
              </w:rPr>
            </w:pPr>
            <w:r w:rsidRPr="00AD5876">
              <w:rPr>
                <w:rFonts w:cs="Arial" w:eastAsiaTheme="minorHAnsi"/>
                <w:lang w:eastAsia="en-US"/>
              </w:rPr>
              <w:t>means each date on which the Company announces an offer to redeem Shares pursuant to the Redemption Mechanism with an aggregate value equivalent to at least 30 per cent. of the Net Asset Value as at the date of such announcement.</w:t>
            </w:r>
          </w:p>
        </w:tc>
      </w:tr>
      <w:tr w:rsidR="00162592" w:rsidTr="00162592" w14:paraId="19B1A817" w14:textId="77777777">
        <w:tc>
          <w:tcPr>
            <w:tcW w:w="4318" w:type="dxa"/>
          </w:tcPr>
          <w:p w:rsidR="00162592" w:rsidP="00162592" w:rsidRDefault="00162592" w14:paraId="2259DD9F" w14:textId="671A617C">
            <w:pPr>
              <w:rPr>
                <w:rFonts w:cs="Arial" w:eastAsiaTheme="minorHAnsi"/>
                <w:lang w:eastAsia="en-US"/>
              </w:rPr>
            </w:pPr>
            <w:r w:rsidRPr="00AD5876">
              <w:rPr>
                <w:rFonts w:cs="Arial" w:eastAsiaTheme="minorHAnsi"/>
                <w:b/>
                <w:bCs/>
                <w:lang w:eastAsia="en-US"/>
              </w:rPr>
              <w:t>Termination Date</w:t>
            </w:r>
          </w:p>
        </w:tc>
        <w:tc>
          <w:tcPr>
            <w:tcW w:w="4327" w:type="dxa"/>
          </w:tcPr>
          <w:p w:rsidRPr="00AD5876" w:rsidR="00162592" w:rsidP="00162592" w:rsidRDefault="00162592" w14:paraId="6C97E178" w14:textId="7CE68828">
            <w:pPr>
              <w:rPr>
                <w:rFonts w:cs="Arial" w:eastAsiaTheme="minorHAnsi"/>
                <w:lang w:eastAsia="en-US"/>
              </w:rPr>
            </w:pPr>
            <w:r w:rsidRPr="00AD5876">
              <w:rPr>
                <w:rFonts w:cs="Arial" w:eastAsiaTheme="minorHAnsi"/>
                <w:lang w:eastAsia="en-US"/>
              </w:rPr>
              <w:t>the date of termination of this Agreement in accordance with its terms.</w:t>
            </w:r>
          </w:p>
        </w:tc>
      </w:tr>
      <w:tr w:rsidR="00162592" w:rsidTr="00162592" w14:paraId="3A0F964B" w14:textId="77777777">
        <w:tc>
          <w:tcPr>
            <w:tcW w:w="4318" w:type="dxa"/>
          </w:tcPr>
          <w:p w:rsidR="00162592" w:rsidP="00162592" w:rsidRDefault="00162592" w14:paraId="0CBB4708" w14:textId="6F491237">
            <w:pPr>
              <w:rPr>
                <w:rFonts w:cs="Arial" w:eastAsiaTheme="minorHAnsi"/>
                <w:lang w:eastAsia="en-US"/>
              </w:rPr>
            </w:pPr>
            <w:r w:rsidRPr="00162592">
              <w:rPr>
                <w:rFonts w:cs="Arial" w:eastAsiaTheme="minorHAnsi"/>
                <w:b/>
                <w:bCs/>
                <w:lang w:eastAsia="en-US"/>
              </w:rPr>
              <w:t>Total Return NAV per Share</w:t>
            </w:r>
          </w:p>
        </w:tc>
        <w:tc>
          <w:tcPr>
            <w:tcW w:w="4327" w:type="dxa"/>
          </w:tcPr>
          <w:p w:rsidRPr="00AD5876" w:rsidR="00162592" w:rsidP="00162592" w:rsidRDefault="00162592" w14:paraId="50A216D5" w14:textId="77777777">
            <w:pPr>
              <w:rPr>
                <w:rFonts w:cs="Arial" w:eastAsiaTheme="minorHAnsi"/>
                <w:lang w:eastAsia="en-US"/>
              </w:rPr>
            </w:pPr>
            <w:r w:rsidRPr="00AD5876">
              <w:rPr>
                <w:rFonts w:cs="Arial" w:eastAsiaTheme="minorHAnsi"/>
                <w:lang w:eastAsia="en-US"/>
              </w:rPr>
              <w:t>as at any Performance Fee Calculation Date the Net Asset Value per Share at that date calculated (on a non-consolidated basis) in accordance with the Company's accounting policies as set out in its most recent audited accounts or as otherwise agreed between the Company and the Investment Manager but adjusted by:</w:t>
            </w:r>
          </w:p>
          <w:p w:rsidRPr="00AD5876" w:rsidR="00162592" w:rsidP="00162592" w:rsidRDefault="00162592" w14:paraId="7552D2A6" w14:textId="77DF5576">
            <w:pPr>
              <w:rPr>
                <w:rFonts w:cs="Arial" w:eastAsiaTheme="minorHAnsi"/>
                <w:lang w:eastAsia="en-US"/>
              </w:rPr>
            </w:pPr>
            <w:r w:rsidRPr="00AD5876">
              <w:rPr>
                <w:rFonts w:cs="Arial" w:eastAsiaTheme="minorHAnsi"/>
                <w:lang w:eastAsia="en-US"/>
              </w:rPr>
              <w:t>(a)</w:t>
            </w:r>
            <w:r>
              <w:rPr>
                <w:rFonts w:cs="Arial" w:eastAsiaTheme="minorHAnsi"/>
                <w:lang w:eastAsia="en-US"/>
              </w:rPr>
              <w:t xml:space="preserve"> </w:t>
            </w:r>
            <w:r w:rsidRPr="00AD5876">
              <w:rPr>
                <w:rFonts w:cs="Arial" w:eastAsiaTheme="minorHAnsi"/>
                <w:lang w:eastAsia="en-US"/>
              </w:rPr>
              <w:t>deducting any accrual for any Investment Management Fee due and payable on such Performance Fee Calculation Date or which will become due and payable on delivery of an appropriate invoice by the Investment Manager in respect of the Performance Fee Period ending on that Performance Fee Calculation Date; and</w:t>
            </w:r>
          </w:p>
          <w:p w:rsidRPr="00AD5876" w:rsidR="00162592" w:rsidP="00162592" w:rsidRDefault="00162592" w14:paraId="07A0ACBD" w14:textId="76531866">
            <w:pPr>
              <w:rPr>
                <w:rFonts w:cs="Arial" w:eastAsiaTheme="minorHAnsi"/>
                <w:lang w:eastAsia="en-US"/>
              </w:rPr>
            </w:pPr>
            <w:r w:rsidRPr="00AD5876">
              <w:rPr>
                <w:rFonts w:cs="Arial" w:eastAsiaTheme="minorHAnsi"/>
                <w:lang w:eastAsia="en-US"/>
              </w:rPr>
              <w:t>(b)</w:t>
            </w:r>
            <w:r>
              <w:rPr>
                <w:rFonts w:cs="Arial" w:eastAsiaTheme="minorHAnsi"/>
                <w:lang w:eastAsia="en-US"/>
              </w:rPr>
              <w:t xml:space="preserve"> </w:t>
            </w:r>
            <w:r w:rsidRPr="00AD5876">
              <w:rPr>
                <w:rFonts w:cs="Arial" w:eastAsiaTheme="minorHAnsi"/>
                <w:lang w:eastAsia="en-US"/>
              </w:rPr>
              <w:t>adding back any accrual of any Performance Fee payable in respect of the Performance Fee Period ending on such Performance Fee Calculation Date.</w:t>
            </w:r>
          </w:p>
        </w:tc>
      </w:tr>
    </w:tbl>
    <w:p w:rsidR="00EB2825" w:rsidP="00C27D12" w:rsidRDefault="002152A6" w14:paraId="1CCA7717" w14:textId="4275A0CF">
      <w:pPr>
        <w:ind w:left="709"/>
        <w:rPr>
          <w:rFonts w:cs="Arial" w:eastAsiaTheme="minorHAnsi"/>
          <w:lang w:eastAsia="en-US"/>
        </w:rPr>
      </w:pPr>
      <w:r w:rsidRPr="00DE5D68">
        <w:rPr>
          <w:rFonts w:cs="Arial" w:eastAsiaTheme="minorHAnsi"/>
          <w:lang w:eastAsia="en-US"/>
        </w:rPr>
        <w:t xml:space="preserve">The Investment Management Agreement is subject to termination on not less than </w:t>
      </w:r>
      <w:r w:rsidR="00044E36">
        <w:rPr>
          <w:rFonts w:cs="Arial" w:eastAsiaTheme="minorHAnsi"/>
          <w:lang w:eastAsia="en-US"/>
        </w:rPr>
        <w:t>6</w:t>
      </w:r>
      <w:r w:rsidRPr="00DE5D68">
        <w:rPr>
          <w:rFonts w:cs="Arial" w:eastAsiaTheme="minorHAnsi"/>
          <w:lang w:eastAsia="en-US"/>
        </w:rPr>
        <w:t xml:space="preserve"> months' written notice by either party</w:t>
      </w:r>
      <w:r w:rsidR="00162592">
        <w:rPr>
          <w:rFonts w:cs="Arial" w:eastAsiaTheme="minorHAnsi"/>
          <w:lang w:eastAsia="en-US"/>
        </w:rPr>
        <w:t xml:space="preserve">, such notice not to be served until the </w:t>
      </w:r>
      <w:r w:rsidR="00EB2825">
        <w:rPr>
          <w:rFonts w:cs="Arial" w:eastAsiaTheme="minorHAnsi"/>
          <w:lang w:eastAsia="en-US"/>
        </w:rPr>
        <w:t xml:space="preserve">first anniversary of </w:t>
      </w:r>
      <w:r w:rsidR="00054653">
        <w:rPr>
          <w:rFonts w:cs="Arial" w:eastAsiaTheme="minorHAnsi"/>
          <w:lang w:eastAsia="en-US"/>
        </w:rPr>
        <w:t xml:space="preserve">Initial </w:t>
      </w:r>
      <w:r w:rsidR="00EB2825">
        <w:rPr>
          <w:rFonts w:cs="Arial" w:eastAsiaTheme="minorHAnsi"/>
          <w:lang w:eastAsia="en-US"/>
        </w:rPr>
        <w:t>Admission</w:t>
      </w:r>
      <w:r w:rsidRPr="00DE5D68">
        <w:rPr>
          <w:rFonts w:cs="Arial" w:eastAsiaTheme="minorHAnsi"/>
          <w:lang w:eastAsia="en-US"/>
        </w:rPr>
        <w:t xml:space="preserve">. </w:t>
      </w:r>
    </w:p>
    <w:p w:rsidR="00EB2825" w:rsidP="00C27D12" w:rsidRDefault="002152A6" w14:paraId="116DC9CF" w14:textId="282D823B">
      <w:pPr>
        <w:ind w:left="709"/>
        <w:rPr>
          <w:rFonts w:cs="Arial" w:eastAsiaTheme="minorHAnsi"/>
          <w:lang w:eastAsia="en-US"/>
        </w:rPr>
      </w:pPr>
      <w:r w:rsidRPr="00DE5D68">
        <w:rPr>
          <w:rFonts w:cs="Arial" w:eastAsiaTheme="minorHAnsi"/>
          <w:lang w:eastAsia="en-US"/>
        </w:rPr>
        <w:t xml:space="preserve">The </w:t>
      </w:r>
      <w:r w:rsidRPr="00DE5D68" w:rsidR="00CD6A69">
        <w:rPr>
          <w:rFonts w:cs="Arial" w:eastAsiaTheme="minorHAnsi"/>
          <w:lang w:eastAsia="en-US"/>
        </w:rPr>
        <w:t>Investment Management</w:t>
      </w:r>
      <w:r w:rsidRPr="00DE5D68">
        <w:rPr>
          <w:rFonts w:cs="Arial" w:eastAsiaTheme="minorHAnsi"/>
          <w:lang w:eastAsia="en-US"/>
        </w:rPr>
        <w:t xml:space="preserve"> Agreement can </w:t>
      </w:r>
      <w:r w:rsidR="00EB2825">
        <w:rPr>
          <w:rFonts w:cs="Arial" w:eastAsiaTheme="minorHAnsi"/>
          <w:lang w:eastAsia="en-US"/>
        </w:rPr>
        <w:t xml:space="preserve">also </w:t>
      </w:r>
      <w:r w:rsidRPr="00DE5D68">
        <w:rPr>
          <w:rFonts w:cs="Arial" w:eastAsiaTheme="minorHAnsi"/>
          <w:lang w:eastAsia="en-US"/>
        </w:rPr>
        <w:t xml:space="preserve">be terminated at any time </w:t>
      </w:r>
      <w:r w:rsidR="00EB2825">
        <w:rPr>
          <w:rFonts w:cs="Arial" w:eastAsiaTheme="minorHAnsi"/>
          <w:lang w:eastAsia="en-US"/>
        </w:rPr>
        <w:t>on the occurrence of certain events including, but not limited to:</w:t>
      </w:r>
    </w:p>
    <w:p w:rsidR="00EB2825" w:rsidP="00C27D12" w:rsidRDefault="00EB2825" w14:paraId="4792CC0C" w14:textId="3EE8756C">
      <w:pPr>
        <w:ind w:left="709"/>
        <w:rPr>
          <w:rFonts w:cs="Arial" w:eastAsiaTheme="minorHAnsi"/>
          <w:lang w:eastAsia="en-US"/>
        </w:rPr>
      </w:pPr>
      <w:r>
        <w:rPr>
          <w:rFonts w:cs="Arial" w:eastAsiaTheme="minorHAnsi"/>
          <w:lang w:eastAsia="en-US"/>
        </w:rPr>
        <w:t xml:space="preserve">(a) in the event that the Company or the Investment Manager commits </w:t>
      </w:r>
      <w:r w:rsidRPr="00EB2825">
        <w:rPr>
          <w:rFonts w:cs="Arial" w:eastAsiaTheme="minorHAnsi"/>
          <w:lang w:eastAsia="en-US"/>
        </w:rPr>
        <w:t>any material breach of its obligations under th</w:t>
      </w:r>
      <w:r>
        <w:rPr>
          <w:rFonts w:cs="Arial" w:eastAsiaTheme="minorHAnsi"/>
          <w:lang w:eastAsia="en-US"/>
        </w:rPr>
        <w:t>e Investment Management A</w:t>
      </w:r>
      <w:r w:rsidRPr="00EB2825">
        <w:rPr>
          <w:rFonts w:cs="Arial" w:eastAsiaTheme="minorHAnsi"/>
          <w:lang w:eastAsia="en-US"/>
        </w:rPr>
        <w:t xml:space="preserve">greement and if such breach is capable of being made good, shall fail to make good such breach within 30 days of receipt of written notice from the </w:t>
      </w:r>
      <w:r>
        <w:rPr>
          <w:rFonts w:cs="Arial" w:eastAsiaTheme="minorHAnsi"/>
          <w:lang w:eastAsia="en-US"/>
        </w:rPr>
        <w:t>n</w:t>
      </w:r>
      <w:r w:rsidRPr="00EB2825">
        <w:rPr>
          <w:rFonts w:cs="Arial" w:eastAsiaTheme="minorHAnsi"/>
          <w:lang w:eastAsia="en-US"/>
        </w:rPr>
        <w:t xml:space="preserve">otifying </w:t>
      </w:r>
      <w:r>
        <w:rPr>
          <w:rFonts w:cs="Arial" w:eastAsiaTheme="minorHAnsi"/>
          <w:lang w:eastAsia="en-US"/>
        </w:rPr>
        <w:t>p</w:t>
      </w:r>
      <w:r w:rsidRPr="00EB2825">
        <w:rPr>
          <w:rFonts w:cs="Arial" w:eastAsiaTheme="minorHAnsi"/>
          <w:lang w:eastAsia="en-US"/>
        </w:rPr>
        <w:t xml:space="preserve">arty requiring it so to </w:t>
      </w:r>
      <w:proofErr w:type="gramStart"/>
      <w:r w:rsidRPr="00EB2825">
        <w:rPr>
          <w:rFonts w:cs="Arial" w:eastAsiaTheme="minorHAnsi"/>
          <w:lang w:eastAsia="en-US"/>
        </w:rPr>
        <w:t>do</w:t>
      </w:r>
      <w:r>
        <w:rPr>
          <w:rFonts w:cs="Arial" w:eastAsiaTheme="minorHAnsi"/>
          <w:lang w:eastAsia="en-US"/>
        </w:rPr>
        <w:t>;</w:t>
      </w:r>
      <w:proofErr w:type="gramEnd"/>
    </w:p>
    <w:p w:rsidR="00EB2825" w:rsidP="00C27D12" w:rsidRDefault="00EB2825" w14:paraId="13637ABB" w14:textId="396AD4CD">
      <w:pPr>
        <w:ind w:left="709"/>
        <w:rPr>
          <w:rFonts w:cs="Arial" w:eastAsiaTheme="minorHAnsi"/>
          <w:lang w:eastAsia="en-US"/>
        </w:rPr>
      </w:pPr>
      <w:r>
        <w:rPr>
          <w:rFonts w:cs="Arial" w:eastAsiaTheme="minorHAnsi"/>
          <w:lang w:eastAsia="en-US"/>
        </w:rPr>
        <w:t xml:space="preserve">(b) </w:t>
      </w:r>
      <w:r w:rsidRPr="00DE5D68">
        <w:rPr>
          <w:rFonts w:cs="Arial" w:eastAsiaTheme="minorHAnsi"/>
          <w:lang w:eastAsia="en-US"/>
        </w:rPr>
        <w:t xml:space="preserve">in the event of the insolvency of the Company </w:t>
      </w:r>
      <w:r w:rsidRPr="00DE5D68">
        <w:rPr>
          <w:rFonts w:cs="Arial"/>
        </w:rPr>
        <w:t>or</w:t>
      </w:r>
      <w:r w:rsidRPr="00DE5D68">
        <w:rPr>
          <w:rFonts w:cs="Arial" w:eastAsiaTheme="minorHAnsi"/>
          <w:lang w:eastAsia="en-US"/>
        </w:rPr>
        <w:t xml:space="preserve"> the Investment Manager</w:t>
      </w:r>
      <w:r>
        <w:rPr>
          <w:rFonts w:cs="Arial" w:eastAsiaTheme="minorHAnsi"/>
          <w:lang w:eastAsia="en-US"/>
        </w:rPr>
        <w:t>;</w:t>
      </w:r>
    </w:p>
    <w:p w:rsidR="00EB2825" w:rsidP="00C27D12" w:rsidRDefault="00EB2825" w14:paraId="0D93740E" w14:textId="3F053382">
      <w:pPr>
        <w:ind w:left="709"/>
        <w:rPr>
          <w:rFonts w:cs="Arial" w:eastAsiaTheme="minorHAnsi"/>
          <w:lang w:eastAsia="en-US"/>
        </w:rPr>
      </w:pPr>
      <w:r>
        <w:rPr>
          <w:rFonts w:cs="Arial" w:eastAsiaTheme="minorHAnsi"/>
          <w:lang w:eastAsia="en-US"/>
        </w:rPr>
        <w:t xml:space="preserve">(c) </w:t>
      </w:r>
      <w:r w:rsidRPr="00DE5D68">
        <w:rPr>
          <w:rFonts w:cs="Arial" w:eastAsiaTheme="minorHAnsi"/>
          <w:lang w:eastAsia="en-US"/>
        </w:rPr>
        <w:t xml:space="preserve">or in the event that the Investment Manager ceases to be authorised and regulated by the </w:t>
      </w:r>
      <w:r>
        <w:rPr>
          <w:rFonts w:cs="Arial" w:eastAsiaTheme="minorHAnsi"/>
          <w:lang w:eastAsia="en-US"/>
        </w:rPr>
        <w:t>Gibraltar Financial Services Commission</w:t>
      </w:r>
      <w:r w:rsidRPr="00DE5D68">
        <w:rPr>
          <w:rFonts w:cs="Arial" w:eastAsiaTheme="minorHAnsi"/>
          <w:lang w:eastAsia="en-US"/>
        </w:rPr>
        <w:t xml:space="preserve"> (if required to be so authorised and regulated to continue to carry out its duties under the Investment Management Agreement</w:t>
      </w:r>
      <w:proofErr w:type="gramStart"/>
      <w:r w:rsidRPr="00DE5D68">
        <w:rPr>
          <w:rFonts w:cs="Arial" w:eastAsiaTheme="minorHAnsi"/>
          <w:lang w:eastAsia="en-US"/>
        </w:rPr>
        <w:t>)</w:t>
      </w:r>
      <w:r>
        <w:rPr>
          <w:rFonts w:cs="Arial" w:eastAsiaTheme="minorHAnsi"/>
          <w:lang w:eastAsia="en-US"/>
        </w:rPr>
        <w:t>;</w:t>
      </w:r>
      <w:proofErr w:type="gramEnd"/>
    </w:p>
    <w:p w:rsidRPr="00EB2825" w:rsidR="002152A6" w:rsidP="00EB2825" w:rsidRDefault="00EB2825" w14:paraId="18CF9CFA" w14:textId="01574C34">
      <w:pPr>
        <w:ind w:left="709"/>
        <w:rPr>
          <w:rFonts w:cs="Arial" w:eastAsiaTheme="minorHAnsi"/>
          <w:lang w:eastAsia="en-US"/>
        </w:rPr>
      </w:pPr>
      <w:r>
        <w:rPr>
          <w:rFonts w:cs="Arial" w:eastAsiaTheme="minorHAnsi"/>
          <w:lang w:eastAsia="en-US"/>
        </w:rPr>
        <w:t xml:space="preserve">(d) </w:t>
      </w:r>
      <w:r w:rsidRPr="00EB2825">
        <w:rPr>
          <w:rFonts w:cs="Arial" w:eastAsiaTheme="minorHAnsi"/>
          <w:lang w:eastAsia="en-US"/>
        </w:rPr>
        <w:t>both:</w:t>
      </w:r>
      <w:r>
        <w:rPr>
          <w:rFonts w:cs="Arial" w:eastAsiaTheme="minorHAnsi"/>
          <w:lang w:eastAsia="en-US"/>
        </w:rPr>
        <w:t xml:space="preserve"> </w:t>
      </w:r>
      <w:r w:rsidRPr="00EB2825">
        <w:rPr>
          <w:rFonts w:cs="Arial" w:eastAsiaTheme="minorHAnsi"/>
          <w:lang w:eastAsia="en-US"/>
        </w:rPr>
        <w:t>(1)</w:t>
      </w:r>
      <w:r>
        <w:rPr>
          <w:rFonts w:cs="Arial" w:eastAsiaTheme="minorHAnsi"/>
          <w:lang w:eastAsia="en-US"/>
        </w:rPr>
        <w:t xml:space="preserve"> </w:t>
      </w:r>
      <w:r w:rsidRPr="00EB2825">
        <w:rPr>
          <w:rFonts w:cs="Arial" w:eastAsiaTheme="minorHAnsi"/>
          <w:lang w:eastAsia="en-US"/>
        </w:rPr>
        <w:t>Robert Naylor ceases to: (</w:t>
      </w:r>
      <w:proofErr w:type="spellStart"/>
      <w:r w:rsidRPr="00EB2825">
        <w:rPr>
          <w:rFonts w:cs="Arial" w:eastAsiaTheme="minorHAnsi"/>
          <w:lang w:eastAsia="en-US"/>
        </w:rPr>
        <w:t>i</w:t>
      </w:r>
      <w:proofErr w:type="spellEnd"/>
      <w:r w:rsidRPr="00EB2825">
        <w:rPr>
          <w:rFonts w:cs="Arial" w:eastAsiaTheme="minorHAnsi"/>
          <w:lang w:eastAsia="en-US"/>
        </w:rPr>
        <w:t>) devote substantially all of his time to the performance of his duties under this Agreement or (ii) be employed by the Investment Manager or an Associate of the Investment Manager, or be a partner of the Investment Manager; and</w:t>
      </w:r>
      <w:r>
        <w:rPr>
          <w:rFonts w:cs="Arial" w:eastAsiaTheme="minorHAnsi"/>
          <w:lang w:eastAsia="en-US"/>
        </w:rPr>
        <w:t xml:space="preserve"> </w:t>
      </w:r>
      <w:r w:rsidRPr="00EB2825">
        <w:rPr>
          <w:rFonts w:cs="Arial" w:eastAsiaTheme="minorHAnsi"/>
          <w:lang w:eastAsia="en-US"/>
        </w:rPr>
        <w:t>(2)</w:t>
      </w:r>
      <w:r>
        <w:rPr>
          <w:rFonts w:cs="Arial" w:eastAsiaTheme="minorHAnsi"/>
          <w:lang w:eastAsia="en-US"/>
        </w:rPr>
        <w:t xml:space="preserve"> </w:t>
      </w:r>
      <w:r w:rsidRPr="00EB2825">
        <w:rPr>
          <w:rFonts w:cs="Arial" w:eastAsiaTheme="minorHAnsi"/>
          <w:lang w:eastAsia="en-US"/>
        </w:rPr>
        <w:t>Christopher Mills ceases to: (</w:t>
      </w:r>
      <w:proofErr w:type="spellStart"/>
      <w:r w:rsidRPr="00EB2825">
        <w:rPr>
          <w:rFonts w:cs="Arial" w:eastAsiaTheme="minorHAnsi"/>
          <w:lang w:eastAsia="en-US"/>
        </w:rPr>
        <w:t>i</w:t>
      </w:r>
      <w:proofErr w:type="spellEnd"/>
      <w:r w:rsidRPr="00EB2825">
        <w:rPr>
          <w:rFonts w:cs="Arial" w:eastAsiaTheme="minorHAnsi"/>
          <w:lang w:eastAsia="en-US"/>
        </w:rPr>
        <w:t>) devote sufficient time to fulfil his duties under this Agreement or (ii) be employed by the Investment Manager or an Associate of the Investment Manager, or be a partner of the Investment Manager,</w:t>
      </w:r>
      <w:r>
        <w:rPr>
          <w:rFonts w:cs="Arial" w:eastAsiaTheme="minorHAnsi"/>
          <w:lang w:eastAsia="en-US"/>
        </w:rPr>
        <w:t xml:space="preserve"> </w:t>
      </w:r>
      <w:r w:rsidRPr="00EB2825">
        <w:rPr>
          <w:rFonts w:cs="Arial" w:eastAsiaTheme="minorHAnsi"/>
          <w:lang w:eastAsia="en-US"/>
        </w:rPr>
        <w:t>and in each case a replacement Key Individual nominated by the Investment Manager and approved by the Company is not appointed within a period of 3 months</w:t>
      </w:r>
      <w:r>
        <w:rPr>
          <w:rFonts w:cs="Arial" w:eastAsiaTheme="minorHAnsi"/>
          <w:lang w:eastAsia="en-US"/>
        </w:rPr>
        <w:t>.</w:t>
      </w:r>
    </w:p>
    <w:p w:rsidRPr="00DE5D68" w:rsidR="008634DA" w:rsidP="00C27D12" w:rsidRDefault="008634DA" w14:paraId="5CD0B502" w14:textId="7DB0E18B">
      <w:pPr>
        <w:ind w:left="709"/>
        <w:rPr>
          <w:rFonts w:cs="Arial"/>
        </w:rPr>
      </w:pPr>
      <w:r w:rsidRPr="00DE5D68">
        <w:rPr>
          <w:rFonts w:cs="Arial"/>
        </w:rPr>
        <w:t xml:space="preserve">The Company has given an indemnity in favour of the </w:t>
      </w:r>
      <w:r w:rsidRPr="00DE5D68" w:rsidR="00A13799">
        <w:rPr>
          <w:rFonts w:cs="Arial"/>
        </w:rPr>
        <w:t>Investment</w:t>
      </w:r>
      <w:r w:rsidRPr="00DE5D68" w:rsidR="00FD5560">
        <w:rPr>
          <w:rFonts w:cs="Arial"/>
        </w:rPr>
        <w:t xml:space="preserve"> Manager</w:t>
      </w:r>
      <w:r w:rsidRPr="00DE5D68" w:rsidR="008378B2">
        <w:rPr>
          <w:rFonts w:cs="Arial"/>
        </w:rPr>
        <w:t xml:space="preserve"> (subject to customary exceptions)</w:t>
      </w:r>
      <w:r w:rsidRPr="00DE5D68" w:rsidR="00145389">
        <w:rPr>
          <w:rFonts w:cs="Arial"/>
        </w:rPr>
        <w:t xml:space="preserve"> in respect of the </w:t>
      </w:r>
      <w:r w:rsidRPr="00DE5D68" w:rsidR="00A13799">
        <w:rPr>
          <w:rFonts w:cs="Arial"/>
        </w:rPr>
        <w:t xml:space="preserve">Investment </w:t>
      </w:r>
      <w:r w:rsidRPr="00DE5D68" w:rsidR="00FD5560">
        <w:rPr>
          <w:rFonts w:cs="Arial"/>
        </w:rPr>
        <w:t>Manager</w:t>
      </w:r>
      <w:r w:rsidRPr="00DE5D68">
        <w:rPr>
          <w:rFonts w:cs="Arial"/>
        </w:rPr>
        <w:t xml:space="preserve">’s potential losses in carrying on its responsibilities under the </w:t>
      </w:r>
      <w:r w:rsidRPr="00DE5D68" w:rsidR="00CD6A69">
        <w:rPr>
          <w:rFonts w:cs="Arial"/>
        </w:rPr>
        <w:t>Investment Management</w:t>
      </w:r>
      <w:r w:rsidRPr="00DE5D68" w:rsidR="006F039B">
        <w:rPr>
          <w:rFonts w:cs="Arial"/>
        </w:rPr>
        <w:t xml:space="preserve"> Agreement</w:t>
      </w:r>
      <w:r w:rsidRPr="00DE5D68">
        <w:rPr>
          <w:rFonts w:cs="Arial"/>
        </w:rPr>
        <w:t>.</w:t>
      </w:r>
      <w:r w:rsidRPr="00DE5D68" w:rsidR="00794380">
        <w:rPr>
          <w:rFonts w:cs="Arial"/>
        </w:rPr>
        <w:t xml:space="preserve"> </w:t>
      </w:r>
    </w:p>
    <w:p w:rsidRPr="00DE5D68" w:rsidR="005B277D" w:rsidP="00C27D12" w:rsidRDefault="008634DA" w14:paraId="4DBCF726" w14:textId="671431CA">
      <w:pPr>
        <w:ind w:left="709"/>
        <w:rPr>
          <w:rFonts w:cs="Arial"/>
        </w:rPr>
      </w:pPr>
      <w:r w:rsidRPr="00DE5D68">
        <w:rPr>
          <w:rFonts w:cs="Arial"/>
        </w:rPr>
        <w:lastRenderedPageBreak/>
        <w:t xml:space="preserve">The </w:t>
      </w:r>
      <w:r w:rsidRPr="00DE5D68" w:rsidR="00CD6A69">
        <w:rPr>
          <w:rFonts w:cs="Arial"/>
        </w:rPr>
        <w:t>Investment Management</w:t>
      </w:r>
      <w:r w:rsidRPr="00DE5D68" w:rsidR="000A5DC0">
        <w:rPr>
          <w:rFonts w:cs="Arial"/>
        </w:rPr>
        <w:t xml:space="preserve"> </w:t>
      </w:r>
      <w:r w:rsidRPr="00DE5D68" w:rsidR="006F039B">
        <w:rPr>
          <w:rFonts w:cs="Arial"/>
        </w:rPr>
        <w:t>Agreement</w:t>
      </w:r>
      <w:r w:rsidRPr="00DE5D68">
        <w:rPr>
          <w:rFonts w:cs="Arial"/>
        </w:rPr>
        <w:t xml:space="preserve"> is governed by the laws of England and Wales.</w:t>
      </w:r>
    </w:p>
    <w:p w:rsidRPr="008E69F1" w:rsidR="00A60852" w:rsidP="008E69F1" w:rsidRDefault="00FD5560" w14:paraId="04216B4F" w14:textId="7AA37FA5">
      <w:pPr>
        <w:pStyle w:val="Heading2"/>
        <w:keepNext/>
        <w:rPr>
          <w:rFonts w:cs="Arial"/>
          <w:b/>
        </w:rPr>
      </w:pPr>
      <w:bookmarkStart w:name="_Ref65763719" w:id="290"/>
      <w:bookmarkStart w:name="_Ref329171784" w:id="291"/>
      <w:bookmarkStart w:name="_Ref329851455" w:id="292"/>
      <w:r w:rsidRPr="008E69F1">
        <w:rPr>
          <w:rFonts w:cs="Arial"/>
          <w:b/>
        </w:rPr>
        <w:t xml:space="preserve">Administration </w:t>
      </w:r>
      <w:r w:rsidR="006522BA">
        <w:rPr>
          <w:rFonts w:cs="Arial"/>
          <w:b/>
        </w:rPr>
        <w:t xml:space="preserve">and Secretarial </w:t>
      </w:r>
      <w:r w:rsidRPr="008E69F1">
        <w:rPr>
          <w:rFonts w:cs="Arial"/>
          <w:b/>
        </w:rPr>
        <w:t>Agreement</w:t>
      </w:r>
      <w:bookmarkEnd w:id="290"/>
    </w:p>
    <w:p w:rsidRPr="00DE5D68" w:rsidR="00FD5560" w:rsidP="00C27D12" w:rsidRDefault="00FD5560" w14:paraId="111E7491" w14:textId="4AC5D6AD">
      <w:pPr>
        <w:ind w:left="709"/>
        <w:rPr>
          <w:rFonts w:cs="Arial"/>
        </w:rPr>
      </w:pPr>
      <w:r w:rsidRPr="00DE5D68">
        <w:rPr>
          <w:rFonts w:cs="Arial"/>
        </w:rPr>
        <w:t xml:space="preserve">The Administration </w:t>
      </w:r>
      <w:r w:rsidR="006522BA">
        <w:rPr>
          <w:rFonts w:cs="Arial"/>
        </w:rPr>
        <w:t xml:space="preserve">and Secretarial </w:t>
      </w:r>
      <w:r w:rsidRPr="00DE5D68">
        <w:rPr>
          <w:rFonts w:cs="Arial"/>
        </w:rPr>
        <w:t>Agreement bet</w:t>
      </w:r>
      <w:r w:rsidRPr="00DE5D68" w:rsidR="00B86E05">
        <w:rPr>
          <w:rFonts w:cs="Arial"/>
        </w:rPr>
        <w:t>ween the Company</w:t>
      </w:r>
      <w:r w:rsidRPr="00DE5D68">
        <w:rPr>
          <w:rFonts w:cs="Arial"/>
        </w:rPr>
        <w:t xml:space="preserve"> and the </w:t>
      </w:r>
      <w:r w:rsidR="00503099">
        <w:rPr>
          <w:rFonts w:cs="Arial"/>
        </w:rPr>
        <w:t xml:space="preserve">Administrator dated </w:t>
      </w:r>
      <w:r w:rsidR="00C615BB">
        <w:rPr>
          <w:rFonts w:cs="Arial"/>
        </w:rPr>
        <w:t>20</w:t>
      </w:r>
      <w:r w:rsidR="00A10F64">
        <w:rPr>
          <w:rFonts w:cs="Arial"/>
        </w:rPr>
        <w:t xml:space="preserve"> February</w:t>
      </w:r>
      <w:r w:rsidR="00503099">
        <w:rPr>
          <w:rFonts w:cs="Arial"/>
        </w:rPr>
        <w:t xml:space="preserve"> 202</w:t>
      </w:r>
      <w:r w:rsidR="00044E36">
        <w:rPr>
          <w:rFonts w:cs="Arial"/>
        </w:rPr>
        <w:t>5</w:t>
      </w:r>
      <w:r w:rsidRPr="00DE5D68">
        <w:rPr>
          <w:rFonts w:cs="Arial"/>
        </w:rPr>
        <w:t xml:space="preserve">, pursuant to which the Administrator has agreed to </w:t>
      </w:r>
      <w:r w:rsidRPr="00DE5D68" w:rsidR="00B01D58">
        <w:rPr>
          <w:rFonts w:cs="Arial"/>
        </w:rPr>
        <w:t xml:space="preserve">act as </w:t>
      </w:r>
      <w:r w:rsidR="006522BA">
        <w:rPr>
          <w:rFonts w:cs="Arial"/>
        </w:rPr>
        <w:t>a</w:t>
      </w:r>
      <w:r w:rsidRPr="00DE5D68" w:rsidR="000C0D70">
        <w:rPr>
          <w:rFonts w:cs="Arial"/>
        </w:rPr>
        <w:t>dministrator</w:t>
      </w:r>
      <w:r w:rsidRPr="00DE5D68" w:rsidR="00B01D58">
        <w:rPr>
          <w:rFonts w:cs="Arial"/>
        </w:rPr>
        <w:t xml:space="preserve"> </w:t>
      </w:r>
      <w:r w:rsidR="006522BA">
        <w:rPr>
          <w:rFonts w:cs="Arial"/>
        </w:rPr>
        <w:t xml:space="preserve">and company secretary </w:t>
      </w:r>
      <w:r w:rsidRPr="00DE5D68" w:rsidR="00B01D58">
        <w:rPr>
          <w:rFonts w:cs="Arial"/>
        </w:rPr>
        <w:t>to the Company</w:t>
      </w:r>
      <w:r w:rsidRPr="00DE5D68">
        <w:rPr>
          <w:rFonts w:cs="Arial"/>
        </w:rPr>
        <w:t>.</w:t>
      </w:r>
      <w:r w:rsidR="00E83247">
        <w:rPr>
          <w:rFonts w:cs="Arial"/>
        </w:rPr>
        <w:t xml:space="preserve"> </w:t>
      </w:r>
    </w:p>
    <w:p w:rsidRPr="00DE5D68" w:rsidR="00B01D58" w:rsidP="00C27D12" w:rsidRDefault="00FD5560" w14:paraId="586AA15C" w14:textId="59CB1BD8">
      <w:pPr>
        <w:ind w:left="709"/>
        <w:rPr>
          <w:rFonts w:cs="Arial"/>
        </w:rPr>
      </w:pPr>
      <w:r w:rsidRPr="00DE5D68">
        <w:rPr>
          <w:rFonts w:cs="Arial"/>
        </w:rPr>
        <w:t>Under the</w:t>
      </w:r>
      <w:r w:rsidRPr="00DE5D68" w:rsidR="00B01D58">
        <w:rPr>
          <w:rFonts w:cs="Arial"/>
        </w:rPr>
        <w:t xml:space="preserve"> terms of the Administration </w:t>
      </w:r>
      <w:r w:rsidR="006522BA">
        <w:rPr>
          <w:rFonts w:cs="Arial"/>
        </w:rPr>
        <w:t xml:space="preserve">and Secretarial </w:t>
      </w:r>
      <w:r w:rsidRPr="00DE5D68" w:rsidR="00B01D58">
        <w:rPr>
          <w:rFonts w:cs="Arial"/>
        </w:rPr>
        <w:t>A</w:t>
      </w:r>
      <w:r w:rsidRPr="00DE5D68">
        <w:rPr>
          <w:rFonts w:cs="Arial"/>
        </w:rPr>
        <w:t xml:space="preserve">greement, the Administrator shall provide </w:t>
      </w:r>
      <w:r w:rsidRPr="00DE5D68" w:rsidR="00B01D58">
        <w:rPr>
          <w:rFonts w:cs="Arial"/>
        </w:rPr>
        <w:t>the day-to-day administration of the Company and is also responsible for the Company’s general administrative functions, such as the calculation and publication of the Net Asset Value and maintenance of the Company’s accounting and statutory records</w:t>
      </w:r>
      <w:r w:rsidR="00EB3121">
        <w:rPr>
          <w:rFonts w:cs="Arial"/>
        </w:rPr>
        <w:t>, as well as the provision of company secretarial services to the Company</w:t>
      </w:r>
      <w:r w:rsidRPr="00DE5D68" w:rsidR="006C3214">
        <w:rPr>
          <w:rFonts w:cs="Arial"/>
        </w:rPr>
        <w:t>.</w:t>
      </w:r>
    </w:p>
    <w:p w:rsidR="00794380" w:rsidP="00C27D12" w:rsidRDefault="00794380" w14:paraId="0DBD3997" w14:textId="4075F528">
      <w:pPr>
        <w:ind w:left="709"/>
        <w:rPr>
          <w:rFonts w:cs="Arial"/>
        </w:rPr>
      </w:pPr>
      <w:r w:rsidRPr="00DE5D68">
        <w:rPr>
          <w:rFonts w:cs="Arial"/>
        </w:rPr>
        <w:t xml:space="preserve">The Company has given </w:t>
      </w:r>
      <w:r w:rsidR="00EB3121">
        <w:rPr>
          <w:rFonts w:cs="Arial"/>
        </w:rPr>
        <w:t xml:space="preserve">certain customary warranties to the Administrator and </w:t>
      </w:r>
      <w:r w:rsidRPr="00DE5D68">
        <w:rPr>
          <w:rFonts w:cs="Arial"/>
        </w:rPr>
        <w:t>a</w:t>
      </w:r>
      <w:r w:rsidR="00EB3121">
        <w:rPr>
          <w:rFonts w:cs="Arial"/>
        </w:rPr>
        <w:t xml:space="preserve"> customary</w:t>
      </w:r>
      <w:r w:rsidRPr="00DE5D68">
        <w:rPr>
          <w:rFonts w:cs="Arial"/>
        </w:rPr>
        <w:t xml:space="preserve"> indemnity in favour of the Administrator</w:t>
      </w:r>
      <w:r w:rsidR="00EB3121">
        <w:rPr>
          <w:rFonts w:cs="Arial"/>
        </w:rPr>
        <w:t xml:space="preserve"> and its directors, officers and employees</w:t>
      </w:r>
      <w:r w:rsidRPr="00DE5D68">
        <w:rPr>
          <w:rFonts w:cs="Arial"/>
        </w:rPr>
        <w:t xml:space="preserve"> in respect of the Administrator's potential losses in carrying on its responsibilities under the Administration </w:t>
      </w:r>
      <w:r w:rsidR="006522BA">
        <w:rPr>
          <w:rFonts w:cs="Arial"/>
        </w:rPr>
        <w:t xml:space="preserve">and Secretarial </w:t>
      </w:r>
      <w:r w:rsidRPr="00DE5D68">
        <w:rPr>
          <w:rFonts w:cs="Arial"/>
        </w:rPr>
        <w:t>Agreement.</w:t>
      </w:r>
    </w:p>
    <w:p w:rsidRPr="00DE5D68" w:rsidR="00EB3121" w:rsidP="00C27D12" w:rsidRDefault="00EB3121" w14:paraId="375A2786" w14:textId="5E119278">
      <w:pPr>
        <w:ind w:left="709"/>
        <w:rPr>
          <w:rFonts w:cs="Arial"/>
        </w:rPr>
      </w:pPr>
      <w:r>
        <w:rPr>
          <w:rFonts w:cs="Arial"/>
        </w:rPr>
        <w:t xml:space="preserve">The Administrator's liability under the Administration and Secretarial Agreement is limited to the higher of five times </w:t>
      </w:r>
      <w:r w:rsidR="00DD3075">
        <w:rPr>
          <w:rFonts w:cs="Arial"/>
        </w:rPr>
        <w:t xml:space="preserve">the annual fee payable to the </w:t>
      </w:r>
      <w:r>
        <w:rPr>
          <w:rFonts w:cs="Arial"/>
        </w:rPr>
        <w:t>Admin</w:t>
      </w:r>
      <w:r w:rsidR="00DD3075">
        <w:rPr>
          <w:rFonts w:cs="Arial"/>
        </w:rPr>
        <w:t>i</w:t>
      </w:r>
      <w:r>
        <w:rPr>
          <w:rFonts w:cs="Arial"/>
        </w:rPr>
        <w:t>strator in the year during which the matter</w:t>
      </w:r>
      <w:r w:rsidR="00DD3075">
        <w:rPr>
          <w:rFonts w:cs="Arial"/>
        </w:rPr>
        <w:t>(s)</w:t>
      </w:r>
      <w:r>
        <w:rPr>
          <w:rFonts w:cs="Arial"/>
        </w:rPr>
        <w:t xml:space="preserve"> giving ris</w:t>
      </w:r>
      <w:r w:rsidR="00DD3075">
        <w:rPr>
          <w:rFonts w:cs="Arial"/>
        </w:rPr>
        <w:t>e</w:t>
      </w:r>
      <w:r>
        <w:rPr>
          <w:rFonts w:cs="Arial"/>
        </w:rPr>
        <w:t xml:space="preserve"> to such </w:t>
      </w:r>
      <w:r w:rsidR="00DD3075">
        <w:rPr>
          <w:rFonts w:cs="Arial"/>
        </w:rPr>
        <w:t>liability arose</w:t>
      </w:r>
      <w:r>
        <w:rPr>
          <w:rFonts w:cs="Arial"/>
        </w:rPr>
        <w:t xml:space="preserve"> and £1,000,000.</w:t>
      </w:r>
    </w:p>
    <w:p w:rsidRPr="00DE5D68" w:rsidR="00E83247" w:rsidP="00E83247" w:rsidRDefault="00E83247" w14:paraId="1E824B61" w14:textId="327977A2">
      <w:pPr>
        <w:ind w:left="709"/>
        <w:rPr>
          <w:rFonts w:cs="Arial"/>
        </w:rPr>
      </w:pPr>
      <w:r w:rsidRPr="00DE5D68">
        <w:rPr>
          <w:rFonts w:cs="Arial"/>
        </w:rPr>
        <w:t xml:space="preserve">The Administration </w:t>
      </w:r>
      <w:r w:rsidR="006522BA">
        <w:rPr>
          <w:rFonts w:cs="Arial"/>
        </w:rPr>
        <w:t xml:space="preserve">and Secretarial </w:t>
      </w:r>
      <w:r w:rsidRPr="00DE5D68">
        <w:rPr>
          <w:rFonts w:cs="Arial"/>
        </w:rPr>
        <w:t xml:space="preserve">Agreement </w:t>
      </w:r>
      <w:r w:rsidR="00DD3075">
        <w:rPr>
          <w:rFonts w:cs="Arial"/>
        </w:rPr>
        <w:t xml:space="preserve">has an </w:t>
      </w:r>
      <w:r>
        <w:rPr>
          <w:rFonts w:cs="Arial"/>
        </w:rPr>
        <w:t xml:space="preserve">initial </w:t>
      </w:r>
      <w:r w:rsidR="00DD3075">
        <w:rPr>
          <w:rFonts w:cs="Arial"/>
        </w:rPr>
        <w:t>term</w:t>
      </w:r>
      <w:r>
        <w:rPr>
          <w:rFonts w:cs="Arial"/>
        </w:rPr>
        <w:t xml:space="preserve"> of </w:t>
      </w:r>
      <w:r w:rsidR="006522BA">
        <w:rPr>
          <w:rFonts w:cs="Arial"/>
        </w:rPr>
        <w:t>18 months</w:t>
      </w:r>
      <w:r>
        <w:rPr>
          <w:rFonts w:cs="Arial"/>
        </w:rPr>
        <w:t xml:space="preserve"> from the date of the agreement and thereafter shall continue until terminated by either party on</w:t>
      </w:r>
      <w:r w:rsidRPr="00DE5D68">
        <w:rPr>
          <w:rFonts w:cs="Arial"/>
        </w:rPr>
        <w:t xml:space="preserve"> </w:t>
      </w:r>
      <w:r>
        <w:rPr>
          <w:rFonts w:cs="Arial"/>
        </w:rPr>
        <w:t>at least</w:t>
      </w:r>
      <w:r w:rsidRPr="00DE5D68">
        <w:rPr>
          <w:rFonts w:cs="Arial"/>
        </w:rPr>
        <w:t xml:space="preserve"> </w:t>
      </w:r>
      <w:r>
        <w:rPr>
          <w:rFonts w:cs="Arial"/>
        </w:rPr>
        <w:t xml:space="preserve">six months' </w:t>
      </w:r>
      <w:r w:rsidRPr="00DE5D68">
        <w:rPr>
          <w:rFonts w:cs="Arial"/>
        </w:rPr>
        <w:t>written notice</w:t>
      </w:r>
      <w:r w:rsidR="00DD3075">
        <w:rPr>
          <w:rFonts w:cs="Arial"/>
        </w:rPr>
        <w:t xml:space="preserve">, provided that the Company shall also be entitled to terminate the agreement on six months' notice at any time in the event that the Company has redeemed 80 per cent. or more of its issued Ordinary Shares pursuant to the Redemption </w:t>
      </w:r>
      <w:r w:rsidR="000C1448">
        <w:rPr>
          <w:rFonts w:cs="Arial"/>
        </w:rPr>
        <w:t>Mechanism</w:t>
      </w:r>
      <w:r w:rsidRPr="00DE5D68">
        <w:rPr>
          <w:rFonts w:cs="Arial"/>
        </w:rPr>
        <w:t>. The Administration</w:t>
      </w:r>
      <w:r w:rsidR="006522BA">
        <w:rPr>
          <w:rFonts w:cs="Arial"/>
        </w:rPr>
        <w:t xml:space="preserve"> and Secretarial </w:t>
      </w:r>
      <w:r w:rsidRPr="00DE5D68">
        <w:rPr>
          <w:rFonts w:cs="Arial"/>
        </w:rPr>
        <w:t xml:space="preserve">Agreement is also terminable immediately upon the occurrence of certain standard events including the insolvency of the Company or the Administrator or a party committing a material breach of the Administration </w:t>
      </w:r>
      <w:r w:rsidR="006522BA">
        <w:rPr>
          <w:rFonts w:cs="Arial"/>
        </w:rPr>
        <w:t xml:space="preserve">and Secretarial </w:t>
      </w:r>
      <w:r w:rsidRPr="00DE5D68">
        <w:rPr>
          <w:rFonts w:cs="Arial"/>
        </w:rPr>
        <w:t xml:space="preserve">Agreement </w:t>
      </w:r>
      <w:r w:rsidR="000C1448">
        <w:rPr>
          <w:rFonts w:cs="Arial"/>
        </w:rPr>
        <w:t xml:space="preserve">and </w:t>
      </w:r>
      <w:r w:rsidRPr="00DE5D68">
        <w:rPr>
          <w:rFonts w:cs="Arial"/>
        </w:rPr>
        <w:t xml:space="preserve">(where such breach </w:t>
      </w:r>
      <w:r w:rsidR="000C1448">
        <w:rPr>
          <w:rFonts w:cs="Arial"/>
        </w:rPr>
        <w:t>is remediable) failed to remedy that breach within 30 days of being notified to do so.</w:t>
      </w:r>
    </w:p>
    <w:p w:rsidRPr="00DE5D68" w:rsidR="00AB756D" w:rsidP="00C27D12" w:rsidRDefault="00AB756D" w14:paraId="3A192786" w14:textId="6C0F77A3">
      <w:pPr>
        <w:ind w:left="709"/>
        <w:rPr>
          <w:rFonts w:cs="Arial"/>
        </w:rPr>
      </w:pPr>
      <w:r w:rsidRPr="00DE5D68">
        <w:rPr>
          <w:rFonts w:cs="Arial"/>
        </w:rPr>
        <w:t xml:space="preserve">Details of the fees payable to the Administrator are set out in paragraph </w:t>
      </w:r>
      <w:r w:rsidR="00577D1F">
        <w:rPr>
          <w:rFonts w:cs="Arial"/>
        </w:rPr>
        <w:fldChar w:fldCharType="begin" w:fldLock="1"/>
      </w:r>
      <w:r w:rsidR="00577D1F">
        <w:rPr>
          <w:rFonts w:cs="Arial"/>
        </w:rPr>
        <w:instrText xml:space="preserve"> REF _Ref65763658 \n \h </w:instrText>
      </w:r>
      <w:r w:rsidR="00577D1F">
        <w:rPr>
          <w:rFonts w:cs="Arial"/>
        </w:rPr>
      </w:r>
      <w:r w:rsidR="00577D1F">
        <w:rPr>
          <w:rFonts w:cs="Arial"/>
        </w:rPr>
        <w:fldChar w:fldCharType="separate"/>
      </w:r>
      <w:r w:rsidR="00DA4048">
        <w:rPr>
          <w:rFonts w:cs="Arial"/>
        </w:rPr>
        <w:t>3.1</w:t>
      </w:r>
      <w:r w:rsidR="00577D1F">
        <w:rPr>
          <w:rFonts w:cs="Arial"/>
        </w:rPr>
        <w:fldChar w:fldCharType="end"/>
      </w:r>
      <w:r w:rsidRPr="00DE5D68" w:rsidR="00225161">
        <w:rPr>
          <w:rFonts w:cs="Arial"/>
        </w:rPr>
        <w:t xml:space="preserve"> </w:t>
      </w:r>
      <w:r w:rsidRPr="00DE5D68" w:rsidR="00187D5C">
        <w:rPr>
          <w:rFonts w:cs="Arial"/>
        </w:rPr>
        <w:t xml:space="preserve">of </w:t>
      </w:r>
      <w:r w:rsidR="00577D1F">
        <w:rPr>
          <w:rFonts w:cs="Arial"/>
        </w:rPr>
        <w:fldChar w:fldCharType="begin" w:fldLock="1"/>
      </w:r>
      <w:r w:rsidR="00577D1F">
        <w:rPr>
          <w:rFonts w:cs="Arial"/>
        </w:rPr>
        <w:instrText xml:space="preserve"> REF _Ref65763481 \n \h </w:instrText>
      </w:r>
      <w:r w:rsidR="00577D1F">
        <w:rPr>
          <w:rFonts w:cs="Arial"/>
        </w:rPr>
      </w:r>
      <w:r w:rsidR="00577D1F">
        <w:rPr>
          <w:rFonts w:cs="Arial"/>
        </w:rPr>
        <w:fldChar w:fldCharType="separate"/>
      </w:r>
      <w:r w:rsidR="00DA4048">
        <w:rPr>
          <w:rFonts w:cs="Arial"/>
        </w:rPr>
        <w:t>Part 2</w:t>
      </w:r>
      <w:r w:rsidR="00577D1F">
        <w:rPr>
          <w:rFonts w:cs="Arial"/>
        </w:rPr>
        <w:fldChar w:fldCharType="end"/>
      </w:r>
      <w:r w:rsidRPr="00DE5D68" w:rsidR="00225161">
        <w:rPr>
          <w:rFonts w:cs="Arial"/>
        </w:rPr>
        <w:t xml:space="preserve"> </w:t>
      </w:r>
      <w:r w:rsidRPr="00DE5D68">
        <w:rPr>
          <w:rFonts w:cs="Arial"/>
        </w:rPr>
        <w:t>of this document.</w:t>
      </w:r>
    </w:p>
    <w:p w:rsidRPr="00DE5D68" w:rsidR="00FD5560" w:rsidP="00C27D12" w:rsidRDefault="00FD5560" w14:paraId="720E1971" w14:textId="3532D627">
      <w:pPr>
        <w:ind w:left="709"/>
        <w:rPr>
          <w:rFonts w:cs="Arial"/>
        </w:rPr>
      </w:pPr>
      <w:r w:rsidRPr="00DE5D68">
        <w:rPr>
          <w:rFonts w:cs="Arial"/>
        </w:rPr>
        <w:t xml:space="preserve">The Administration </w:t>
      </w:r>
      <w:r w:rsidR="006522BA">
        <w:rPr>
          <w:rFonts w:cs="Arial"/>
        </w:rPr>
        <w:t xml:space="preserve">and Secretarial </w:t>
      </w:r>
      <w:r w:rsidRPr="00DE5D68">
        <w:rPr>
          <w:rFonts w:cs="Arial"/>
        </w:rPr>
        <w:t>Agreement is</w:t>
      </w:r>
      <w:r w:rsidR="00D07FA0">
        <w:rPr>
          <w:rFonts w:cs="Arial"/>
        </w:rPr>
        <w:t xml:space="preserve"> governed by the laws of Guernsey</w:t>
      </w:r>
      <w:r w:rsidRPr="00DE5D68">
        <w:rPr>
          <w:rFonts w:cs="Arial"/>
        </w:rPr>
        <w:t>.</w:t>
      </w:r>
    </w:p>
    <w:p w:rsidR="00952FEF" w:rsidP="007944C6" w:rsidRDefault="00952FEF" w14:paraId="5CC31B83" w14:textId="1FE99CFE">
      <w:pPr>
        <w:pStyle w:val="Heading2"/>
        <w:keepNext/>
        <w:rPr>
          <w:rFonts w:cs="Arial"/>
          <w:b/>
        </w:rPr>
      </w:pPr>
      <w:bookmarkStart w:name="_Ref65762758" w:id="293"/>
      <w:r>
        <w:rPr>
          <w:rFonts w:cs="Arial"/>
          <w:b/>
        </w:rPr>
        <w:t>Custody Agreement</w:t>
      </w:r>
    </w:p>
    <w:p w:rsidR="00A12F16" w:rsidP="00455B42" w:rsidRDefault="00A12F16" w14:paraId="58E9CFE0" w14:textId="573C137D">
      <w:pPr>
        <w:ind w:left="709"/>
        <w:rPr>
          <w:rFonts w:cs="Arial"/>
        </w:rPr>
      </w:pPr>
      <w:r w:rsidRPr="00A12F16">
        <w:rPr>
          <w:rFonts w:cs="Arial"/>
        </w:rPr>
        <w:t xml:space="preserve">The Custody Agreement dated </w:t>
      </w:r>
      <w:r w:rsidR="00A02010">
        <w:rPr>
          <w:rFonts w:cs="Arial"/>
        </w:rPr>
        <w:t>6</w:t>
      </w:r>
      <w:r w:rsidRPr="00A12F16">
        <w:rPr>
          <w:rFonts w:cs="Arial"/>
        </w:rPr>
        <w:t xml:space="preserve"> </w:t>
      </w:r>
      <w:r w:rsidR="00A10F64">
        <w:rPr>
          <w:rFonts w:cs="Arial"/>
        </w:rPr>
        <w:t xml:space="preserve">February </w:t>
      </w:r>
      <w:r w:rsidRPr="00A12F16">
        <w:rPr>
          <w:rFonts w:cs="Arial"/>
        </w:rPr>
        <w:t>202</w:t>
      </w:r>
      <w:r>
        <w:rPr>
          <w:rFonts w:cs="Arial"/>
        </w:rPr>
        <w:t>5</w:t>
      </w:r>
      <w:r w:rsidRPr="00A12F16">
        <w:rPr>
          <w:rFonts w:cs="Arial"/>
        </w:rPr>
        <w:t xml:space="preserve"> between the Company and the Custodian pursuant to which the Custodian will act as custodian of the Company</w:t>
      </w:r>
      <w:r w:rsidR="00FC39E5">
        <w:rPr>
          <w:rFonts w:cs="Arial"/>
        </w:rPr>
        <w:t>'</w:t>
      </w:r>
      <w:r w:rsidRPr="00A12F16">
        <w:rPr>
          <w:rFonts w:cs="Arial"/>
        </w:rPr>
        <w:t xml:space="preserve">s investments, cash and other assets. </w:t>
      </w:r>
      <w:r w:rsidR="00C718A4">
        <w:rPr>
          <w:rFonts w:cs="Arial"/>
        </w:rPr>
        <w:t>The Custodian is entitled, at its own discretion</w:t>
      </w:r>
      <w:r w:rsidR="000C4AAA">
        <w:rPr>
          <w:rFonts w:cs="Arial"/>
        </w:rPr>
        <w:t xml:space="preserve"> subject to certain customary conditions</w:t>
      </w:r>
      <w:r w:rsidR="00C718A4">
        <w:rPr>
          <w:rFonts w:cs="Arial"/>
        </w:rPr>
        <w:t>, to appoint sub-custodians, nominees, agents or other deleg</w:t>
      </w:r>
      <w:r w:rsidR="000C4AAA">
        <w:rPr>
          <w:rFonts w:cs="Arial"/>
        </w:rPr>
        <w:t>a</w:t>
      </w:r>
      <w:r w:rsidR="00C718A4">
        <w:rPr>
          <w:rFonts w:cs="Arial"/>
        </w:rPr>
        <w:t>tes</w:t>
      </w:r>
      <w:r w:rsidR="000C4AAA">
        <w:rPr>
          <w:rFonts w:cs="Arial"/>
        </w:rPr>
        <w:t xml:space="preserve"> to perform, in whole or in part, any of its duties under the Custody Agreement. </w:t>
      </w:r>
      <w:r w:rsidR="00C718A4">
        <w:rPr>
          <w:rFonts w:cs="Arial"/>
        </w:rPr>
        <w:t xml:space="preserve"> </w:t>
      </w:r>
    </w:p>
    <w:p w:rsidR="00A12F16" w:rsidP="00987C0E" w:rsidRDefault="00987C0E" w14:paraId="3E234B2D" w14:textId="0011DBB6">
      <w:pPr>
        <w:ind w:left="709"/>
        <w:rPr>
          <w:rFonts w:cs="Arial"/>
        </w:rPr>
      </w:pPr>
      <w:r w:rsidRPr="00A12F16">
        <w:rPr>
          <w:rFonts w:cs="Arial"/>
        </w:rPr>
        <w:t>Under the terms of the Custody Agreement, the Custodian receives a</w:t>
      </w:r>
      <w:r>
        <w:rPr>
          <w:rFonts w:cs="Arial"/>
        </w:rPr>
        <w:t>n annual custody fee equal to 0.04 per cent. of Net Asset Value (capped at £10,000 for the first 12 months)</w:t>
      </w:r>
      <w:r w:rsidRPr="00A12F16">
        <w:rPr>
          <w:rFonts w:cs="Arial"/>
        </w:rPr>
        <w:t>.</w:t>
      </w:r>
      <w:r>
        <w:rPr>
          <w:rFonts w:cs="Arial"/>
        </w:rPr>
        <w:t xml:space="preserve"> The custody fee is subject to review on an annual basis.</w:t>
      </w:r>
      <w:r w:rsidR="00596779">
        <w:rPr>
          <w:rFonts w:cs="Arial"/>
        </w:rPr>
        <w:t xml:space="preserve"> In addition, the Custodian is entitled to certain other fees for services rendered from time to time (including settlement of transactions or providing information in connection with audit requests).</w:t>
      </w:r>
    </w:p>
    <w:p w:rsidR="00A12F16" w:rsidP="00455B42" w:rsidRDefault="00A12F16" w14:paraId="287DAB1A" w14:textId="40B890E4">
      <w:pPr>
        <w:ind w:left="709"/>
        <w:rPr>
          <w:rFonts w:cs="Arial"/>
        </w:rPr>
      </w:pPr>
      <w:r w:rsidRPr="00A12F16">
        <w:rPr>
          <w:rFonts w:cs="Arial"/>
        </w:rPr>
        <w:t>The Company has given certain market standard indemnities in favour of the Custodian in respect of the Custodian</w:t>
      </w:r>
      <w:r w:rsidR="00C718A4">
        <w:rPr>
          <w:rFonts w:cs="Arial"/>
        </w:rPr>
        <w:t>'</w:t>
      </w:r>
      <w:r w:rsidRPr="00A12F16">
        <w:rPr>
          <w:rFonts w:cs="Arial"/>
        </w:rPr>
        <w:t xml:space="preserve">s potential losses in carrying on its responsibilities under the Custody Agreement. </w:t>
      </w:r>
    </w:p>
    <w:p w:rsidR="00A12F16" w:rsidP="00455B42" w:rsidRDefault="00A12F16" w14:paraId="0ED6DD38" w14:textId="5E41E20A">
      <w:pPr>
        <w:ind w:left="709"/>
        <w:rPr>
          <w:rFonts w:cs="Arial"/>
        </w:rPr>
      </w:pPr>
      <w:r w:rsidRPr="00A12F16">
        <w:rPr>
          <w:rFonts w:cs="Arial"/>
        </w:rPr>
        <w:t>The Custodian</w:t>
      </w:r>
      <w:r w:rsidR="00FC39E5">
        <w:rPr>
          <w:rFonts w:cs="Arial"/>
        </w:rPr>
        <w:t>'</w:t>
      </w:r>
      <w:r w:rsidRPr="00A12F16">
        <w:rPr>
          <w:rFonts w:cs="Arial"/>
        </w:rPr>
        <w:t xml:space="preserve">s appointment may be terminated by the Company giving </w:t>
      </w:r>
      <w:r w:rsidR="00987C0E">
        <w:rPr>
          <w:rFonts w:cs="Arial"/>
        </w:rPr>
        <w:t>9</w:t>
      </w:r>
      <w:r w:rsidRPr="00A12F16">
        <w:rPr>
          <w:rFonts w:cs="Arial"/>
        </w:rPr>
        <w:t>0 days</w:t>
      </w:r>
      <w:r w:rsidR="00FC39E5">
        <w:rPr>
          <w:rFonts w:cs="Arial"/>
        </w:rPr>
        <w:t>'</w:t>
      </w:r>
      <w:r w:rsidRPr="00A12F16">
        <w:rPr>
          <w:rFonts w:cs="Arial"/>
        </w:rPr>
        <w:t xml:space="preserve"> written notice to the Custodian or by the Custodian giving </w:t>
      </w:r>
      <w:r w:rsidR="00987C0E">
        <w:rPr>
          <w:rFonts w:cs="Arial"/>
        </w:rPr>
        <w:t>9</w:t>
      </w:r>
      <w:r w:rsidRPr="00A12F16">
        <w:rPr>
          <w:rFonts w:cs="Arial"/>
        </w:rPr>
        <w:t>0 days</w:t>
      </w:r>
      <w:r w:rsidR="00FC39E5">
        <w:rPr>
          <w:rFonts w:cs="Arial"/>
        </w:rPr>
        <w:t>'</w:t>
      </w:r>
      <w:r w:rsidRPr="00A12F16">
        <w:rPr>
          <w:rFonts w:cs="Arial"/>
        </w:rPr>
        <w:t xml:space="preserve"> written notice to the Company, and in certain circumstances the Custodian’s appointment may be terminated immediately on notice by either party. </w:t>
      </w:r>
    </w:p>
    <w:p w:rsidRPr="00455B42" w:rsidR="00455B42" w:rsidP="00455B42" w:rsidRDefault="00A12F16" w14:paraId="6B2D2338" w14:textId="63F16204">
      <w:pPr>
        <w:ind w:left="709"/>
        <w:rPr>
          <w:rFonts w:cs="Arial"/>
        </w:rPr>
      </w:pPr>
      <w:r w:rsidRPr="00A12F16">
        <w:rPr>
          <w:rFonts w:cs="Arial"/>
        </w:rPr>
        <w:t>The Custody Agreement is governed by the laws of Guernsey.</w:t>
      </w:r>
    </w:p>
    <w:p w:rsidRPr="00DE5D68" w:rsidR="001777B4" w:rsidP="007944C6" w:rsidRDefault="001777B4" w14:paraId="76E48ADD" w14:textId="5D6CAB3C">
      <w:pPr>
        <w:pStyle w:val="Heading2"/>
        <w:keepNext/>
        <w:rPr>
          <w:rFonts w:cs="Arial"/>
          <w:b/>
        </w:rPr>
      </w:pPr>
      <w:r w:rsidRPr="00DE5D68">
        <w:rPr>
          <w:rFonts w:cs="Arial"/>
          <w:b/>
        </w:rPr>
        <w:lastRenderedPageBreak/>
        <w:t>Registrar Agreement</w:t>
      </w:r>
      <w:bookmarkEnd w:id="291"/>
      <w:bookmarkEnd w:id="292"/>
      <w:bookmarkEnd w:id="293"/>
    </w:p>
    <w:p w:rsidRPr="00DE5D68" w:rsidR="00E83247" w:rsidP="00E83247" w:rsidRDefault="00E83247" w14:paraId="6A4018D2" w14:textId="0CE9CAEE">
      <w:pPr>
        <w:ind w:left="709"/>
        <w:rPr>
          <w:rFonts w:cs="Arial"/>
        </w:rPr>
      </w:pPr>
      <w:bookmarkStart w:name="_Ref329706275" w:id="294"/>
      <w:r w:rsidRPr="00DE5D68">
        <w:rPr>
          <w:rFonts w:cs="Arial"/>
        </w:rPr>
        <w:t xml:space="preserve">The Registrar Agreement dated </w:t>
      </w:r>
      <w:r w:rsidR="00C615BB">
        <w:rPr>
          <w:rFonts w:cs="Arial"/>
        </w:rPr>
        <w:t>20</w:t>
      </w:r>
      <w:r w:rsidRPr="00DE5D68">
        <w:rPr>
          <w:rFonts w:cs="Arial"/>
        </w:rPr>
        <w:t xml:space="preserve"> </w:t>
      </w:r>
      <w:r w:rsidR="00A10F64">
        <w:rPr>
          <w:rFonts w:cs="Arial"/>
        </w:rPr>
        <w:t xml:space="preserve">February </w:t>
      </w:r>
      <w:r>
        <w:rPr>
          <w:rFonts w:cs="Arial"/>
        </w:rPr>
        <w:t>202</w:t>
      </w:r>
      <w:r w:rsidR="00044E36">
        <w:rPr>
          <w:rFonts w:cs="Arial"/>
        </w:rPr>
        <w:t>5</w:t>
      </w:r>
      <w:r w:rsidRPr="00DE5D68">
        <w:rPr>
          <w:rFonts w:cs="Arial"/>
        </w:rPr>
        <w:t xml:space="preserve"> between the Company and the Registrar pursuant to which the Registrar has agreed to act as </w:t>
      </w:r>
      <w:r w:rsidR="00214187">
        <w:rPr>
          <w:rFonts w:cs="Arial"/>
        </w:rPr>
        <w:t>r</w:t>
      </w:r>
      <w:r w:rsidRPr="00DE5D68">
        <w:rPr>
          <w:rFonts w:cs="Arial"/>
        </w:rPr>
        <w:t xml:space="preserve">egistrar to the Company. </w:t>
      </w:r>
    </w:p>
    <w:p w:rsidRPr="00DE5D68" w:rsidR="00E83247" w:rsidP="00E83247" w:rsidRDefault="00E83247" w14:paraId="38050E53" w14:textId="3152816D">
      <w:pPr>
        <w:ind w:left="709"/>
        <w:rPr>
          <w:rFonts w:cs="Arial"/>
        </w:rPr>
      </w:pPr>
      <w:r w:rsidRPr="00DE5D68">
        <w:rPr>
          <w:rFonts w:cs="Arial"/>
        </w:rPr>
        <w:t xml:space="preserve">Under the </w:t>
      </w:r>
      <w:r w:rsidR="00214187">
        <w:rPr>
          <w:rFonts w:cs="Arial"/>
        </w:rPr>
        <w:t>Registrar A</w:t>
      </w:r>
      <w:r w:rsidRPr="00DE5D68">
        <w:rPr>
          <w:rFonts w:cs="Arial"/>
        </w:rPr>
        <w:t>greement, the Registrar is entitled to a</w:t>
      </w:r>
      <w:r>
        <w:rPr>
          <w:rFonts w:cs="Arial"/>
        </w:rPr>
        <w:t xml:space="preserve"> minimum annual fee for administration of the ordinary register and associated register support</w:t>
      </w:r>
      <w:r w:rsidRPr="00DE5D68">
        <w:rPr>
          <w:rFonts w:cs="Arial"/>
        </w:rPr>
        <w:t>. In addition, the Registrar is entitled to certain other fees for ad hoc services rendered from time to time</w:t>
      </w:r>
      <w:r>
        <w:rPr>
          <w:rFonts w:cs="Arial"/>
        </w:rPr>
        <w:t xml:space="preserve"> (including periodic redemptions of Ordinary Shares)</w:t>
      </w:r>
      <w:r w:rsidRPr="00DE5D68">
        <w:rPr>
          <w:rFonts w:cs="Arial"/>
        </w:rPr>
        <w:t xml:space="preserve">. The Registrar is also entitled to reimbursement of all </w:t>
      </w:r>
      <w:r w:rsidR="00214187">
        <w:rPr>
          <w:rFonts w:cs="Arial"/>
        </w:rPr>
        <w:t>reasonable expenses and disbursements</w:t>
      </w:r>
      <w:r w:rsidRPr="00DE5D68">
        <w:rPr>
          <w:rFonts w:cs="Arial"/>
        </w:rPr>
        <w:t xml:space="preserve"> properly incurred </w:t>
      </w:r>
      <w:r w:rsidR="00214187">
        <w:rPr>
          <w:rFonts w:cs="Arial"/>
        </w:rPr>
        <w:t xml:space="preserve">in connection with the provision of </w:t>
      </w:r>
      <w:r w:rsidR="00496F44">
        <w:rPr>
          <w:rFonts w:cs="Arial"/>
        </w:rPr>
        <w:t>the</w:t>
      </w:r>
      <w:r w:rsidR="00214187">
        <w:rPr>
          <w:rFonts w:cs="Arial"/>
        </w:rPr>
        <w:t xml:space="preserve"> services under the Registrar Agreement</w:t>
      </w:r>
      <w:r w:rsidRPr="00DE5D68">
        <w:rPr>
          <w:rFonts w:cs="Arial"/>
        </w:rPr>
        <w:t>.</w:t>
      </w:r>
    </w:p>
    <w:p w:rsidR="00E83247" w:rsidP="002E3DF1" w:rsidRDefault="00E83247" w14:paraId="4353F74E" w14:textId="558BB651">
      <w:pPr>
        <w:ind w:left="709"/>
        <w:rPr>
          <w:rFonts w:cs="Arial"/>
        </w:rPr>
      </w:pPr>
      <w:r w:rsidRPr="00DE5D68">
        <w:rPr>
          <w:rFonts w:cs="Arial"/>
        </w:rPr>
        <w:t xml:space="preserve">The Registrar Agreement </w:t>
      </w:r>
      <w:r w:rsidR="00496F44">
        <w:rPr>
          <w:rFonts w:cs="Arial"/>
        </w:rPr>
        <w:t>has</w:t>
      </w:r>
      <w:r w:rsidRPr="00DE5D68">
        <w:rPr>
          <w:rFonts w:cs="Arial"/>
        </w:rPr>
        <w:t xml:space="preserve"> </w:t>
      </w:r>
      <w:r>
        <w:rPr>
          <w:rFonts w:cs="Arial"/>
        </w:rPr>
        <w:t>a</w:t>
      </w:r>
      <w:r w:rsidR="00214187">
        <w:rPr>
          <w:rFonts w:cs="Arial"/>
        </w:rPr>
        <w:t>n initial term of three</w:t>
      </w:r>
      <w:r>
        <w:rPr>
          <w:rFonts w:cs="Arial"/>
        </w:rPr>
        <w:t xml:space="preserve"> </w:t>
      </w:r>
      <w:r w:rsidRPr="00DE5D68">
        <w:rPr>
          <w:rFonts w:cs="Arial"/>
        </w:rPr>
        <w:t>year</w:t>
      </w:r>
      <w:r>
        <w:rPr>
          <w:rFonts w:cs="Arial"/>
        </w:rPr>
        <w:t>s</w:t>
      </w:r>
      <w:r w:rsidRPr="00DE5D68">
        <w:rPr>
          <w:rFonts w:cs="Arial"/>
        </w:rPr>
        <w:t xml:space="preserve"> from the date of </w:t>
      </w:r>
      <w:r>
        <w:rPr>
          <w:rFonts w:cs="Arial"/>
        </w:rPr>
        <w:t xml:space="preserve">Initial </w:t>
      </w:r>
      <w:r w:rsidRPr="00DE5D68">
        <w:rPr>
          <w:rFonts w:cs="Arial"/>
        </w:rPr>
        <w:t>Admission</w:t>
      </w:r>
      <w:r w:rsidR="00214187">
        <w:rPr>
          <w:rFonts w:cs="Arial"/>
        </w:rPr>
        <w:t xml:space="preserve"> (the "</w:t>
      </w:r>
      <w:r w:rsidRPr="00214187" w:rsidR="00214187">
        <w:rPr>
          <w:rFonts w:cs="Arial"/>
          <w:b/>
          <w:bCs/>
        </w:rPr>
        <w:t>Initial Term</w:t>
      </w:r>
      <w:r w:rsidR="00214187">
        <w:rPr>
          <w:rFonts w:cs="Arial"/>
        </w:rPr>
        <w:t xml:space="preserve">") with a break clause at the end of the first year, exercisable by either party serving written notice at least </w:t>
      </w:r>
      <w:r w:rsidR="000C4AAA">
        <w:rPr>
          <w:rFonts w:cs="Arial"/>
        </w:rPr>
        <w:t>three</w:t>
      </w:r>
      <w:r w:rsidR="00214187">
        <w:rPr>
          <w:rFonts w:cs="Arial"/>
        </w:rPr>
        <w:t xml:space="preserve"> months </w:t>
      </w:r>
      <w:r w:rsidR="00496F44">
        <w:rPr>
          <w:rFonts w:cs="Arial"/>
        </w:rPr>
        <w:t>before</w:t>
      </w:r>
      <w:r w:rsidR="00214187">
        <w:rPr>
          <w:rFonts w:cs="Arial"/>
        </w:rPr>
        <w:t xml:space="preserve"> the end of the first year. The Registrar Agreement may be terminated by either party at the end of the Initial Term by serving written notice at least six months </w:t>
      </w:r>
      <w:r w:rsidR="00496F44">
        <w:rPr>
          <w:rFonts w:cs="Arial"/>
        </w:rPr>
        <w:t>before</w:t>
      </w:r>
      <w:r w:rsidR="00214187">
        <w:rPr>
          <w:rFonts w:cs="Arial"/>
        </w:rPr>
        <w:t xml:space="preserve"> the end of the Initial Term. Thereafter, </w:t>
      </w:r>
      <w:r w:rsidR="00496F44">
        <w:rPr>
          <w:rFonts w:cs="Arial"/>
        </w:rPr>
        <w:t>the Registrar Agreement</w:t>
      </w:r>
      <w:r w:rsidR="00214187">
        <w:rPr>
          <w:rFonts w:cs="Arial"/>
        </w:rPr>
        <w:t xml:space="preserve"> shall</w:t>
      </w:r>
      <w:r w:rsidR="00496F44">
        <w:rPr>
          <w:rFonts w:cs="Arial"/>
        </w:rPr>
        <w:t xml:space="preserve">, subject to termination by either party in accordance with its terms, </w:t>
      </w:r>
      <w:r w:rsidR="00214187">
        <w:rPr>
          <w:rFonts w:cs="Arial"/>
        </w:rPr>
        <w:t xml:space="preserve">automatically renew for successive </w:t>
      </w:r>
      <w:r w:rsidR="00496F44">
        <w:rPr>
          <w:rFonts w:cs="Arial"/>
        </w:rPr>
        <w:t xml:space="preserve">12 month </w:t>
      </w:r>
      <w:r w:rsidR="00214187">
        <w:rPr>
          <w:rFonts w:cs="Arial"/>
        </w:rPr>
        <w:t xml:space="preserve">periods, </w:t>
      </w:r>
      <w:r w:rsidR="00496F44">
        <w:rPr>
          <w:rFonts w:cs="Arial"/>
        </w:rPr>
        <w:t>terminable by either party serving written notice at least six months prior to the end of the relevant 12 month period. Additionally, e</w:t>
      </w:r>
      <w:r w:rsidRPr="00DE5D68">
        <w:rPr>
          <w:rFonts w:cs="Arial"/>
        </w:rPr>
        <w:t>ither party may terminate the Registrar Agreement</w:t>
      </w:r>
      <w:r w:rsidR="002E3DF1">
        <w:rPr>
          <w:rFonts w:cs="Arial"/>
        </w:rPr>
        <w:t xml:space="preserve"> for cause in certain customary circumstances</w:t>
      </w:r>
      <w:r>
        <w:rPr>
          <w:rFonts w:cs="Arial"/>
        </w:rPr>
        <w:t>.</w:t>
      </w:r>
    </w:p>
    <w:p w:rsidRPr="00DE5D68" w:rsidR="00794380" w:rsidP="00C27D12" w:rsidRDefault="00794380" w14:paraId="43742F43" w14:textId="35AC16A8">
      <w:pPr>
        <w:ind w:left="709"/>
        <w:rPr>
          <w:rFonts w:cs="Arial"/>
        </w:rPr>
      </w:pPr>
      <w:r w:rsidRPr="00DE5D68">
        <w:rPr>
          <w:rFonts w:cs="Arial"/>
        </w:rPr>
        <w:t xml:space="preserve">The Company has given certain market standard </w:t>
      </w:r>
      <w:r w:rsidR="00496F44">
        <w:rPr>
          <w:rFonts w:cs="Arial"/>
        </w:rPr>
        <w:t xml:space="preserve">warranties in favour of the Registrar and certain market standard </w:t>
      </w:r>
      <w:r w:rsidRPr="00DE5D68">
        <w:rPr>
          <w:rFonts w:cs="Arial"/>
        </w:rPr>
        <w:t xml:space="preserve">indemnities in favour of the Registrar and its affiliates and their </w:t>
      </w:r>
      <w:r w:rsidR="00E56878">
        <w:rPr>
          <w:rFonts w:cs="Arial"/>
        </w:rPr>
        <w:t>d</w:t>
      </w:r>
      <w:r w:rsidRPr="00DE5D68" w:rsidR="000C0D70">
        <w:rPr>
          <w:rFonts w:cs="Arial"/>
        </w:rPr>
        <w:t>irectors</w:t>
      </w:r>
      <w:r w:rsidRPr="00DE5D68">
        <w:rPr>
          <w:rFonts w:cs="Arial"/>
        </w:rPr>
        <w:t>, officers, employees and agents in respect of the Registrar's potential losses in carrying on its responsibilities under the Registrar Agreement. The Registrar's liabilities under the Registrar Agreement</w:t>
      </w:r>
      <w:r w:rsidRPr="00DE5D68" w:rsidR="008B670E">
        <w:rPr>
          <w:rFonts w:cs="Arial"/>
        </w:rPr>
        <w:t xml:space="preserve"> are subject to a cap</w:t>
      </w:r>
      <w:r w:rsidR="00496F44">
        <w:rPr>
          <w:rFonts w:cs="Arial"/>
        </w:rPr>
        <w:t xml:space="preserve"> set at a customary level</w:t>
      </w:r>
      <w:r w:rsidRPr="00DE5D68" w:rsidR="008B670E">
        <w:rPr>
          <w:rFonts w:cs="Arial"/>
        </w:rPr>
        <w:t>.</w:t>
      </w:r>
    </w:p>
    <w:p w:rsidR="00777B27" w:rsidP="00C27D12" w:rsidRDefault="00777B27" w14:paraId="5B45F860" w14:textId="55744456">
      <w:pPr>
        <w:ind w:left="709"/>
        <w:rPr>
          <w:rFonts w:cs="Arial"/>
        </w:rPr>
      </w:pPr>
      <w:r w:rsidRPr="00DE5D68">
        <w:rPr>
          <w:rFonts w:cs="Arial"/>
        </w:rPr>
        <w:t xml:space="preserve">The Registrar Agreement is governed </w:t>
      </w:r>
      <w:r w:rsidR="00D07FA0">
        <w:rPr>
          <w:rFonts w:cs="Arial"/>
        </w:rPr>
        <w:t>by the laws of Guernsey</w:t>
      </w:r>
      <w:r w:rsidRPr="00DE5D68">
        <w:rPr>
          <w:rFonts w:cs="Arial"/>
        </w:rPr>
        <w:t>.</w:t>
      </w:r>
    </w:p>
    <w:p w:rsidRPr="00DE5D68" w:rsidR="001777B4" w:rsidP="007F20E5" w:rsidRDefault="00F9129E" w14:paraId="744FC117" w14:textId="60388D45">
      <w:pPr>
        <w:pStyle w:val="Heading1"/>
        <w:tabs>
          <w:tab w:val="clear" w:pos="709"/>
          <w:tab w:val="clear" w:pos="1134"/>
        </w:tabs>
        <w:ind w:left="709" w:hanging="709"/>
        <w:rPr>
          <w:rFonts w:cs="Arial"/>
          <w:caps w:val="0"/>
        </w:rPr>
      </w:pPr>
      <w:bookmarkStart w:name="_Ref329161314" w:id="295"/>
      <w:bookmarkEnd w:id="294"/>
      <w:r w:rsidRPr="00DE5D68">
        <w:rPr>
          <w:rFonts w:cs="Arial"/>
          <w:caps w:val="0"/>
        </w:rPr>
        <w:t>LITIGATION</w:t>
      </w:r>
      <w:bookmarkEnd w:id="295"/>
    </w:p>
    <w:p w:rsidRPr="00DE5D68" w:rsidR="001777B4" w:rsidP="00C27D12" w:rsidRDefault="007E1FAA" w14:paraId="32AF8E36" w14:textId="42B4713D">
      <w:pPr>
        <w:ind w:left="709"/>
        <w:rPr>
          <w:rFonts w:cs="Arial"/>
        </w:rPr>
      </w:pPr>
      <w:r>
        <w:rPr>
          <w:rFonts w:cs="Arial"/>
        </w:rPr>
        <w:t xml:space="preserve">There </w:t>
      </w:r>
      <w:r w:rsidR="00E85878">
        <w:rPr>
          <w:rFonts w:cs="Arial"/>
        </w:rPr>
        <w:t xml:space="preserve">are </w:t>
      </w:r>
      <w:r>
        <w:rPr>
          <w:rFonts w:cs="Arial"/>
        </w:rPr>
        <w:t>no</w:t>
      </w:r>
      <w:r w:rsidRPr="00DE5D68" w:rsidR="0077604F">
        <w:rPr>
          <w:rFonts w:cs="Arial"/>
        </w:rPr>
        <w:t xml:space="preserve"> governmental, le</w:t>
      </w:r>
      <w:r>
        <w:rPr>
          <w:rFonts w:cs="Arial"/>
        </w:rPr>
        <w:t>gal or arbitration proceedings (</w:t>
      </w:r>
      <w:r w:rsidRPr="00DE5D68" w:rsidR="0077604F">
        <w:rPr>
          <w:rFonts w:cs="Arial"/>
        </w:rPr>
        <w:t>and the Company is not aware of any governmental, legal or arbitration pr</w:t>
      </w:r>
      <w:r>
        <w:rPr>
          <w:rFonts w:cs="Arial"/>
        </w:rPr>
        <w:t>oceedings pending or threatened)</w:t>
      </w:r>
      <w:r w:rsidRPr="00DE5D68" w:rsidR="0077604F">
        <w:rPr>
          <w:rFonts w:cs="Arial"/>
        </w:rPr>
        <w:t xml:space="preserve"> at any time preceding the date of this document which may have, or have had in the recent past, a significant effect on the financial position</w:t>
      </w:r>
      <w:r w:rsidR="00155208">
        <w:rPr>
          <w:rFonts w:cs="Arial"/>
        </w:rPr>
        <w:t xml:space="preserve"> or p</w:t>
      </w:r>
      <w:r w:rsidR="00623355">
        <w:rPr>
          <w:rFonts w:cs="Arial"/>
        </w:rPr>
        <w:t>rofitability of the Company</w:t>
      </w:r>
      <w:r w:rsidRPr="00DE5D68" w:rsidR="0077604F">
        <w:rPr>
          <w:rFonts w:cs="Arial"/>
        </w:rPr>
        <w:t xml:space="preserve">. </w:t>
      </w:r>
    </w:p>
    <w:p w:rsidRPr="00DE5D68" w:rsidR="001777B4" w:rsidP="007F20E5" w:rsidRDefault="00F9129E" w14:paraId="13EF8BF4" w14:textId="74907777">
      <w:pPr>
        <w:pStyle w:val="Heading1"/>
        <w:tabs>
          <w:tab w:val="clear" w:pos="1134"/>
          <w:tab w:val="num" w:pos="709"/>
        </w:tabs>
        <w:rPr>
          <w:rFonts w:cs="Arial"/>
          <w:caps w:val="0"/>
        </w:rPr>
      </w:pPr>
      <w:bookmarkStart w:name="_Ref329161315" w:id="296"/>
      <w:r w:rsidRPr="00DE5D68">
        <w:rPr>
          <w:rFonts w:cs="Arial"/>
          <w:caps w:val="0"/>
        </w:rPr>
        <w:t>WORKING CAPITAL</w:t>
      </w:r>
      <w:bookmarkEnd w:id="296"/>
    </w:p>
    <w:p w:rsidRPr="00DE5D68" w:rsidR="00E55645" w:rsidP="00C27D12" w:rsidRDefault="001777B4" w14:paraId="67D8DD6A" w14:textId="7EA5DA78">
      <w:pPr>
        <w:ind w:left="709"/>
        <w:rPr>
          <w:rFonts w:cs="Arial"/>
        </w:rPr>
      </w:pPr>
      <w:bookmarkStart w:name="_Ref329161316" w:id="297"/>
      <w:r w:rsidRPr="00DE5D68">
        <w:rPr>
          <w:rFonts w:cs="Arial"/>
        </w:rPr>
        <w:t xml:space="preserve">The </w:t>
      </w:r>
      <w:bookmarkStart w:name="_Ref329161317" w:id="298"/>
      <w:bookmarkEnd w:id="297"/>
      <w:r w:rsidRPr="00DE5D68" w:rsidR="00E55645">
        <w:rPr>
          <w:rFonts w:cs="Arial"/>
        </w:rPr>
        <w:t>Company is of the opinion that</w:t>
      </w:r>
      <w:r w:rsidR="00A92BC0">
        <w:rPr>
          <w:rFonts w:cs="Arial"/>
        </w:rPr>
        <w:t>, on the basis the Minimum Net</w:t>
      </w:r>
      <w:r w:rsidRPr="00DE5D68" w:rsidR="00F138CB">
        <w:rPr>
          <w:rFonts w:cs="Arial"/>
        </w:rPr>
        <w:t xml:space="preserve"> Proceeds are raised,</w:t>
      </w:r>
      <w:r w:rsidRPr="00DE5D68" w:rsidR="00F01423">
        <w:rPr>
          <w:rFonts w:cs="Arial"/>
        </w:rPr>
        <w:t xml:space="preserve"> the working capital available to the Company is sufficient for its present </w:t>
      </w:r>
      <w:r w:rsidRPr="00DE5D68" w:rsidR="00AE1946">
        <w:rPr>
          <w:rFonts w:cs="Arial"/>
        </w:rPr>
        <w:t>requirements that</w:t>
      </w:r>
      <w:r w:rsidRPr="00DE5D68" w:rsidR="00E55645">
        <w:rPr>
          <w:rFonts w:cs="Arial"/>
        </w:rPr>
        <w:t xml:space="preserve"> is for at least the next 12 months from the date of this </w:t>
      </w:r>
      <w:r w:rsidRPr="00DE5D68" w:rsidR="00352E5A">
        <w:rPr>
          <w:rFonts w:cs="Arial"/>
        </w:rPr>
        <w:t>document</w:t>
      </w:r>
      <w:r w:rsidRPr="00DE5D68" w:rsidR="00E55645">
        <w:rPr>
          <w:rFonts w:cs="Arial"/>
        </w:rPr>
        <w:t xml:space="preserve">. </w:t>
      </w:r>
    </w:p>
    <w:p w:rsidRPr="00DE5D68" w:rsidR="00561AC2" w:rsidP="00C27D12" w:rsidRDefault="00B942EA" w14:paraId="05B31A2E" w14:textId="15B8E1FC">
      <w:pPr>
        <w:ind w:left="709"/>
        <w:rPr>
          <w:rFonts w:cs="Arial"/>
        </w:rPr>
      </w:pPr>
      <w:r w:rsidRPr="00DE5D68">
        <w:rPr>
          <w:rFonts w:cs="Arial"/>
        </w:rPr>
        <w:t>I</w:t>
      </w:r>
      <w:r w:rsidR="00A92BC0">
        <w:rPr>
          <w:rFonts w:cs="Arial"/>
        </w:rPr>
        <w:t>f the Minimum Net</w:t>
      </w:r>
      <w:r w:rsidRPr="00DE5D68" w:rsidR="00561AC2">
        <w:rPr>
          <w:rFonts w:cs="Arial"/>
        </w:rPr>
        <w:t xml:space="preserve"> Proceeds are not raised, the</w:t>
      </w:r>
      <w:r w:rsidRPr="00DE5D68" w:rsidR="00B01F46">
        <w:rPr>
          <w:rFonts w:cs="Arial"/>
        </w:rPr>
        <w:t xml:space="preserve"> </w:t>
      </w:r>
      <w:r w:rsidR="00E64580">
        <w:rPr>
          <w:rFonts w:cs="Arial"/>
        </w:rPr>
        <w:t>Initial Placing</w:t>
      </w:r>
      <w:r w:rsidRPr="00DE5D68" w:rsidR="00561AC2">
        <w:rPr>
          <w:rFonts w:cs="Arial"/>
        </w:rPr>
        <w:t xml:space="preserve"> may only proceed where a supplementary prospectus (including a working capital statement based on a revised </w:t>
      </w:r>
      <w:r w:rsidR="00A92BC0">
        <w:rPr>
          <w:rFonts w:cs="Arial"/>
        </w:rPr>
        <w:t>Minimum Net</w:t>
      </w:r>
      <w:r w:rsidRPr="00DE5D68" w:rsidR="000C0D70">
        <w:rPr>
          <w:rFonts w:cs="Arial"/>
        </w:rPr>
        <w:t xml:space="preserve"> Proceeds</w:t>
      </w:r>
      <w:r w:rsidRPr="00DE5D68" w:rsidR="00561AC2">
        <w:rPr>
          <w:rFonts w:cs="Arial"/>
        </w:rPr>
        <w:t xml:space="preserve"> figure) has been prepared in relation to t</w:t>
      </w:r>
      <w:r w:rsidRPr="00DE5D68" w:rsidR="001216A9">
        <w:rPr>
          <w:rFonts w:cs="Arial"/>
        </w:rPr>
        <w:t>he Company and approved by the FCA</w:t>
      </w:r>
      <w:r w:rsidRPr="00DE5D68" w:rsidR="00561AC2">
        <w:rPr>
          <w:rFonts w:cs="Arial"/>
        </w:rPr>
        <w:t xml:space="preserve">. In the event that the Company does not wish to prepare and publish a supplementary prospectus incorporating a working capital statement based on a revised </w:t>
      </w:r>
      <w:r w:rsidR="00A92BC0">
        <w:rPr>
          <w:rFonts w:cs="Arial"/>
        </w:rPr>
        <w:t>Minimum Net</w:t>
      </w:r>
      <w:r w:rsidRPr="00DE5D68" w:rsidR="000C0D70">
        <w:rPr>
          <w:rFonts w:cs="Arial"/>
        </w:rPr>
        <w:t xml:space="preserve"> Proceeds</w:t>
      </w:r>
      <w:r w:rsidRPr="00DE5D68" w:rsidR="00561AC2">
        <w:rPr>
          <w:rFonts w:cs="Arial"/>
        </w:rPr>
        <w:t xml:space="preserve"> figure the </w:t>
      </w:r>
      <w:r w:rsidRPr="00DE5D68" w:rsidR="00A50C3E">
        <w:rPr>
          <w:rFonts w:cs="Arial"/>
        </w:rPr>
        <w:t>i</w:t>
      </w:r>
      <w:r w:rsidRPr="00DE5D68" w:rsidR="00561AC2">
        <w:rPr>
          <w:rFonts w:cs="Arial"/>
        </w:rPr>
        <w:t>ssue will not proceed, the arrangements in respect of the</w:t>
      </w:r>
      <w:r w:rsidRPr="00DE5D68" w:rsidR="00B01F46">
        <w:rPr>
          <w:rFonts w:cs="Arial"/>
        </w:rPr>
        <w:t xml:space="preserve"> </w:t>
      </w:r>
      <w:r w:rsidR="00E64580">
        <w:rPr>
          <w:rFonts w:cs="Arial"/>
        </w:rPr>
        <w:t>Initial Placing</w:t>
      </w:r>
      <w:r w:rsidRPr="00DE5D68" w:rsidR="00561AC2">
        <w:rPr>
          <w:rFonts w:cs="Arial"/>
        </w:rPr>
        <w:t xml:space="preserve"> will lapse and any mo</w:t>
      </w:r>
      <w:r w:rsidRPr="00DE5D68" w:rsidR="001216A9">
        <w:rPr>
          <w:rFonts w:cs="Arial"/>
        </w:rPr>
        <w:t xml:space="preserve">nies received in respect of the </w:t>
      </w:r>
      <w:r w:rsidRPr="00DE5D68" w:rsidR="00A50C3E">
        <w:rPr>
          <w:rFonts w:cs="Arial"/>
        </w:rPr>
        <w:t>i</w:t>
      </w:r>
      <w:r w:rsidRPr="00DE5D68" w:rsidR="00561AC2">
        <w:rPr>
          <w:rFonts w:cs="Arial"/>
        </w:rPr>
        <w:t xml:space="preserve">ssue will be returned to </w:t>
      </w:r>
      <w:r w:rsidR="007E1FAA">
        <w:rPr>
          <w:rFonts w:cs="Arial"/>
        </w:rPr>
        <w:t>investors</w:t>
      </w:r>
      <w:r w:rsidRPr="00DE5D68" w:rsidR="00561AC2">
        <w:rPr>
          <w:rFonts w:cs="Arial"/>
        </w:rPr>
        <w:t xml:space="preserve"> without interest </w:t>
      </w:r>
      <w:r w:rsidRPr="00DE5D68" w:rsidR="00C75FF9">
        <w:rPr>
          <w:rFonts w:cs="Arial"/>
        </w:rPr>
        <w:t xml:space="preserve">at </w:t>
      </w:r>
      <w:r w:rsidR="0000793E">
        <w:rPr>
          <w:rFonts w:cs="Arial"/>
        </w:rPr>
        <w:t xml:space="preserve">the </w:t>
      </w:r>
      <w:r w:rsidRPr="00DE5D68" w:rsidR="00C75FF9">
        <w:rPr>
          <w:rFonts w:cs="Arial"/>
        </w:rPr>
        <w:t>investors' risk.</w:t>
      </w:r>
    </w:p>
    <w:bookmarkEnd w:id="298"/>
    <w:p w:rsidRPr="00DE5D68" w:rsidR="00E55645" w:rsidP="007F20E5" w:rsidRDefault="00F9129E" w14:paraId="4300150D" w14:textId="6544038B">
      <w:pPr>
        <w:pStyle w:val="Heading1"/>
        <w:tabs>
          <w:tab w:val="clear" w:pos="1134"/>
          <w:tab w:val="num" w:pos="709"/>
        </w:tabs>
        <w:rPr>
          <w:rFonts w:cs="Arial"/>
          <w:caps w:val="0"/>
        </w:rPr>
      </w:pPr>
      <w:r w:rsidRPr="00DE5D68">
        <w:rPr>
          <w:rFonts w:cs="Arial"/>
          <w:caps w:val="0"/>
        </w:rPr>
        <w:t>NO SIGNIFICANT CHANGE</w:t>
      </w:r>
    </w:p>
    <w:p w:rsidRPr="0000793E" w:rsidR="00E835C9" w:rsidP="0000793E" w:rsidRDefault="00966C7B" w14:paraId="0F2278D5" w14:textId="40274974">
      <w:pPr>
        <w:ind w:left="709"/>
        <w:rPr>
          <w:rFonts w:cs="Arial"/>
        </w:rPr>
      </w:pPr>
      <w:r>
        <w:rPr>
          <w:rFonts w:cs="Arial"/>
        </w:rPr>
        <w:t>T</w:t>
      </w:r>
      <w:r w:rsidR="002846E0">
        <w:rPr>
          <w:rFonts w:cs="Arial"/>
        </w:rPr>
        <w:t>here has been no significant change in the financial position of th</w:t>
      </w:r>
      <w:r w:rsidR="00F6186E">
        <w:rPr>
          <w:rFonts w:cs="Arial"/>
        </w:rPr>
        <w:t xml:space="preserve">e Company since </w:t>
      </w:r>
      <w:r w:rsidR="0094756F">
        <w:rPr>
          <w:rFonts w:cs="Arial"/>
        </w:rPr>
        <w:t>20 January</w:t>
      </w:r>
      <w:r w:rsidR="00044E36">
        <w:rPr>
          <w:rFonts w:cs="Arial"/>
        </w:rPr>
        <w:t xml:space="preserve"> 202</w:t>
      </w:r>
      <w:r w:rsidR="00170D56">
        <w:rPr>
          <w:rFonts w:cs="Arial"/>
        </w:rPr>
        <w:t>5</w:t>
      </w:r>
      <w:r w:rsidR="002846E0">
        <w:rPr>
          <w:rFonts w:cs="Arial"/>
        </w:rPr>
        <w:t>, being the</w:t>
      </w:r>
      <w:r w:rsidR="0000793E">
        <w:rPr>
          <w:rFonts w:cs="Arial"/>
        </w:rPr>
        <w:t xml:space="preserve"> date of </w:t>
      </w:r>
      <w:r>
        <w:rPr>
          <w:rFonts w:cs="Arial"/>
        </w:rPr>
        <w:t xml:space="preserve">its </w:t>
      </w:r>
      <w:r w:rsidR="0000793E">
        <w:rPr>
          <w:rFonts w:cs="Arial"/>
        </w:rPr>
        <w:t>incorporation.</w:t>
      </w:r>
    </w:p>
    <w:p w:rsidRPr="00DE5D68" w:rsidR="00C63DD6" w:rsidP="007F20E5" w:rsidRDefault="00F9129E" w14:paraId="7813F6B4" w14:textId="7D48DA50">
      <w:pPr>
        <w:pStyle w:val="Heading1"/>
        <w:tabs>
          <w:tab w:val="clear" w:pos="1134"/>
          <w:tab w:val="num" w:pos="709"/>
        </w:tabs>
        <w:rPr>
          <w:rFonts w:cs="Arial"/>
          <w:caps w:val="0"/>
        </w:rPr>
      </w:pPr>
      <w:bookmarkStart w:name="_Ref329171172" w:id="299"/>
      <w:bookmarkStart w:name="_Ref329161318" w:id="300"/>
      <w:r w:rsidRPr="00DE5D68">
        <w:rPr>
          <w:rFonts w:cs="Arial"/>
          <w:caps w:val="0"/>
        </w:rPr>
        <w:t>CAPITALISATION AND INDEBTEDNESS</w:t>
      </w:r>
      <w:bookmarkEnd w:id="299"/>
      <w:r w:rsidRPr="00DE5D68">
        <w:rPr>
          <w:rFonts w:cs="Arial"/>
          <w:caps w:val="0"/>
        </w:rPr>
        <w:t xml:space="preserve"> </w:t>
      </w:r>
    </w:p>
    <w:p w:rsidR="00282B9D" w:rsidP="00282B9D" w:rsidRDefault="0000793E" w14:paraId="6355AE53" w14:textId="78300AA4">
      <w:pPr>
        <w:pStyle w:val="Body20"/>
      </w:pPr>
      <w:r>
        <w:t xml:space="preserve">As at the date of this document the Company has </w:t>
      </w:r>
      <w:proofErr w:type="gramStart"/>
      <w:r>
        <w:t>no</w:t>
      </w:r>
      <w:proofErr w:type="gramEnd"/>
      <w:r>
        <w:t xml:space="preserve"> guaranteed, secured, unguaranteed or unsecured debt and no indirect or contingent indebtedness, and has not entered into any mortgage, charge or security interest, and the Company’s issued share capital consists of </w:t>
      </w:r>
      <w:r w:rsidR="00E56878">
        <w:t>one</w:t>
      </w:r>
      <w:r>
        <w:t xml:space="preserve"> Ordinary Share.</w:t>
      </w:r>
    </w:p>
    <w:p w:rsidRPr="00DE5D68" w:rsidR="001777B4" w:rsidP="007F20E5" w:rsidRDefault="00F9129E" w14:paraId="7695AC34" w14:textId="6EEC21B3">
      <w:pPr>
        <w:pStyle w:val="Heading1"/>
        <w:tabs>
          <w:tab w:val="clear" w:pos="709"/>
        </w:tabs>
        <w:ind w:left="709" w:hanging="709"/>
        <w:rPr>
          <w:rFonts w:cs="Arial"/>
          <w:caps w:val="0"/>
        </w:rPr>
      </w:pPr>
      <w:bookmarkStart w:name="_Ref329161326" w:id="301"/>
      <w:bookmarkEnd w:id="300"/>
      <w:r w:rsidRPr="00DE5D68">
        <w:rPr>
          <w:rFonts w:cs="Arial"/>
          <w:caps w:val="0"/>
        </w:rPr>
        <w:lastRenderedPageBreak/>
        <w:t>GENERAL</w:t>
      </w:r>
      <w:bookmarkEnd w:id="301"/>
    </w:p>
    <w:p w:rsidRPr="00DE5D68" w:rsidR="00163EBF" w:rsidP="007944C6" w:rsidRDefault="00A70322" w14:paraId="66FC3C87" w14:textId="7C85CE63">
      <w:pPr>
        <w:pStyle w:val="Heading2"/>
        <w:rPr>
          <w:rFonts w:cs="Arial"/>
        </w:rPr>
      </w:pPr>
      <w:r w:rsidRPr="00DE5D68">
        <w:rPr>
          <w:rFonts w:cs="Arial"/>
        </w:rPr>
        <w:t>Where third party information has been referenced in this document, the source of that third party information has been disclosed. All information in this document that has been sourced from third parties has been accurately reproduced and, as far as the Company is aware and able to ascertain from information published by such third parties, no facts have been omitted which would render the reproduced information inaccurate or misleading.</w:t>
      </w:r>
      <w:r w:rsidRPr="00DE5D68" w:rsidR="00FC774C">
        <w:rPr>
          <w:rFonts w:cs="Arial"/>
        </w:rPr>
        <w:t xml:space="preserve"> </w:t>
      </w:r>
    </w:p>
    <w:p w:rsidRPr="00DE5D68" w:rsidR="00163EBF" w:rsidP="007944C6" w:rsidRDefault="004F6ACE" w14:paraId="75AAE7C6" w14:textId="73D5CCEE">
      <w:pPr>
        <w:pStyle w:val="Heading2"/>
        <w:rPr>
          <w:rFonts w:cs="Arial"/>
        </w:rPr>
      </w:pPr>
      <w:r w:rsidRPr="00DE5D68">
        <w:rPr>
          <w:rFonts w:cs="Arial"/>
        </w:rPr>
        <w:t xml:space="preserve">No application is being made for the </w:t>
      </w:r>
      <w:r w:rsidR="0000793E">
        <w:rPr>
          <w:rFonts w:cs="Arial"/>
        </w:rPr>
        <w:t xml:space="preserve">Ordinary </w:t>
      </w:r>
      <w:r w:rsidRPr="00DE5D68" w:rsidR="00C21FEA">
        <w:rPr>
          <w:rFonts w:cs="Arial"/>
        </w:rPr>
        <w:t>Shares</w:t>
      </w:r>
      <w:r w:rsidRPr="00DE5D68">
        <w:rPr>
          <w:rFonts w:cs="Arial"/>
        </w:rPr>
        <w:t xml:space="preserve"> to be dealt with in or on any stock exchange or investment exchange other than </w:t>
      </w:r>
      <w:r w:rsidRPr="00DE5D68" w:rsidR="00A75A4C">
        <w:rPr>
          <w:rFonts w:cs="Arial"/>
        </w:rPr>
        <w:t xml:space="preserve">to the </w:t>
      </w:r>
      <w:r w:rsidRPr="00DE5D68" w:rsidR="0051769E">
        <w:rPr>
          <w:rFonts w:cs="Arial"/>
        </w:rPr>
        <w:t xml:space="preserve">Specialist Fund Segment of the </w:t>
      </w:r>
      <w:r w:rsidRPr="00DE5D68" w:rsidR="00E355F0">
        <w:rPr>
          <w:rFonts w:cs="Arial"/>
        </w:rPr>
        <w:t>M</w:t>
      </w:r>
      <w:r w:rsidRPr="00DE5D68" w:rsidR="00A75A4C">
        <w:rPr>
          <w:rFonts w:cs="Arial"/>
        </w:rPr>
        <w:t xml:space="preserve">ain </w:t>
      </w:r>
      <w:r w:rsidRPr="00DE5D68" w:rsidR="00E355F0">
        <w:rPr>
          <w:rFonts w:cs="Arial"/>
        </w:rPr>
        <w:t>M</w:t>
      </w:r>
      <w:r w:rsidRPr="00DE5D68" w:rsidR="00A75A4C">
        <w:rPr>
          <w:rFonts w:cs="Arial"/>
        </w:rPr>
        <w:t>arket</w:t>
      </w:r>
      <w:r w:rsidRPr="00DE5D68">
        <w:rPr>
          <w:rFonts w:cs="Arial"/>
        </w:rPr>
        <w:t>.</w:t>
      </w:r>
      <w:bookmarkStart w:name="_Ref329161336" w:id="302"/>
      <w:bookmarkStart w:name="_Ref329161337" w:id="303"/>
      <w:r w:rsidRPr="00DE5D68" w:rsidR="0046696D">
        <w:rPr>
          <w:rFonts w:cs="Arial"/>
        </w:rPr>
        <w:t xml:space="preserve"> </w:t>
      </w:r>
    </w:p>
    <w:p w:rsidRPr="003309E6" w:rsidR="008F2BB4" w:rsidP="007944C6" w:rsidRDefault="00DD0C05" w14:paraId="388A83E0" w14:textId="605A7702">
      <w:pPr>
        <w:pStyle w:val="Heading2"/>
        <w:rPr>
          <w:rFonts w:cs="Arial"/>
        </w:rPr>
      </w:pPr>
      <w:r>
        <w:rPr>
          <w:rFonts w:cs="Arial"/>
        </w:rPr>
        <w:t>Singer Capital Markets</w:t>
      </w:r>
      <w:r w:rsidR="0000793E">
        <w:rPr>
          <w:rFonts w:cs="Arial"/>
        </w:rPr>
        <w:t xml:space="preserve"> </w:t>
      </w:r>
      <w:r w:rsidRPr="00DE5D68" w:rsidR="00777B27">
        <w:rPr>
          <w:rFonts w:cs="Arial"/>
        </w:rPr>
        <w:t xml:space="preserve">has given and not withdrawn its written consent to the inclusion in this </w:t>
      </w:r>
      <w:r w:rsidRPr="003309E6" w:rsidR="00777B27">
        <w:rPr>
          <w:rFonts w:cs="Arial"/>
        </w:rPr>
        <w:t>document of references to its name in the form and context in which it appears.</w:t>
      </w:r>
      <w:bookmarkEnd w:id="302"/>
      <w:bookmarkEnd w:id="303"/>
    </w:p>
    <w:p w:rsidRPr="003309E6" w:rsidR="007A2645" w:rsidP="0000793E" w:rsidRDefault="00A67559" w14:paraId="0D1AEFB6" w14:textId="325E46F5">
      <w:pPr>
        <w:pStyle w:val="Heading2"/>
        <w:rPr>
          <w:rFonts w:cs="Arial"/>
        </w:rPr>
      </w:pPr>
      <w:r w:rsidRPr="003309E6">
        <w:rPr>
          <w:rFonts w:cs="Arial"/>
        </w:rPr>
        <w:t xml:space="preserve">The Investment Manager </w:t>
      </w:r>
      <w:r w:rsidRPr="003309E6" w:rsidR="00A54DED">
        <w:rPr>
          <w:rFonts w:cs="Arial"/>
        </w:rPr>
        <w:t>was incorporat</w:t>
      </w:r>
      <w:r w:rsidRPr="003309E6" w:rsidR="0084321C">
        <w:rPr>
          <w:rFonts w:cs="Arial"/>
        </w:rPr>
        <w:t>ed</w:t>
      </w:r>
      <w:r w:rsidRPr="003309E6" w:rsidR="00233575">
        <w:rPr>
          <w:rFonts w:cs="Arial"/>
        </w:rPr>
        <w:t xml:space="preserve"> in </w:t>
      </w:r>
      <w:r w:rsidR="005B78A8">
        <w:rPr>
          <w:rFonts w:cs="Arial"/>
        </w:rPr>
        <w:t>Gibraltar</w:t>
      </w:r>
      <w:r w:rsidRPr="003309E6" w:rsidR="00233575">
        <w:rPr>
          <w:rFonts w:cs="Arial"/>
        </w:rPr>
        <w:t xml:space="preserve"> as a </w:t>
      </w:r>
      <w:r w:rsidRPr="003309E6" w:rsidR="00C75FF9">
        <w:rPr>
          <w:rFonts w:cs="Arial"/>
        </w:rPr>
        <w:t xml:space="preserve">limited </w:t>
      </w:r>
      <w:r w:rsidRPr="003309E6" w:rsidR="009B666E">
        <w:rPr>
          <w:rFonts w:cs="Arial"/>
        </w:rPr>
        <w:t xml:space="preserve">liability </w:t>
      </w:r>
      <w:r w:rsidR="005B78A8">
        <w:rPr>
          <w:rFonts w:cs="Arial"/>
        </w:rPr>
        <w:t>company</w:t>
      </w:r>
      <w:r w:rsidRPr="003309E6" w:rsidR="0084321C">
        <w:rPr>
          <w:rFonts w:cs="Arial"/>
        </w:rPr>
        <w:t xml:space="preserve"> on </w:t>
      </w:r>
      <w:r w:rsidR="005B78A8">
        <w:rPr>
          <w:rStyle w:val="Level3asHeadingtext"/>
          <w:rFonts w:cs="Arial"/>
          <w:b w:val="0"/>
        </w:rPr>
        <w:t>13 April 2018</w:t>
      </w:r>
      <w:r w:rsidRPr="003309E6" w:rsidR="0036784B">
        <w:rPr>
          <w:rFonts w:cs="Arial"/>
        </w:rPr>
        <w:t xml:space="preserve"> </w:t>
      </w:r>
      <w:r w:rsidRPr="003309E6" w:rsidR="0081441F">
        <w:rPr>
          <w:rFonts w:cs="Arial"/>
        </w:rPr>
        <w:t xml:space="preserve">under the </w:t>
      </w:r>
      <w:r w:rsidRPr="003309E6" w:rsidR="00640CB6">
        <w:rPr>
          <w:rFonts w:cs="Arial"/>
        </w:rPr>
        <w:fldChar w:fldCharType="begin">
          <w:fldData xml:space="preserve">dgAxAHwAMQAwADAANQAzAHwAQwBvAG0AcABhAG4AaQBlAHMAIABBAGMAdAAgADIAMAAwADYAfABC
AEUAUwBUAEIATABUAEkAVABMAEUANwAyADYAMgAyADEAfAB8AA==
</w:fldData>
        </w:fldChar>
      </w:r>
      <w:r w:rsidRPr="003309E6" w:rsidR="00640CB6">
        <w:rPr>
          <w:rFonts w:cs="Arial"/>
        </w:rPr>
        <w:instrText xml:space="preserve"> ADDIN CiteCheck Marker </w:instrText>
      </w:r>
      <w:r w:rsidRPr="003309E6" w:rsidR="00640CB6">
        <w:rPr>
          <w:rFonts w:cs="Arial"/>
        </w:rPr>
      </w:r>
      <w:r w:rsidRPr="003309E6" w:rsidR="00640CB6">
        <w:rPr>
          <w:rFonts w:cs="Arial"/>
        </w:rPr>
        <w:fldChar w:fldCharType="end"/>
      </w:r>
      <w:r w:rsidR="005B78A8">
        <w:rPr>
          <w:rFonts w:cs="Arial"/>
        </w:rPr>
        <w:t>Gibraltar Companies Act 2014</w:t>
      </w:r>
      <w:r w:rsidRPr="003309E6" w:rsidR="00C40213">
        <w:rPr>
          <w:rFonts w:cs="Arial"/>
        </w:rPr>
        <w:t xml:space="preserve"> </w:t>
      </w:r>
      <w:r w:rsidRPr="003309E6" w:rsidR="00233575">
        <w:rPr>
          <w:rFonts w:cs="Arial"/>
        </w:rPr>
        <w:t>(registration</w:t>
      </w:r>
      <w:r w:rsidRPr="003309E6" w:rsidR="00C75FF9">
        <w:rPr>
          <w:rFonts w:cs="Arial"/>
        </w:rPr>
        <w:t xml:space="preserve"> number </w:t>
      </w:r>
      <w:bookmarkStart w:name="_Hlk188610232" w:id="304"/>
      <w:r w:rsidR="005B78A8">
        <w:rPr>
          <w:rFonts w:cs="Arial"/>
        </w:rPr>
        <w:t>117213</w:t>
      </w:r>
      <w:bookmarkEnd w:id="304"/>
      <w:r w:rsidRPr="003309E6" w:rsidR="008F2BB4">
        <w:rPr>
          <w:rFonts w:cs="Arial"/>
        </w:rPr>
        <w:t xml:space="preserve">). </w:t>
      </w:r>
      <w:r w:rsidR="005B78A8">
        <w:rPr>
          <w:rFonts w:cs="Arial"/>
        </w:rPr>
        <w:t xml:space="preserve">The LEI of the Investment Manager is </w:t>
      </w:r>
      <w:r w:rsidRPr="005B78A8" w:rsidR="005B78A8">
        <w:rPr>
          <w:rFonts w:cs="Arial"/>
        </w:rPr>
        <w:t>2138003KV1UHXU95V824</w:t>
      </w:r>
      <w:r w:rsidR="005B78A8">
        <w:rPr>
          <w:rFonts w:cs="Arial"/>
        </w:rPr>
        <w:t xml:space="preserve">. </w:t>
      </w:r>
      <w:r w:rsidRPr="003309E6" w:rsidR="00B01F46">
        <w:rPr>
          <w:rFonts w:cs="Arial"/>
        </w:rPr>
        <w:t xml:space="preserve">The </w:t>
      </w:r>
      <w:r w:rsidRPr="003309E6" w:rsidR="0081441F">
        <w:rPr>
          <w:rFonts w:cs="Arial"/>
        </w:rPr>
        <w:t xml:space="preserve">Investment </w:t>
      </w:r>
      <w:r w:rsidRPr="003309E6" w:rsidR="00327538">
        <w:rPr>
          <w:rFonts w:cs="Arial"/>
        </w:rPr>
        <w:t>Manager</w:t>
      </w:r>
      <w:r w:rsidRPr="003309E6" w:rsidR="00A54DED">
        <w:rPr>
          <w:rFonts w:cs="Arial"/>
        </w:rPr>
        <w:t xml:space="preserve"> is</w:t>
      </w:r>
      <w:r w:rsidRPr="003309E6" w:rsidR="006A3DB1">
        <w:rPr>
          <w:rFonts w:cs="Arial"/>
        </w:rPr>
        <w:t xml:space="preserve"> authorised and</w:t>
      </w:r>
      <w:r w:rsidRPr="003309E6" w:rsidR="00A54DED">
        <w:rPr>
          <w:rFonts w:cs="Arial"/>
        </w:rPr>
        <w:t xml:space="preserve"> regulated by </w:t>
      </w:r>
      <w:r w:rsidR="005B78A8">
        <w:rPr>
          <w:rFonts w:cs="Arial"/>
        </w:rPr>
        <w:t xml:space="preserve">the </w:t>
      </w:r>
      <w:r w:rsidRPr="005B78A8" w:rsidR="005B78A8">
        <w:rPr>
          <w:rFonts w:cs="Arial"/>
        </w:rPr>
        <w:t xml:space="preserve">Gibraltar Financial Services Commission under the </w:t>
      </w:r>
      <w:r w:rsidR="005B78A8">
        <w:rPr>
          <w:rFonts w:cs="Arial"/>
        </w:rPr>
        <w:t xml:space="preserve">Gibraltar </w:t>
      </w:r>
      <w:r w:rsidRPr="005B78A8" w:rsidR="005B78A8">
        <w:rPr>
          <w:rFonts w:cs="Arial"/>
        </w:rPr>
        <w:t>Financial Services Act 2019</w:t>
      </w:r>
      <w:r w:rsidRPr="003309E6" w:rsidR="00A54DED">
        <w:rPr>
          <w:rFonts w:cs="Arial"/>
        </w:rPr>
        <w:t xml:space="preserve">. </w:t>
      </w:r>
      <w:bookmarkStart w:name="_Hlk190161632" w:id="305"/>
      <w:r w:rsidRPr="003309E6" w:rsidR="00A54DED">
        <w:rPr>
          <w:rFonts w:cs="Arial"/>
        </w:rPr>
        <w:t xml:space="preserve">The registered office of the </w:t>
      </w:r>
      <w:r w:rsidRPr="003309E6" w:rsidR="0081441F">
        <w:rPr>
          <w:rFonts w:cs="Arial"/>
        </w:rPr>
        <w:t>Investment</w:t>
      </w:r>
      <w:r w:rsidRPr="003309E6" w:rsidR="00327538">
        <w:rPr>
          <w:rFonts w:cs="Arial"/>
        </w:rPr>
        <w:t xml:space="preserve"> Manager</w:t>
      </w:r>
      <w:r w:rsidRPr="003309E6" w:rsidR="00A54DED">
        <w:rPr>
          <w:rFonts w:cs="Arial"/>
        </w:rPr>
        <w:t xml:space="preserve"> </w:t>
      </w:r>
      <w:r w:rsidRPr="003309E6" w:rsidR="0081441F">
        <w:rPr>
          <w:rFonts w:cs="Arial"/>
        </w:rPr>
        <w:t xml:space="preserve">is </w:t>
      </w:r>
      <w:bookmarkStart w:name="_Hlk190186837" w:id="306"/>
      <w:bookmarkStart w:name="_Hlk188610248" w:id="307"/>
      <w:r w:rsidRPr="005B78A8" w:rsidR="005B78A8">
        <w:rPr>
          <w:rFonts w:cs="Arial"/>
        </w:rPr>
        <w:t xml:space="preserve">Suite 23, Portland House, Glacis Road, Gibraltar GX11 </w:t>
      </w:r>
      <w:bookmarkStart w:name="_Hlk188880729" w:id="308"/>
      <w:r w:rsidRPr="005B78A8" w:rsidR="005B78A8">
        <w:rPr>
          <w:rFonts w:cs="Arial"/>
        </w:rPr>
        <w:t>1AA</w:t>
      </w:r>
      <w:bookmarkEnd w:id="306"/>
      <w:r w:rsidRPr="003309E6" w:rsidR="0000793E">
        <w:rPr>
          <w:rFonts w:cs="Arial"/>
        </w:rPr>
        <w:t xml:space="preserve"> </w:t>
      </w:r>
      <w:bookmarkEnd w:id="307"/>
      <w:r w:rsidRPr="003309E6" w:rsidR="00A54DED">
        <w:rPr>
          <w:rFonts w:cs="Arial"/>
        </w:rPr>
        <w:t>(tel.</w:t>
      </w:r>
      <w:r w:rsidR="005B78A8">
        <w:rPr>
          <w:rFonts w:cs="Arial"/>
        </w:rPr>
        <w:t xml:space="preserve"> </w:t>
      </w:r>
      <w:r w:rsidR="002A11A2">
        <w:rPr>
          <w:rFonts w:cs="Arial"/>
        </w:rPr>
        <w:t xml:space="preserve">+44 </w:t>
      </w:r>
      <w:r w:rsidRPr="002A11A2" w:rsidR="002A11A2">
        <w:rPr>
          <w:rFonts w:cs="Arial"/>
        </w:rPr>
        <w:t>20 7640 3200</w:t>
      </w:r>
      <w:r w:rsidRPr="003309E6" w:rsidR="00225161">
        <w:rPr>
          <w:rFonts w:cs="Arial"/>
        </w:rPr>
        <w:t xml:space="preserve">). </w:t>
      </w:r>
      <w:bookmarkEnd w:id="308"/>
      <w:bookmarkEnd w:id="305"/>
      <w:r w:rsidRPr="003309E6" w:rsidR="00A54DED">
        <w:rPr>
          <w:rFonts w:cs="Arial"/>
        </w:rPr>
        <w:t xml:space="preserve">The </w:t>
      </w:r>
      <w:r w:rsidRPr="003309E6" w:rsidR="0081441F">
        <w:rPr>
          <w:rFonts w:cs="Arial"/>
        </w:rPr>
        <w:t>Investment</w:t>
      </w:r>
      <w:r w:rsidRPr="003309E6" w:rsidR="00327538">
        <w:rPr>
          <w:rFonts w:cs="Arial"/>
        </w:rPr>
        <w:t xml:space="preserve"> Manager</w:t>
      </w:r>
      <w:r w:rsidRPr="003309E6" w:rsidR="00A54DED">
        <w:rPr>
          <w:rFonts w:cs="Arial"/>
        </w:rPr>
        <w:t xml:space="preserve"> has given and not withdrawn its written consent to the inclusion in this document of references to its name in the form and</w:t>
      </w:r>
      <w:r w:rsidRPr="003309E6" w:rsidR="002F3DD7">
        <w:rPr>
          <w:rFonts w:cs="Arial"/>
        </w:rPr>
        <w:t xml:space="preserve"> context in which they appear. </w:t>
      </w:r>
      <w:r w:rsidRPr="00B921FE" w:rsidR="002F3DD7">
        <w:rPr>
          <w:rFonts w:cs="Arial"/>
        </w:rPr>
        <w:t>T</w:t>
      </w:r>
      <w:r w:rsidRPr="00B921FE" w:rsidR="00934B8E">
        <w:rPr>
          <w:rFonts w:cs="Arial"/>
        </w:rPr>
        <w:t xml:space="preserve">he </w:t>
      </w:r>
      <w:r w:rsidRPr="00B921FE" w:rsidR="0081441F">
        <w:rPr>
          <w:rFonts w:cs="Arial"/>
        </w:rPr>
        <w:t>Investment</w:t>
      </w:r>
      <w:r w:rsidRPr="00B921FE" w:rsidR="00786BA1">
        <w:rPr>
          <w:rFonts w:cs="Arial"/>
        </w:rPr>
        <w:t xml:space="preserve"> Manager accept</w:t>
      </w:r>
      <w:r w:rsidRPr="00B921FE" w:rsidR="002B4848">
        <w:rPr>
          <w:rFonts w:cs="Arial"/>
        </w:rPr>
        <w:t>s</w:t>
      </w:r>
      <w:r w:rsidRPr="00B921FE" w:rsidR="00786BA1">
        <w:rPr>
          <w:rFonts w:cs="Arial"/>
        </w:rPr>
        <w:t xml:space="preserve"> re</w:t>
      </w:r>
      <w:r w:rsidRPr="00B921FE" w:rsidR="00934B8E">
        <w:rPr>
          <w:rFonts w:cs="Arial"/>
        </w:rPr>
        <w:t xml:space="preserve">sponsibility for </w:t>
      </w:r>
      <w:r w:rsidRPr="00B921FE" w:rsidR="002041BB">
        <w:rPr>
          <w:rFonts w:cs="Arial"/>
        </w:rPr>
        <w:t>the sections of the</w:t>
      </w:r>
      <w:r w:rsidRPr="00B921FE" w:rsidR="0079332A">
        <w:rPr>
          <w:rFonts w:cs="Arial"/>
        </w:rPr>
        <w:t xml:space="preserve"> Summary </w:t>
      </w:r>
      <w:bookmarkStart w:name="_Hlk190176450" w:id="309"/>
      <w:r w:rsidRPr="00B921FE" w:rsidR="0079332A">
        <w:rPr>
          <w:rFonts w:cs="Arial"/>
        </w:rPr>
        <w:t xml:space="preserve">entitled "Key risks relating to the Investment Strategy" and "Key risks relating to the Investment Manager", </w:t>
      </w:r>
      <w:bookmarkEnd w:id="309"/>
      <w:r w:rsidRPr="00B921FE" w:rsidR="0079332A">
        <w:rPr>
          <w:rFonts w:cs="Arial"/>
        </w:rPr>
        <w:t xml:space="preserve">the section of the </w:t>
      </w:r>
      <w:r w:rsidRPr="00B921FE" w:rsidR="0000793E">
        <w:rPr>
          <w:rFonts w:cs="Arial"/>
        </w:rPr>
        <w:t xml:space="preserve">Risk Factors </w:t>
      </w:r>
      <w:r w:rsidRPr="00B921FE" w:rsidR="002041BB">
        <w:rPr>
          <w:rFonts w:cs="Arial"/>
        </w:rPr>
        <w:t xml:space="preserve">entitled </w:t>
      </w:r>
      <w:r w:rsidRPr="00B921FE" w:rsidR="0079332A">
        <w:rPr>
          <w:rFonts w:cs="Arial"/>
        </w:rPr>
        <w:t>"</w:t>
      </w:r>
      <w:r w:rsidRPr="00B921FE" w:rsidR="002041BB">
        <w:rPr>
          <w:rFonts w:cs="Arial"/>
        </w:rPr>
        <w:t xml:space="preserve">Risks relating to the </w:t>
      </w:r>
      <w:r w:rsidRPr="00B921FE" w:rsidR="003309E6">
        <w:rPr>
          <w:rFonts w:cs="Arial"/>
        </w:rPr>
        <w:t>I</w:t>
      </w:r>
      <w:r w:rsidRPr="00B921FE" w:rsidR="002041BB">
        <w:rPr>
          <w:rFonts w:cs="Arial"/>
        </w:rPr>
        <w:t xml:space="preserve">nvestment </w:t>
      </w:r>
      <w:r w:rsidRPr="00B921FE" w:rsidR="003309E6">
        <w:rPr>
          <w:rFonts w:cs="Arial"/>
        </w:rPr>
        <w:t>S</w:t>
      </w:r>
      <w:r w:rsidRPr="00B921FE" w:rsidR="002041BB">
        <w:rPr>
          <w:rFonts w:cs="Arial"/>
        </w:rPr>
        <w:t>trategy</w:t>
      </w:r>
      <w:r w:rsidRPr="00B921FE" w:rsidR="0079332A">
        <w:rPr>
          <w:rFonts w:cs="Arial"/>
        </w:rPr>
        <w:t>"</w:t>
      </w:r>
      <w:r w:rsidRPr="00B921FE" w:rsidR="002041BB">
        <w:rPr>
          <w:rFonts w:cs="Arial"/>
        </w:rPr>
        <w:t xml:space="preserve"> and </w:t>
      </w:r>
      <w:r w:rsidRPr="00B921FE" w:rsidR="0079332A">
        <w:rPr>
          <w:rFonts w:cs="Arial"/>
        </w:rPr>
        <w:t>"</w:t>
      </w:r>
      <w:r w:rsidRPr="00B921FE" w:rsidR="009B666E">
        <w:rPr>
          <w:rFonts w:cs="Arial"/>
        </w:rPr>
        <w:t>R</w:t>
      </w:r>
      <w:r w:rsidRPr="00B921FE" w:rsidR="002041BB">
        <w:rPr>
          <w:rFonts w:cs="Arial"/>
        </w:rPr>
        <w:t>isks relating to the Investment Manager</w:t>
      </w:r>
      <w:r w:rsidRPr="00B921FE" w:rsidR="0079332A">
        <w:rPr>
          <w:rFonts w:cs="Arial"/>
        </w:rPr>
        <w:t>"</w:t>
      </w:r>
      <w:r w:rsidRPr="00B921FE" w:rsidR="002041BB">
        <w:rPr>
          <w:rFonts w:cs="Arial"/>
        </w:rPr>
        <w:t xml:space="preserve">, the sections of </w:t>
      </w:r>
      <w:r w:rsidRPr="00B921FE" w:rsidR="00660FF6">
        <w:rPr>
          <w:rFonts w:cs="Arial"/>
        </w:rPr>
        <w:t>P</w:t>
      </w:r>
      <w:r w:rsidRPr="00B921FE" w:rsidR="00440C55">
        <w:rPr>
          <w:rFonts w:cs="Arial"/>
        </w:rPr>
        <w:t xml:space="preserve">art </w:t>
      </w:r>
      <w:r w:rsidRPr="00B921FE" w:rsidR="002041BB">
        <w:rPr>
          <w:rFonts w:cs="Arial"/>
        </w:rPr>
        <w:t>1</w:t>
      </w:r>
      <w:r w:rsidRPr="00B921FE" w:rsidR="00261074">
        <w:rPr>
          <w:rFonts w:cs="Arial"/>
        </w:rPr>
        <w:t xml:space="preserve"> </w:t>
      </w:r>
      <w:r w:rsidRPr="00B921FE" w:rsidR="002041BB">
        <w:rPr>
          <w:rFonts w:cs="Arial"/>
        </w:rPr>
        <w:t xml:space="preserve">entitled, </w:t>
      </w:r>
      <w:r w:rsidRPr="00B921FE" w:rsidR="0079332A">
        <w:rPr>
          <w:rFonts w:cs="Arial"/>
        </w:rPr>
        <w:t>"</w:t>
      </w:r>
      <w:r w:rsidRPr="00B921FE" w:rsidR="003309E6">
        <w:rPr>
          <w:rFonts w:cs="Arial"/>
        </w:rPr>
        <w:t>Market Opportunity</w:t>
      </w:r>
      <w:r w:rsidRPr="00B921FE" w:rsidR="0079332A">
        <w:rPr>
          <w:rFonts w:cs="Arial"/>
        </w:rPr>
        <w:t>"</w:t>
      </w:r>
      <w:r w:rsidRPr="00B921FE" w:rsidR="003309E6">
        <w:rPr>
          <w:rFonts w:cs="Arial"/>
        </w:rPr>
        <w:t xml:space="preserve">, </w:t>
      </w:r>
      <w:r w:rsidRPr="00B921FE" w:rsidR="0079332A">
        <w:rPr>
          <w:rFonts w:cs="Arial"/>
        </w:rPr>
        <w:t>"</w:t>
      </w:r>
      <w:r w:rsidRPr="00B921FE" w:rsidR="003309E6">
        <w:rPr>
          <w:rFonts w:cs="Arial"/>
        </w:rPr>
        <w:t>Investment Process</w:t>
      </w:r>
      <w:r w:rsidRPr="00B921FE" w:rsidR="0079332A">
        <w:rPr>
          <w:rFonts w:cs="Arial"/>
        </w:rPr>
        <w:t>"</w:t>
      </w:r>
      <w:r w:rsidRPr="00B921FE" w:rsidR="003309E6">
        <w:rPr>
          <w:rFonts w:cs="Arial"/>
        </w:rPr>
        <w:t xml:space="preserve">, </w:t>
      </w:r>
      <w:r w:rsidRPr="00B921FE" w:rsidR="0079332A">
        <w:rPr>
          <w:rFonts w:cs="Arial"/>
        </w:rPr>
        <w:t>"</w:t>
      </w:r>
      <w:r w:rsidRPr="00B921FE" w:rsidR="003309E6">
        <w:rPr>
          <w:rFonts w:cs="Arial"/>
        </w:rPr>
        <w:t xml:space="preserve">Track Record of the Key </w:t>
      </w:r>
      <w:r w:rsidR="00B921FE">
        <w:rPr>
          <w:rFonts w:cs="Arial"/>
        </w:rPr>
        <w:t>Investment Professionals</w:t>
      </w:r>
      <w:r w:rsidRPr="00B921FE" w:rsidR="00B921FE">
        <w:rPr>
          <w:rFonts w:cs="Arial"/>
        </w:rPr>
        <w:t xml:space="preserve"> </w:t>
      </w:r>
      <w:r w:rsidRPr="00B921FE" w:rsidR="003309E6">
        <w:rPr>
          <w:rFonts w:cs="Arial"/>
        </w:rPr>
        <w:t>of the Investment Manager</w:t>
      </w:r>
      <w:r w:rsidRPr="00B921FE" w:rsidR="0079332A">
        <w:rPr>
          <w:rFonts w:cs="Arial"/>
        </w:rPr>
        <w:t>"</w:t>
      </w:r>
      <w:r w:rsidRPr="00B921FE" w:rsidR="00462471">
        <w:rPr>
          <w:rFonts w:cs="Arial"/>
        </w:rPr>
        <w:t xml:space="preserve"> and </w:t>
      </w:r>
      <w:r w:rsidRPr="00B921FE" w:rsidR="0079332A">
        <w:rPr>
          <w:rFonts w:cs="Arial"/>
        </w:rPr>
        <w:t>"</w:t>
      </w:r>
      <w:r w:rsidRPr="00B921FE" w:rsidR="002041BB">
        <w:rPr>
          <w:rFonts w:cs="Arial"/>
        </w:rPr>
        <w:t xml:space="preserve">Valuation </w:t>
      </w:r>
      <w:r w:rsidRPr="00B921FE" w:rsidR="003309E6">
        <w:rPr>
          <w:rFonts w:cs="Arial"/>
        </w:rPr>
        <w:t>M</w:t>
      </w:r>
      <w:r w:rsidRPr="00B921FE" w:rsidR="002041BB">
        <w:rPr>
          <w:rFonts w:cs="Arial"/>
        </w:rPr>
        <w:t>ethodology</w:t>
      </w:r>
      <w:r w:rsidRPr="00B921FE" w:rsidR="0079332A">
        <w:rPr>
          <w:rFonts w:cs="Arial"/>
        </w:rPr>
        <w:t>"</w:t>
      </w:r>
      <w:r w:rsidRPr="00B921FE" w:rsidR="002041BB">
        <w:rPr>
          <w:rFonts w:cs="Arial"/>
        </w:rPr>
        <w:t xml:space="preserve">, </w:t>
      </w:r>
      <w:r w:rsidRPr="00B921FE" w:rsidR="00462471">
        <w:rPr>
          <w:rFonts w:cs="Arial"/>
        </w:rPr>
        <w:t>the sections of Part 2</w:t>
      </w:r>
      <w:r w:rsidRPr="00B921FE" w:rsidR="002041BB">
        <w:rPr>
          <w:rFonts w:cs="Arial"/>
        </w:rPr>
        <w:t xml:space="preserve"> entitled </w:t>
      </w:r>
      <w:r w:rsidRPr="00B921FE" w:rsidR="0079332A">
        <w:rPr>
          <w:rFonts w:cs="Arial"/>
        </w:rPr>
        <w:t>"</w:t>
      </w:r>
      <w:r w:rsidRPr="00B921FE" w:rsidR="002041BB">
        <w:rPr>
          <w:rFonts w:cs="Arial"/>
        </w:rPr>
        <w:t>The</w:t>
      </w:r>
      <w:r w:rsidRPr="00B921FE" w:rsidR="00462471">
        <w:rPr>
          <w:rFonts w:cs="Arial"/>
        </w:rPr>
        <w:t xml:space="preserve"> Investment Manager</w:t>
      </w:r>
      <w:r w:rsidRPr="00B921FE" w:rsidR="0079332A">
        <w:rPr>
          <w:rFonts w:cs="Arial"/>
        </w:rPr>
        <w:t>"</w:t>
      </w:r>
      <w:r w:rsidRPr="00B921FE" w:rsidR="00462471">
        <w:rPr>
          <w:rFonts w:cs="Arial"/>
        </w:rPr>
        <w:t xml:space="preserve"> </w:t>
      </w:r>
      <w:r w:rsidRPr="00B921FE" w:rsidR="002041BB">
        <w:rPr>
          <w:rFonts w:cs="Arial"/>
        </w:rPr>
        <w:t xml:space="preserve">and </w:t>
      </w:r>
      <w:r w:rsidRPr="00B921FE" w:rsidR="0079332A">
        <w:rPr>
          <w:rFonts w:cs="Arial"/>
        </w:rPr>
        <w:t>"</w:t>
      </w:r>
      <w:r w:rsidRPr="00B921FE" w:rsidR="002041BB">
        <w:rPr>
          <w:rFonts w:cs="Arial"/>
        </w:rPr>
        <w:t>Conflicts of Interest</w:t>
      </w:r>
      <w:r w:rsidRPr="00B921FE" w:rsidR="0079332A">
        <w:rPr>
          <w:rFonts w:cs="Arial"/>
        </w:rPr>
        <w:t>"</w:t>
      </w:r>
      <w:r w:rsidRPr="00B921FE" w:rsidR="002041BB">
        <w:rPr>
          <w:rFonts w:cs="Arial"/>
        </w:rPr>
        <w:t>,</w:t>
      </w:r>
      <w:r w:rsidRPr="00B921FE" w:rsidR="00B77EE2">
        <w:rPr>
          <w:rFonts w:cs="Arial"/>
        </w:rPr>
        <w:t xml:space="preserve"> </w:t>
      </w:r>
      <w:r w:rsidRPr="00B921FE" w:rsidR="00805296">
        <w:rPr>
          <w:rFonts w:cs="Arial"/>
        </w:rPr>
        <w:t>of this document</w:t>
      </w:r>
      <w:r w:rsidRPr="003309E6" w:rsidR="00805296">
        <w:rPr>
          <w:rFonts w:cs="Arial"/>
        </w:rPr>
        <w:t xml:space="preserve"> </w:t>
      </w:r>
      <w:r w:rsidRPr="003309E6" w:rsidR="002F3DD7">
        <w:rPr>
          <w:rFonts w:cs="Arial"/>
        </w:rPr>
        <w:t xml:space="preserve">(together the </w:t>
      </w:r>
      <w:r w:rsidRPr="003309E6" w:rsidR="00170F35">
        <w:rPr>
          <w:rFonts w:cs="Arial"/>
        </w:rPr>
        <w:t>"</w:t>
      </w:r>
      <w:r w:rsidRPr="003309E6" w:rsidR="0081441F">
        <w:rPr>
          <w:rFonts w:cs="Arial"/>
          <w:b/>
        </w:rPr>
        <w:t xml:space="preserve">Investment </w:t>
      </w:r>
      <w:r w:rsidRPr="003309E6" w:rsidR="002F3DD7">
        <w:rPr>
          <w:rFonts w:cs="Arial"/>
          <w:b/>
        </w:rPr>
        <w:t>Manager Sections</w:t>
      </w:r>
      <w:r w:rsidRPr="003309E6" w:rsidR="00170F35">
        <w:rPr>
          <w:rFonts w:cs="Arial"/>
        </w:rPr>
        <w:t>"</w:t>
      </w:r>
      <w:r w:rsidRPr="003309E6" w:rsidR="002F3DD7">
        <w:rPr>
          <w:rFonts w:cs="Arial"/>
        </w:rPr>
        <w:t xml:space="preserve">) </w:t>
      </w:r>
      <w:r w:rsidRPr="003309E6" w:rsidR="003D56A4">
        <w:rPr>
          <w:rFonts w:cs="Arial"/>
        </w:rPr>
        <w:t>for the purposes of Prospectus</w:t>
      </w:r>
      <w:r w:rsidRPr="003309E6" w:rsidR="00700BFD">
        <w:rPr>
          <w:rFonts w:cs="Arial"/>
        </w:rPr>
        <w:t xml:space="preserve"> Regulation </w:t>
      </w:r>
      <w:r w:rsidRPr="003309E6" w:rsidR="003D56A4">
        <w:rPr>
          <w:rFonts w:cs="Arial"/>
        </w:rPr>
        <w:t xml:space="preserve">Rule </w:t>
      </w:r>
      <w:r w:rsidRPr="003309E6" w:rsidR="00700BFD">
        <w:rPr>
          <w:rFonts w:cs="Arial"/>
        </w:rPr>
        <w:t>5.3.2(2)</w:t>
      </w:r>
      <w:r w:rsidRPr="003309E6" w:rsidR="003D56A4">
        <w:rPr>
          <w:rFonts w:cs="Arial"/>
        </w:rPr>
        <w:t>(f)</w:t>
      </w:r>
      <w:r w:rsidRPr="003309E6" w:rsidR="00786BA1">
        <w:rPr>
          <w:rFonts w:cs="Arial"/>
        </w:rPr>
        <w:t>. To the best of the kn</w:t>
      </w:r>
      <w:r w:rsidRPr="003309E6" w:rsidR="00934B8E">
        <w:rPr>
          <w:rFonts w:cs="Arial"/>
        </w:rPr>
        <w:t xml:space="preserve">owledge of the </w:t>
      </w:r>
      <w:r w:rsidRPr="003309E6" w:rsidR="0081441F">
        <w:rPr>
          <w:rFonts w:cs="Arial"/>
        </w:rPr>
        <w:t xml:space="preserve">Investment </w:t>
      </w:r>
      <w:r w:rsidRPr="003309E6" w:rsidR="00786BA1">
        <w:rPr>
          <w:rFonts w:cs="Arial"/>
        </w:rPr>
        <w:t>Manager</w:t>
      </w:r>
      <w:r w:rsidRPr="003309E6" w:rsidR="00934B8E">
        <w:rPr>
          <w:rFonts w:cs="Arial"/>
        </w:rPr>
        <w:t xml:space="preserve">, the </w:t>
      </w:r>
      <w:r w:rsidRPr="003309E6" w:rsidR="0081441F">
        <w:rPr>
          <w:rFonts w:cs="Arial"/>
        </w:rPr>
        <w:t>Investment</w:t>
      </w:r>
      <w:r w:rsidRPr="003309E6" w:rsidR="002F3DD7">
        <w:rPr>
          <w:rFonts w:cs="Arial"/>
        </w:rPr>
        <w:t xml:space="preserve"> Manager Sections</w:t>
      </w:r>
      <w:r w:rsidRPr="003309E6" w:rsidR="00786BA1">
        <w:rPr>
          <w:rFonts w:cs="Arial"/>
        </w:rPr>
        <w:t xml:space="preserve"> are in accordance with the facts and</w:t>
      </w:r>
      <w:r w:rsidRPr="003309E6" w:rsidR="00700BFD">
        <w:rPr>
          <w:rFonts w:cs="Arial"/>
        </w:rPr>
        <w:t xml:space="preserve"> make no omission likely to affect its import</w:t>
      </w:r>
      <w:r w:rsidRPr="003309E6" w:rsidR="00786BA1">
        <w:rPr>
          <w:rFonts w:cs="Arial"/>
        </w:rPr>
        <w:t>.</w:t>
      </w:r>
      <w:r w:rsidRPr="003309E6" w:rsidR="00B01F46">
        <w:rPr>
          <w:rFonts w:cs="Arial"/>
        </w:rPr>
        <w:t xml:space="preserve"> </w:t>
      </w:r>
    </w:p>
    <w:p w:rsidRPr="00C633C9" w:rsidR="00AE63E9" w:rsidP="00C633C9" w:rsidRDefault="00A633F0" w14:paraId="424A3E93" w14:textId="65D4E5AA">
      <w:pPr>
        <w:pStyle w:val="Heading2"/>
        <w:rPr>
          <w:rFonts w:cs="Arial"/>
        </w:rPr>
      </w:pPr>
      <w:bookmarkStart w:name="_Hlk188265248" w:id="310"/>
      <w:r>
        <w:rPr>
          <w:rFonts w:cs="Arial"/>
        </w:rPr>
        <w:t>Butterfield Bank (Guernsey) Limited</w:t>
      </w:r>
      <w:r w:rsidRPr="00C633C9" w:rsidR="00AE63E9">
        <w:rPr>
          <w:rFonts w:cs="Arial"/>
        </w:rPr>
        <w:t xml:space="preserve"> whose </w:t>
      </w:r>
      <w:r>
        <w:rPr>
          <w:rFonts w:cs="Arial"/>
        </w:rPr>
        <w:t>registered office</w:t>
      </w:r>
      <w:r w:rsidRPr="00C633C9" w:rsidR="00B51B50">
        <w:rPr>
          <w:rFonts w:cs="Arial"/>
        </w:rPr>
        <w:t xml:space="preserve"> </w:t>
      </w:r>
      <w:r w:rsidRPr="00C633C9" w:rsidR="00AE63E9">
        <w:rPr>
          <w:rFonts w:cs="Arial"/>
        </w:rPr>
        <w:t>is</w:t>
      </w:r>
      <w:r>
        <w:rPr>
          <w:rFonts w:cs="Arial"/>
        </w:rPr>
        <w:t xml:space="preserve"> at</w:t>
      </w:r>
      <w:r w:rsidR="00DB5DFD">
        <w:rPr>
          <w:rFonts w:cs="Arial"/>
        </w:rPr>
        <w:t xml:space="preserve"> </w:t>
      </w:r>
      <w:proofErr w:type="spellStart"/>
      <w:r w:rsidRPr="00A12F16" w:rsidR="00DB5DFD">
        <w:rPr>
          <w:rFonts w:cs="Arial"/>
        </w:rPr>
        <w:t>Glategny</w:t>
      </w:r>
      <w:proofErr w:type="spellEnd"/>
      <w:r w:rsidR="00DB5DFD">
        <w:rPr>
          <w:rFonts w:cs="Arial"/>
        </w:rPr>
        <w:t xml:space="preserve"> </w:t>
      </w:r>
      <w:r w:rsidRPr="00A12F16" w:rsidR="00DB5DFD">
        <w:rPr>
          <w:rFonts w:cs="Arial"/>
        </w:rPr>
        <w:t>Esplanade, Regency Court, Guernsey GY1 3AP</w:t>
      </w:r>
      <w:r w:rsidRPr="00C633C9" w:rsidR="00031C5D">
        <w:t xml:space="preserve"> (</w:t>
      </w:r>
      <w:proofErr w:type="spellStart"/>
      <w:r w:rsidRPr="00C633C9" w:rsidR="00031C5D">
        <w:t>tel</w:t>
      </w:r>
      <w:proofErr w:type="spellEnd"/>
      <w:r w:rsidRPr="00C633C9" w:rsidR="00031C5D">
        <w:t xml:space="preserve">: </w:t>
      </w:r>
      <w:r w:rsidRPr="00C633C9" w:rsidR="00ED2971">
        <w:t xml:space="preserve">+44 </w:t>
      </w:r>
      <w:r>
        <w:t>1481 711521</w:t>
      </w:r>
      <w:r w:rsidRPr="00C633C9" w:rsidR="00031C5D">
        <w:t>)</w:t>
      </w:r>
      <w:r w:rsidRPr="00C633C9" w:rsidR="00AE63E9">
        <w:t xml:space="preserve">, acts as the Company's </w:t>
      </w:r>
      <w:r w:rsidRPr="00C633C9" w:rsidR="00922181">
        <w:t>Custodian</w:t>
      </w:r>
      <w:r w:rsidRPr="00C633C9" w:rsidR="00AE63E9">
        <w:t xml:space="preserve"> and has certain safekeeping duties in respect of the assets of the Company. </w:t>
      </w:r>
      <w:r>
        <w:t>Butterfield Bank (Guernsey) Limited</w:t>
      </w:r>
      <w:r w:rsidRPr="00C633C9" w:rsidR="006933BC">
        <w:t xml:space="preserve"> </w:t>
      </w:r>
      <w:r w:rsidRPr="00C633C9" w:rsidR="00AE63E9">
        <w:t xml:space="preserve">was </w:t>
      </w:r>
      <w:r>
        <w:t xml:space="preserve">incorporated as a private company limited by shares in Guernsey on </w:t>
      </w:r>
      <w:r w:rsidR="00DB5DFD">
        <w:t>26 July 1989</w:t>
      </w:r>
      <w:r w:rsidRPr="00C633C9" w:rsidR="00AE63E9">
        <w:t xml:space="preserve"> </w:t>
      </w:r>
      <w:r w:rsidRPr="00C633C9" w:rsidR="00C633C9">
        <w:t>with</w:t>
      </w:r>
      <w:r w:rsidRPr="00C633C9" w:rsidR="00AE63E9">
        <w:t xml:space="preserve"> registration number </w:t>
      </w:r>
      <w:r w:rsidR="00DB5DFD">
        <w:t>21061</w:t>
      </w:r>
      <w:r w:rsidRPr="00C633C9" w:rsidR="00031C5D">
        <w:t xml:space="preserve"> and operates under </w:t>
      </w:r>
      <w:r w:rsidRPr="00C633C9" w:rsidR="00C633C9">
        <w:t xml:space="preserve">as a </w:t>
      </w:r>
      <w:r w:rsidR="00DB5DFD">
        <w:t>registered money service provider</w:t>
      </w:r>
      <w:r w:rsidRPr="00C633C9" w:rsidR="00C633C9">
        <w:t xml:space="preserve"> under </w:t>
      </w:r>
      <w:r w:rsidR="00DB5DFD">
        <w:t xml:space="preserve">applicable </w:t>
      </w:r>
      <w:r>
        <w:t>Guernsey</w:t>
      </w:r>
      <w:r w:rsidRPr="00C633C9" w:rsidR="00C633C9">
        <w:t xml:space="preserve"> law</w:t>
      </w:r>
      <w:r w:rsidRPr="00C633C9" w:rsidR="00AE63E9">
        <w:t xml:space="preserve">. </w:t>
      </w:r>
      <w:r w:rsidRPr="00C633C9" w:rsidR="00031C5D">
        <w:t xml:space="preserve">The LEI of </w:t>
      </w:r>
      <w:r>
        <w:t>Butterfield Bank (Guernsey) Limited</w:t>
      </w:r>
      <w:r w:rsidRPr="00C633C9" w:rsidR="00031C5D">
        <w:t xml:space="preserve"> is </w:t>
      </w:r>
      <w:r w:rsidRPr="00DB5DFD" w:rsidR="00DB5DFD">
        <w:t>2138007LUPBTFEH45U88</w:t>
      </w:r>
      <w:r w:rsidRPr="00C633C9" w:rsidR="00031C5D">
        <w:t xml:space="preserve">. </w:t>
      </w:r>
      <w:r>
        <w:t>Butterfield Bank (Guernsey) Limited</w:t>
      </w:r>
      <w:r w:rsidRPr="00C633C9" w:rsidR="00AE63E9">
        <w:t xml:space="preserve"> is authorised </w:t>
      </w:r>
      <w:r w:rsidRPr="00C633C9" w:rsidR="00ED2971">
        <w:t xml:space="preserve">and regulated </w:t>
      </w:r>
      <w:r>
        <w:t>by the GFSC</w:t>
      </w:r>
      <w:r w:rsidRPr="00C633C9" w:rsidR="006933BC">
        <w:t xml:space="preserve"> </w:t>
      </w:r>
      <w:r w:rsidRPr="00C633C9" w:rsidR="0080231E">
        <w:t xml:space="preserve">(registration number </w:t>
      </w:r>
      <w:r w:rsidR="00DB5DFD">
        <w:t>85</w:t>
      </w:r>
      <w:r w:rsidRPr="00C633C9" w:rsidR="0080231E">
        <w:t>)</w:t>
      </w:r>
      <w:r w:rsidRPr="00C633C9" w:rsidR="00AE63E9">
        <w:t xml:space="preserve">. The principal business of </w:t>
      </w:r>
      <w:r>
        <w:t>Butterfield Bank (Guernsey) Limited</w:t>
      </w:r>
      <w:r w:rsidRPr="00C633C9" w:rsidR="00AE63E9">
        <w:t xml:space="preserve"> is the provision of custodial, banking, depositary and related financial services. </w:t>
      </w:r>
    </w:p>
    <w:bookmarkEnd w:id="310"/>
    <w:p w:rsidRPr="00AD45CB" w:rsidR="00917AA7" w:rsidP="00AD45CB" w:rsidRDefault="00934B8E" w14:paraId="43ECC269" w14:textId="337BA198">
      <w:pPr>
        <w:pStyle w:val="Heading2"/>
        <w:rPr>
          <w:rFonts w:cs="Arial"/>
        </w:rPr>
      </w:pPr>
      <w:r w:rsidRPr="003309E6">
        <w:rPr>
          <w:rFonts w:cs="Arial"/>
        </w:rPr>
        <w:t xml:space="preserve">The </w:t>
      </w:r>
      <w:r w:rsidRPr="003309E6" w:rsidR="000C0D70">
        <w:rPr>
          <w:rFonts w:cs="Arial"/>
        </w:rPr>
        <w:t>Auditor</w:t>
      </w:r>
      <w:r w:rsidRPr="003309E6" w:rsidR="00D30370">
        <w:rPr>
          <w:rFonts w:cs="Arial"/>
        </w:rPr>
        <w:t xml:space="preserve"> of the C</w:t>
      </w:r>
      <w:r w:rsidRPr="003309E6" w:rsidR="00D07FA0">
        <w:rPr>
          <w:rFonts w:cs="Arial"/>
        </w:rPr>
        <w:t>ompany is</w:t>
      </w:r>
      <w:r w:rsidRPr="003309E6" w:rsidR="00D30370">
        <w:rPr>
          <w:rFonts w:cs="Arial"/>
        </w:rPr>
        <w:t xml:space="preserve"> </w:t>
      </w:r>
      <w:r w:rsidR="00AD1E25">
        <w:rPr>
          <w:rFonts w:cs="Arial"/>
        </w:rPr>
        <w:t>Baker Tilly Channel Islands Limited</w:t>
      </w:r>
      <w:r w:rsidRPr="003309E6" w:rsidR="00B77EE2">
        <w:rPr>
          <w:rFonts w:cs="Arial"/>
        </w:rPr>
        <w:t xml:space="preserve"> </w:t>
      </w:r>
      <w:r w:rsidRPr="003309E6" w:rsidR="00514556">
        <w:rPr>
          <w:rFonts w:cs="Arial"/>
        </w:rPr>
        <w:t>of</w:t>
      </w:r>
      <w:r w:rsidRPr="003309E6" w:rsidR="00AD45CB">
        <w:rPr>
          <w:rFonts w:cs="Arial"/>
        </w:rPr>
        <w:t xml:space="preserve"> </w:t>
      </w:r>
      <w:r w:rsidRPr="00AD1E25" w:rsidR="00AD1E25">
        <w:rPr>
          <w:rFonts w:cs="Arial"/>
        </w:rPr>
        <w:t>P</w:t>
      </w:r>
      <w:r w:rsidR="00AD1E25">
        <w:rPr>
          <w:rFonts w:cs="Arial"/>
        </w:rPr>
        <w:t>O</w:t>
      </w:r>
      <w:r w:rsidRPr="00AD1E25" w:rsidR="00AD1E25">
        <w:rPr>
          <w:rFonts w:cs="Arial"/>
        </w:rPr>
        <w:t xml:space="preserve"> Box 582, Mont </w:t>
      </w:r>
      <w:proofErr w:type="spellStart"/>
      <w:r w:rsidRPr="00AD1E25" w:rsidR="00AD1E25">
        <w:rPr>
          <w:rFonts w:cs="Arial"/>
        </w:rPr>
        <w:t>Crevelt</w:t>
      </w:r>
      <w:proofErr w:type="spellEnd"/>
      <w:r w:rsidRPr="00AD1E25" w:rsidR="00AD1E25">
        <w:rPr>
          <w:rFonts w:cs="Arial"/>
        </w:rPr>
        <w:t xml:space="preserve"> House, Bulwer Avenue, St Sampson, Guernsey, GY1 6LL</w:t>
      </w:r>
      <w:r w:rsidRPr="003309E6" w:rsidR="0069572B">
        <w:rPr>
          <w:rFonts w:cs="Arial"/>
        </w:rPr>
        <w:t xml:space="preserve">. </w:t>
      </w:r>
      <w:r w:rsidR="00AD1E25">
        <w:rPr>
          <w:rFonts w:cs="Arial"/>
        </w:rPr>
        <w:t>Baker Tilly Channel Islands Limited</w:t>
      </w:r>
      <w:r w:rsidRPr="003309E6" w:rsidR="00D07FA0">
        <w:rPr>
          <w:rFonts w:cs="Arial"/>
        </w:rPr>
        <w:t xml:space="preserve"> has</w:t>
      </w:r>
      <w:r w:rsidRPr="003309E6" w:rsidR="002C10BC">
        <w:rPr>
          <w:rFonts w:cs="Arial"/>
        </w:rPr>
        <w:t xml:space="preserve"> been the only</w:t>
      </w:r>
      <w:r w:rsidRPr="00AD45CB" w:rsidR="002C10BC">
        <w:rPr>
          <w:rFonts w:cs="Arial"/>
        </w:rPr>
        <w:t xml:space="preserve"> </w:t>
      </w:r>
      <w:r w:rsidRPr="00AD45CB" w:rsidR="000C0D70">
        <w:rPr>
          <w:rFonts w:cs="Arial"/>
        </w:rPr>
        <w:t>Auditor</w:t>
      </w:r>
      <w:r w:rsidRPr="00AD45CB" w:rsidR="00462471">
        <w:rPr>
          <w:rFonts w:cs="Arial"/>
        </w:rPr>
        <w:t xml:space="preserve"> of the Company since incorporation</w:t>
      </w:r>
      <w:r w:rsidRPr="00AD45CB" w:rsidR="00003A34">
        <w:rPr>
          <w:rFonts w:cs="Arial"/>
        </w:rPr>
        <w:t xml:space="preserve">. </w:t>
      </w:r>
      <w:r w:rsidR="00AD1E25">
        <w:rPr>
          <w:rFonts w:cs="Arial"/>
        </w:rPr>
        <w:t>Baker Tilly Channel Islands Limited</w:t>
      </w:r>
      <w:r w:rsidRPr="00AD45CB" w:rsidR="00B77EE2">
        <w:rPr>
          <w:rFonts w:cs="Arial"/>
        </w:rPr>
        <w:t xml:space="preserve"> </w:t>
      </w:r>
      <w:r w:rsidRPr="00AD45CB" w:rsidR="00514556">
        <w:rPr>
          <w:rFonts w:cs="Arial"/>
        </w:rPr>
        <w:t>is a member o</w:t>
      </w:r>
      <w:r w:rsidRPr="00AD45CB" w:rsidR="00D07FA0">
        <w:rPr>
          <w:rFonts w:cs="Arial"/>
        </w:rPr>
        <w:t>f the Institute of Chartered Accountants for England and Wales</w:t>
      </w:r>
      <w:r w:rsidRPr="00AD45CB" w:rsidR="00293A78">
        <w:rPr>
          <w:rFonts w:cs="Arial"/>
        </w:rPr>
        <w:t>.</w:t>
      </w:r>
      <w:r w:rsidRPr="00AD45CB" w:rsidR="007A2645">
        <w:rPr>
          <w:rFonts w:cs="Arial"/>
        </w:rPr>
        <w:t xml:space="preserve"> </w:t>
      </w:r>
      <w:r w:rsidRPr="00AD45CB" w:rsidR="00B77EE2">
        <w:rPr>
          <w:rFonts w:cs="Arial"/>
        </w:rPr>
        <w:t xml:space="preserve"> </w:t>
      </w:r>
    </w:p>
    <w:p w:rsidRPr="00DE5D68" w:rsidR="00776E42" w:rsidP="00CA200B" w:rsidRDefault="00F9129E" w14:paraId="10A8CA08" w14:textId="28F32135">
      <w:pPr>
        <w:pStyle w:val="Heading1"/>
        <w:tabs>
          <w:tab w:val="clear" w:pos="709"/>
          <w:tab w:val="clear" w:pos="1134"/>
        </w:tabs>
        <w:ind w:left="709" w:hanging="709"/>
        <w:rPr>
          <w:rFonts w:cs="Arial"/>
          <w:caps w:val="0"/>
        </w:rPr>
      </w:pPr>
      <w:bookmarkStart w:name="_Ref329161339" w:id="311"/>
      <w:r w:rsidRPr="00DE5D68">
        <w:rPr>
          <w:rFonts w:cs="Arial"/>
          <w:caps w:val="0"/>
        </w:rPr>
        <w:t>DOCUMENTS AVAILABLE FOR INSPECTION</w:t>
      </w:r>
    </w:p>
    <w:p w:rsidRPr="00DE5D68" w:rsidR="00776E42" w:rsidP="00F9129E" w:rsidRDefault="00776E42" w14:paraId="365B5B44" w14:textId="1F0297B0">
      <w:pPr>
        <w:pStyle w:val="Heading2"/>
        <w:keepNext/>
        <w:numPr>
          <w:ilvl w:val="0"/>
          <w:numId w:val="0"/>
        </w:numPr>
        <w:ind w:left="709"/>
        <w:rPr>
          <w:rFonts w:cs="Arial"/>
        </w:rPr>
      </w:pPr>
      <w:r w:rsidRPr="00DE5D68">
        <w:rPr>
          <w:rFonts w:cs="Arial"/>
        </w:rPr>
        <w:t>Copies of the following documents will be available</w:t>
      </w:r>
      <w:r w:rsidRPr="00DE5D68" w:rsidR="001D6C71">
        <w:rPr>
          <w:rFonts w:cs="Arial"/>
        </w:rPr>
        <w:t xml:space="preserve"> on the Company’s website (</w:t>
      </w:r>
      <w:r w:rsidRPr="007A04B4" w:rsidR="001D6C71">
        <w:rPr>
          <w:rFonts w:cs="Arial"/>
          <w:u w:val="single"/>
        </w:rPr>
        <w:t>www.</w:t>
      </w:r>
      <w:r w:rsidR="00137B97">
        <w:rPr>
          <w:rFonts w:cs="Arial"/>
          <w:u w:val="single"/>
        </w:rPr>
        <w:t>achillesic.com</w:t>
      </w:r>
      <w:r w:rsidRPr="00DE5D68" w:rsidR="001D6C71">
        <w:rPr>
          <w:rFonts w:cs="Arial"/>
        </w:rPr>
        <w:t>) and</w:t>
      </w:r>
      <w:r w:rsidRPr="00DE5D68">
        <w:rPr>
          <w:rFonts w:cs="Arial"/>
        </w:rPr>
        <w:t xml:space="preserve"> for inspection at the registered office of the Company during normal business hours on any </w:t>
      </w:r>
      <w:r w:rsidRPr="00DE5D68" w:rsidR="00C40213">
        <w:rPr>
          <w:rFonts w:cs="Arial"/>
        </w:rPr>
        <w:t>Business Day</w:t>
      </w:r>
      <w:r w:rsidRPr="00DE5D68">
        <w:rPr>
          <w:rFonts w:cs="Arial"/>
        </w:rPr>
        <w:t xml:space="preserve"> from the date of this document until </w:t>
      </w:r>
      <w:r w:rsidR="007A1FC2">
        <w:rPr>
          <w:rFonts w:cs="Arial"/>
        </w:rPr>
        <w:t>1</w:t>
      </w:r>
      <w:r w:rsidR="00C615BB">
        <w:rPr>
          <w:rFonts w:cs="Arial"/>
        </w:rPr>
        <w:t>9</w:t>
      </w:r>
      <w:r w:rsidRPr="00DE5D68">
        <w:rPr>
          <w:rFonts w:cs="Arial"/>
        </w:rPr>
        <w:t xml:space="preserve"> </w:t>
      </w:r>
      <w:r w:rsidR="001942D0">
        <w:rPr>
          <w:rFonts w:cs="Arial"/>
        </w:rPr>
        <w:t xml:space="preserve">February </w:t>
      </w:r>
      <w:r w:rsidRPr="00DE5D68">
        <w:rPr>
          <w:rFonts w:cs="Arial"/>
        </w:rPr>
        <w:t>20</w:t>
      </w:r>
      <w:r w:rsidR="00462471">
        <w:rPr>
          <w:rFonts w:cs="Arial"/>
        </w:rPr>
        <w:t>2</w:t>
      </w:r>
      <w:r w:rsidR="00363268">
        <w:rPr>
          <w:rFonts w:cs="Arial"/>
        </w:rPr>
        <w:t>6</w:t>
      </w:r>
      <w:r w:rsidRPr="00DE5D68">
        <w:rPr>
          <w:rFonts w:cs="Arial"/>
        </w:rPr>
        <w:t>:</w:t>
      </w:r>
      <w:r w:rsidRPr="00DE5D68" w:rsidR="00D57C49">
        <w:rPr>
          <w:rFonts w:cs="Arial"/>
        </w:rPr>
        <w:t xml:space="preserve"> </w:t>
      </w:r>
    </w:p>
    <w:p w:rsidRPr="00DE5D68" w:rsidR="00776E42" w:rsidP="00C27D12" w:rsidRDefault="00776E42" w14:paraId="69C908AE" w14:textId="77777777">
      <w:pPr>
        <w:pStyle w:val="Bullet3"/>
        <w:rPr>
          <w:rFonts w:cs="Arial"/>
        </w:rPr>
      </w:pPr>
      <w:r w:rsidRPr="00DE5D68">
        <w:rPr>
          <w:rFonts w:cs="Arial"/>
        </w:rPr>
        <w:t>the Memorandum and Articles of the Company; and</w:t>
      </w:r>
    </w:p>
    <w:p w:rsidRPr="00DE5D68" w:rsidR="00776E42" w:rsidP="00C27D12" w:rsidRDefault="00776E42" w14:paraId="605EF844" w14:textId="3F522FA4">
      <w:pPr>
        <w:pStyle w:val="Bullet3"/>
        <w:rPr>
          <w:rFonts w:cs="Arial"/>
        </w:rPr>
      </w:pPr>
      <w:r w:rsidRPr="00DE5D68">
        <w:rPr>
          <w:rFonts w:cs="Arial"/>
        </w:rPr>
        <w:t>this document.</w:t>
      </w:r>
    </w:p>
    <w:bookmarkEnd w:id="311"/>
    <w:p w:rsidRPr="00DE5D68" w:rsidR="00F50B11" w:rsidP="00C27D12" w:rsidRDefault="001777B4" w14:paraId="7E57DB68" w14:textId="5354169A">
      <w:pPr>
        <w:rPr>
          <w:rFonts w:cs="Arial"/>
        </w:rPr>
      </w:pPr>
      <w:r w:rsidRPr="00DE5D68">
        <w:rPr>
          <w:rFonts w:cs="Arial"/>
        </w:rPr>
        <w:t>Dated</w:t>
      </w:r>
      <w:r w:rsidRPr="00DE5D68" w:rsidR="0015226A">
        <w:rPr>
          <w:rFonts w:cs="Arial"/>
        </w:rPr>
        <w:t xml:space="preserve">: </w:t>
      </w:r>
      <w:r w:rsidR="00C615BB">
        <w:rPr>
          <w:rFonts w:cs="Arial"/>
        </w:rPr>
        <w:t>20</w:t>
      </w:r>
      <w:r w:rsidRPr="00DE5D68" w:rsidR="00934B8E">
        <w:rPr>
          <w:rFonts w:cs="Arial"/>
        </w:rPr>
        <w:t xml:space="preserve"> </w:t>
      </w:r>
      <w:r w:rsidR="001942D0">
        <w:rPr>
          <w:rFonts w:cs="Arial"/>
        </w:rPr>
        <w:t xml:space="preserve">February </w:t>
      </w:r>
      <w:r w:rsidR="00462471">
        <w:rPr>
          <w:rFonts w:cs="Arial"/>
        </w:rPr>
        <w:t>202</w:t>
      </w:r>
      <w:r w:rsidR="00A85202">
        <w:rPr>
          <w:rFonts w:cs="Arial"/>
        </w:rPr>
        <w:t>5</w:t>
      </w:r>
      <w:r w:rsidRPr="00DE5D68" w:rsidR="00F50B11">
        <w:rPr>
          <w:rFonts w:cs="Arial"/>
        </w:rPr>
        <w:br w:type="page"/>
      </w:r>
    </w:p>
    <w:p w:rsidRPr="00DE5D68" w:rsidR="00397A98" w:rsidP="00C27D12" w:rsidRDefault="00397A98" w14:paraId="124BCC28" w14:textId="77777777">
      <w:pPr>
        <w:jc w:val="center"/>
        <w:rPr>
          <w:rFonts w:cs="Arial"/>
          <w:b/>
          <w:i/>
        </w:rPr>
        <w:sectPr w:rsidRPr="00DE5D68" w:rsidR="00397A98" w:rsidSect="003508A7">
          <w:headerReference w:type="even" r:id="rId22"/>
          <w:headerReference w:type="default" r:id="rId23"/>
          <w:headerReference w:type="first" r:id="rId24"/>
          <w:pgSz w:w="11906" w:h="16838" w:code="9"/>
          <w:pgMar w:top="1134" w:right="1134" w:bottom="1418" w:left="1418" w:header="680" w:footer="680" w:gutter="0"/>
          <w:paperSrc w:first="1025" w:other="1025"/>
          <w:cols w:space="0"/>
          <w:titlePg/>
          <w:docGrid w:linePitch="360"/>
        </w:sectPr>
      </w:pPr>
    </w:p>
    <w:bookmarkStart w:name="_Ref65764821" w:id="312"/>
    <w:p w:rsidRPr="00DE5D68" w:rsidR="007A08EB" w:rsidP="00D73005" w:rsidRDefault="00A47D47" w14:paraId="00E3E0BE" w14:textId="5CC47AF4">
      <w:pPr>
        <w:pStyle w:val="Part"/>
        <w:rPr>
          <w:b/>
        </w:rPr>
      </w:pPr>
      <w:r w:rsidRPr="00DE5D68">
        <w:rPr>
          <w:b/>
        </w:rPr>
        <w:lastRenderedPageBreak/>
        <w:fldChar w:fldCharType="begin"/>
      </w:r>
      <w:r w:rsidRPr="00DE5D68">
        <w:instrText xml:space="preserve"> TC </w:instrText>
      </w:r>
      <w:r w:rsidRPr="00DE5D68" w:rsidR="00170F35">
        <w:instrText>"</w:instrText>
      </w:r>
      <w:bookmarkStart w:name="_Toc493520588" w:id="313"/>
      <w:bookmarkStart w:name="_Toc78485979" w:id="314"/>
      <w:bookmarkStart w:name="_Toc190288037" w:id="315"/>
      <w:r w:rsidRPr="00DE5D68">
        <w:instrText xml:space="preserve">PART </w:instrText>
      </w:r>
      <w:r w:rsidR="0030744B">
        <w:instrText>7</w:instrText>
      </w:r>
      <w:r w:rsidRPr="00DE5D68" w:rsidR="00BC0673">
        <w:instrText xml:space="preserve"> </w:instrText>
      </w:r>
      <w:r w:rsidRPr="00DE5D68">
        <w:instrText>– DEFINITIONS</w:instrText>
      </w:r>
      <w:bookmarkEnd w:id="313"/>
      <w:bookmarkEnd w:id="314"/>
      <w:bookmarkEnd w:id="315"/>
      <w:r w:rsidRPr="00DE5D68" w:rsidR="00170F35">
        <w:instrText>"</w:instrText>
      </w:r>
      <w:r w:rsidRPr="00DE5D68">
        <w:instrText xml:space="preserve"> \f C \l </w:instrText>
      </w:r>
      <w:r w:rsidRPr="00DE5D68" w:rsidR="00170F35">
        <w:instrText>"</w:instrText>
      </w:r>
      <w:r w:rsidRPr="00DE5D68">
        <w:instrText>1</w:instrText>
      </w:r>
      <w:r w:rsidRPr="00DE5D68" w:rsidR="00170F35">
        <w:instrText>"</w:instrText>
      </w:r>
      <w:r w:rsidRPr="00DE5D68">
        <w:instrText xml:space="preserve"> </w:instrText>
      </w:r>
      <w:r w:rsidRPr="00DE5D68">
        <w:rPr>
          <w:b/>
        </w:rPr>
        <w:fldChar w:fldCharType="end"/>
      </w:r>
      <w:bookmarkEnd w:id="312"/>
    </w:p>
    <w:p w:rsidRPr="00DE5D68" w:rsidR="004331E2" w:rsidP="00C27D12" w:rsidRDefault="004331E2" w14:paraId="41319411" w14:textId="77777777">
      <w:pPr>
        <w:jc w:val="center"/>
        <w:rPr>
          <w:rFonts w:cs="Arial"/>
          <w:b/>
        </w:rPr>
      </w:pPr>
      <w:r w:rsidRPr="00DE5D68">
        <w:rPr>
          <w:rFonts w:cs="Arial"/>
          <w:b/>
        </w:rPr>
        <w:t>DEFINITIONS</w:t>
      </w:r>
    </w:p>
    <w:p w:rsidRPr="00DE5D68" w:rsidR="001777B4" w:rsidP="00C27D12" w:rsidRDefault="001777B4" w14:paraId="260A2F1D" w14:textId="77777777">
      <w:pPr>
        <w:rPr>
          <w:rFonts w:cs="Arial"/>
        </w:rPr>
      </w:pPr>
      <w:r w:rsidRPr="00DE5D68">
        <w:rPr>
          <w:rFonts w:cs="Arial"/>
        </w:rPr>
        <w:t>The following definitions apply throughout this document unless the context requires otherwise:</w:t>
      </w:r>
    </w:p>
    <w:tbl>
      <w:tblPr>
        <w:tblStyle w:val="TableGrid"/>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57"/>
        <w:gridCol w:w="5497"/>
      </w:tblGrid>
      <w:tr w:rsidRPr="00637905" w:rsidR="00A4445D" w:rsidTr="00CC36C3" w14:paraId="1ED9C4E4" w14:textId="77777777">
        <w:tc>
          <w:tcPr>
            <w:tcW w:w="3857" w:type="dxa"/>
          </w:tcPr>
          <w:p w:rsidRPr="00637905" w:rsidR="00A4445D" w:rsidP="00C27D12" w:rsidRDefault="00A4445D" w14:paraId="6FBE2FCB" w14:textId="5994A2B1">
            <w:pPr>
              <w:jc w:val="left"/>
              <w:rPr>
                <w:rFonts w:cs="Arial"/>
                <w:b/>
              </w:rPr>
            </w:pPr>
            <w:r w:rsidRPr="00637905">
              <w:rPr>
                <w:rFonts w:cs="Arial"/>
                <w:b/>
              </w:rPr>
              <w:t>Administration</w:t>
            </w:r>
            <w:r w:rsidR="006522BA">
              <w:rPr>
                <w:rFonts w:cs="Arial"/>
                <w:b/>
              </w:rPr>
              <w:t xml:space="preserve"> and Secretarial</w:t>
            </w:r>
            <w:r w:rsidRPr="00637905">
              <w:rPr>
                <w:rFonts w:cs="Arial"/>
                <w:b/>
              </w:rPr>
              <w:t xml:space="preserve"> Agreement</w:t>
            </w:r>
          </w:p>
        </w:tc>
        <w:tc>
          <w:tcPr>
            <w:tcW w:w="5497" w:type="dxa"/>
          </w:tcPr>
          <w:p w:rsidRPr="00637905" w:rsidR="00A4445D" w:rsidP="0060708F" w:rsidRDefault="00A4445D" w14:paraId="6E3C6ACA" w14:textId="708DE516">
            <w:pPr>
              <w:rPr>
                <w:rFonts w:cs="Arial"/>
              </w:rPr>
            </w:pPr>
            <w:r w:rsidRPr="00637905">
              <w:rPr>
                <w:rFonts w:cs="Arial"/>
              </w:rPr>
              <w:t xml:space="preserve">the administration </w:t>
            </w:r>
            <w:r w:rsidR="006522BA">
              <w:rPr>
                <w:rFonts w:cs="Arial"/>
              </w:rPr>
              <w:t xml:space="preserve">and secretarial </w:t>
            </w:r>
            <w:r w:rsidRPr="00637905">
              <w:rPr>
                <w:rFonts w:cs="Arial"/>
              </w:rPr>
              <w:t>agreement between the Company</w:t>
            </w:r>
            <w:r w:rsidRPr="00637905" w:rsidR="00045AC5">
              <w:rPr>
                <w:rFonts w:cs="Arial"/>
              </w:rPr>
              <w:t>, the Investment Manager</w:t>
            </w:r>
            <w:r w:rsidRPr="00637905">
              <w:rPr>
                <w:rFonts w:cs="Arial"/>
              </w:rPr>
              <w:t xml:space="preserve"> and the Administrator</w:t>
            </w:r>
            <w:r w:rsidR="000B499E">
              <w:rPr>
                <w:rFonts w:cs="Arial"/>
              </w:rPr>
              <w:t xml:space="preserve"> dated </w:t>
            </w:r>
            <w:r w:rsidR="00C615BB">
              <w:rPr>
                <w:rFonts w:cs="Arial"/>
              </w:rPr>
              <w:t>20</w:t>
            </w:r>
            <w:r w:rsidR="000B499E">
              <w:rPr>
                <w:rFonts w:cs="Arial"/>
              </w:rPr>
              <w:t xml:space="preserve"> </w:t>
            </w:r>
            <w:r w:rsidR="001942D0">
              <w:rPr>
                <w:rFonts w:cs="Arial"/>
              </w:rPr>
              <w:t xml:space="preserve">February </w:t>
            </w:r>
            <w:r w:rsidR="000B499E">
              <w:rPr>
                <w:rFonts w:cs="Arial"/>
              </w:rPr>
              <w:t>202</w:t>
            </w:r>
            <w:r w:rsidR="00A85202">
              <w:rPr>
                <w:rFonts w:cs="Arial"/>
              </w:rPr>
              <w:t>5</w:t>
            </w:r>
            <w:r w:rsidRPr="00637905">
              <w:rPr>
                <w:rFonts w:cs="Arial"/>
              </w:rPr>
              <w:t xml:space="preserve">, a summary of which is set out in paragraph </w:t>
            </w:r>
            <w:r w:rsidR="00CB38A5">
              <w:rPr>
                <w:rFonts w:cs="Arial"/>
              </w:rPr>
              <w:t>6.3</w:t>
            </w:r>
            <w:r w:rsidRPr="00637905" w:rsidR="00F3038E">
              <w:rPr>
                <w:rFonts w:cs="Arial"/>
              </w:rPr>
              <w:t xml:space="preserve"> </w:t>
            </w:r>
            <w:r w:rsidRPr="00637905">
              <w:rPr>
                <w:rFonts w:cs="Arial"/>
              </w:rPr>
              <w:t xml:space="preserve">of </w:t>
            </w:r>
            <w:r w:rsidRPr="00637905" w:rsidR="00577D1F">
              <w:rPr>
                <w:rFonts w:cs="Arial"/>
              </w:rPr>
              <w:fldChar w:fldCharType="begin" w:fldLock="1"/>
            </w:r>
            <w:r w:rsidRPr="00637905" w:rsidR="00577D1F">
              <w:rPr>
                <w:rFonts w:cs="Arial"/>
              </w:rPr>
              <w:instrText xml:space="preserve"> REF _Ref65762141 \r \h </w:instrText>
            </w:r>
            <w:r w:rsidR="00637905">
              <w:rPr>
                <w:rFonts w:cs="Arial"/>
              </w:rPr>
              <w:instrText xml:space="preserve"> \* MERGEFORMAT </w:instrText>
            </w:r>
            <w:r w:rsidRPr="00637905" w:rsidR="00577D1F">
              <w:rPr>
                <w:rFonts w:cs="Arial"/>
              </w:rPr>
            </w:r>
            <w:r w:rsidRPr="00637905" w:rsidR="00577D1F">
              <w:rPr>
                <w:rFonts w:cs="Arial"/>
              </w:rPr>
              <w:fldChar w:fldCharType="separate"/>
            </w:r>
            <w:r w:rsidR="00DA4048">
              <w:rPr>
                <w:rFonts w:cs="Arial"/>
              </w:rPr>
              <w:t>Part 6</w:t>
            </w:r>
            <w:r w:rsidRPr="00637905" w:rsidR="00577D1F">
              <w:rPr>
                <w:rFonts w:cs="Arial"/>
              </w:rPr>
              <w:fldChar w:fldCharType="end"/>
            </w:r>
            <w:r w:rsidRPr="00637905" w:rsidR="0056046A">
              <w:rPr>
                <w:rFonts w:cs="Arial"/>
              </w:rPr>
              <w:t xml:space="preserve"> </w:t>
            </w:r>
            <w:r w:rsidRPr="00637905">
              <w:rPr>
                <w:rFonts w:cs="Arial"/>
              </w:rPr>
              <w:t>of this document</w:t>
            </w:r>
          </w:p>
        </w:tc>
      </w:tr>
      <w:tr w:rsidRPr="00637905" w:rsidR="00A4445D" w:rsidTr="00CC36C3" w14:paraId="14887420" w14:textId="77777777">
        <w:tc>
          <w:tcPr>
            <w:tcW w:w="3857" w:type="dxa"/>
          </w:tcPr>
          <w:p w:rsidRPr="00637905" w:rsidR="00A4445D" w:rsidP="00C27D12" w:rsidRDefault="00A4445D" w14:paraId="23631BE6" w14:textId="77777777">
            <w:pPr>
              <w:jc w:val="left"/>
              <w:rPr>
                <w:rFonts w:cs="Arial"/>
                <w:b/>
              </w:rPr>
            </w:pPr>
            <w:r w:rsidRPr="00637905">
              <w:rPr>
                <w:rFonts w:cs="Arial"/>
                <w:b/>
              </w:rPr>
              <w:t>Administrator</w:t>
            </w:r>
          </w:p>
        </w:tc>
        <w:tc>
          <w:tcPr>
            <w:tcW w:w="5497" w:type="dxa"/>
          </w:tcPr>
          <w:p w:rsidRPr="00637905" w:rsidR="005A78BE" w:rsidP="00D84EC3" w:rsidRDefault="002267BD" w14:paraId="2C31FB75" w14:textId="51F1BC10">
            <w:pPr>
              <w:spacing w:after="0"/>
              <w:rPr>
                <w:rFonts w:cs="Arial"/>
              </w:rPr>
            </w:pPr>
            <w:r>
              <w:rPr>
                <w:rFonts w:cs="Arial"/>
              </w:rPr>
              <w:t>NSM Funds Limited</w:t>
            </w:r>
          </w:p>
        </w:tc>
      </w:tr>
      <w:tr w:rsidRPr="00637905" w:rsidR="00A4445D" w:rsidTr="00CC36C3" w14:paraId="53AAA33D" w14:textId="77777777">
        <w:tc>
          <w:tcPr>
            <w:tcW w:w="3857" w:type="dxa"/>
          </w:tcPr>
          <w:p w:rsidRPr="00637905" w:rsidR="00A4445D" w:rsidP="00C27D12" w:rsidRDefault="00A4445D" w14:paraId="51DBA114" w14:textId="77777777">
            <w:pPr>
              <w:rPr>
                <w:rFonts w:cs="Arial"/>
              </w:rPr>
            </w:pPr>
            <w:r w:rsidRPr="00637905">
              <w:rPr>
                <w:rFonts w:cs="Arial"/>
                <w:b/>
              </w:rPr>
              <w:t>Admission</w:t>
            </w:r>
          </w:p>
        </w:tc>
        <w:tc>
          <w:tcPr>
            <w:tcW w:w="5497" w:type="dxa"/>
          </w:tcPr>
          <w:p w:rsidRPr="00637905" w:rsidR="00A4445D" w:rsidP="00A0076A" w:rsidRDefault="00BF09CA" w14:paraId="71BF519B" w14:textId="4938519A">
            <w:pPr>
              <w:rPr>
                <w:rFonts w:cs="Arial"/>
              </w:rPr>
            </w:pPr>
            <w:r w:rsidRPr="00637905">
              <w:rPr>
                <w:rFonts w:cs="Arial"/>
              </w:rPr>
              <w:t xml:space="preserve">any </w:t>
            </w:r>
            <w:r w:rsidRPr="00637905" w:rsidR="00A4445D">
              <w:rPr>
                <w:rFonts w:cs="Arial"/>
              </w:rPr>
              <w:t xml:space="preserve">admission of </w:t>
            </w:r>
            <w:r w:rsidR="00462471">
              <w:rPr>
                <w:rFonts w:cs="Arial"/>
              </w:rPr>
              <w:t xml:space="preserve">Ordinary </w:t>
            </w:r>
            <w:r w:rsidRPr="00637905" w:rsidR="00A4445D">
              <w:rPr>
                <w:rFonts w:cs="Arial"/>
              </w:rPr>
              <w:t>Shares</w:t>
            </w:r>
            <w:r w:rsidRPr="00637905" w:rsidR="0051769E">
              <w:rPr>
                <w:rFonts w:cs="Arial"/>
              </w:rPr>
              <w:t xml:space="preserve"> pursuant to </w:t>
            </w:r>
            <w:r w:rsidRPr="00637905" w:rsidR="0056046A">
              <w:rPr>
                <w:rFonts w:cs="Arial"/>
              </w:rPr>
              <w:t xml:space="preserve">any Subsequent Placing (as the context may </w:t>
            </w:r>
            <w:r w:rsidRPr="00637905" w:rsidR="00AD0DA5">
              <w:rPr>
                <w:rFonts w:cs="Arial"/>
              </w:rPr>
              <w:t>require</w:t>
            </w:r>
            <w:r w:rsidRPr="00637905" w:rsidR="0056046A">
              <w:rPr>
                <w:rFonts w:cs="Arial"/>
              </w:rPr>
              <w:t>)</w:t>
            </w:r>
            <w:r w:rsidRPr="00637905" w:rsidR="00C75FF9">
              <w:rPr>
                <w:rFonts w:cs="Arial"/>
              </w:rPr>
              <w:t xml:space="preserve"> </w:t>
            </w:r>
            <w:r w:rsidRPr="00637905" w:rsidR="00A4445D">
              <w:rPr>
                <w:rFonts w:cs="Arial"/>
              </w:rPr>
              <w:t xml:space="preserve">to </w:t>
            </w:r>
            <w:r w:rsidRPr="00637905" w:rsidR="00C75FF9">
              <w:rPr>
                <w:rFonts w:cs="Arial"/>
              </w:rPr>
              <w:t>trading on the Specialist Fund Segment</w:t>
            </w:r>
            <w:r w:rsidRPr="00637905" w:rsidR="00A4445D">
              <w:rPr>
                <w:rFonts w:cs="Arial"/>
              </w:rPr>
              <w:t xml:space="preserve"> of the </w:t>
            </w:r>
            <w:r w:rsidRPr="00637905" w:rsidR="00E355F0">
              <w:rPr>
                <w:rFonts w:cs="Arial"/>
              </w:rPr>
              <w:t>M</w:t>
            </w:r>
            <w:r w:rsidRPr="00637905" w:rsidR="00A4445D">
              <w:rPr>
                <w:rFonts w:cs="Arial"/>
              </w:rPr>
              <w:t xml:space="preserve">ain </w:t>
            </w:r>
            <w:r w:rsidRPr="00637905" w:rsidR="00E355F0">
              <w:rPr>
                <w:rFonts w:cs="Arial"/>
              </w:rPr>
              <w:t>M</w:t>
            </w:r>
            <w:r w:rsidRPr="00637905" w:rsidR="00A4445D">
              <w:rPr>
                <w:rFonts w:cs="Arial"/>
              </w:rPr>
              <w:t xml:space="preserve">arket, becoming effective in accordance with the admission and disclosure standards of </w:t>
            </w:r>
            <w:r w:rsidRPr="00637905" w:rsidR="00640CB6">
              <w:rPr>
                <w:rFonts w:cs="Arial"/>
              </w:rPr>
              <w:fldChar w:fldCharType="begin">
                <w:fldData xml:space="preserve">dgAxAHwAMQAwADAANQA0AHwAdABoAGUAIABMAG8AbgBkAG8AbgB8AEEAbQBiAGkAZwAtADEAMAAw
ADUANAB8AHwA
</w:fldData>
              </w:fldChar>
            </w:r>
            <w:r w:rsidRPr="00637905" w:rsidR="00640CB6">
              <w:rPr>
                <w:rFonts w:cs="Arial"/>
              </w:rPr>
              <w:instrText xml:space="preserve"> ADDIN CiteCheck Marker </w:instrText>
            </w:r>
            <w:r w:rsidRPr="00637905" w:rsidR="00640CB6">
              <w:rPr>
                <w:rFonts w:cs="Arial"/>
              </w:rPr>
            </w:r>
            <w:r w:rsidRPr="00637905" w:rsidR="00640CB6">
              <w:rPr>
                <w:rFonts w:cs="Arial"/>
              </w:rPr>
              <w:fldChar w:fldCharType="end"/>
            </w:r>
            <w:r w:rsidRPr="00637905" w:rsidR="00A4445D">
              <w:rPr>
                <w:rFonts w:cs="Arial"/>
              </w:rPr>
              <w:t xml:space="preserve">the London Stock Exchange </w:t>
            </w:r>
          </w:p>
        </w:tc>
      </w:tr>
      <w:tr w:rsidRPr="00637905" w:rsidR="00A4445D" w:rsidTr="00CC36C3" w14:paraId="20E8D162" w14:textId="77777777">
        <w:tc>
          <w:tcPr>
            <w:tcW w:w="3857" w:type="dxa"/>
          </w:tcPr>
          <w:p w:rsidRPr="00637905" w:rsidR="00A4445D" w:rsidP="00C27D12" w:rsidRDefault="00A4445D" w14:paraId="544545C8" w14:textId="77777777">
            <w:pPr>
              <w:rPr>
                <w:rFonts w:cs="Arial"/>
                <w:b/>
              </w:rPr>
            </w:pPr>
            <w:r w:rsidRPr="00637905">
              <w:rPr>
                <w:rFonts w:cs="Arial"/>
                <w:b/>
              </w:rPr>
              <w:t>AIC</w:t>
            </w:r>
          </w:p>
        </w:tc>
        <w:tc>
          <w:tcPr>
            <w:tcW w:w="5497" w:type="dxa"/>
          </w:tcPr>
          <w:p w:rsidRPr="00637905" w:rsidR="00A4445D" w:rsidP="00C27D12" w:rsidRDefault="00A4445D" w14:paraId="0092F5B5" w14:textId="77777777">
            <w:pPr>
              <w:rPr>
                <w:rFonts w:cs="Arial"/>
              </w:rPr>
            </w:pPr>
            <w:r w:rsidRPr="00637905">
              <w:rPr>
                <w:rFonts w:cs="Arial"/>
              </w:rPr>
              <w:t>the Association of Investment Companies</w:t>
            </w:r>
          </w:p>
        </w:tc>
      </w:tr>
      <w:tr w:rsidRPr="00637905" w:rsidR="00A4445D" w:rsidTr="00CC36C3" w14:paraId="158DCD33" w14:textId="77777777">
        <w:tc>
          <w:tcPr>
            <w:tcW w:w="3857" w:type="dxa"/>
          </w:tcPr>
          <w:p w:rsidRPr="00637905" w:rsidR="00A4445D" w:rsidP="00C27D12" w:rsidRDefault="00A4445D" w14:paraId="1EB57206" w14:textId="77777777">
            <w:pPr>
              <w:rPr>
                <w:rFonts w:cs="Arial"/>
                <w:b/>
              </w:rPr>
            </w:pPr>
            <w:r w:rsidRPr="00637905">
              <w:rPr>
                <w:rFonts w:cs="Arial"/>
                <w:b/>
              </w:rPr>
              <w:t xml:space="preserve">AIC Code </w:t>
            </w:r>
          </w:p>
        </w:tc>
        <w:tc>
          <w:tcPr>
            <w:tcW w:w="5497" w:type="dxa"/>
          </w:tcPr>
          <w:p w:rsidRPr="00637905" w:rsidR="00A4445D" w:rsidP="00C27D12" w:rsidRDefault="00A4445D" w14:paraId="31E411DB" w14:textId="77777777">
            <w:pPr>
              <w:rPr>
                <w:rFonts w:cs="Arial"/>
              </w:rPr>
            </w:pPr>
            <w:r w:rsidRPr="00637905">
              <w:rPr>
                <w:rFonts w:cs="Arial"/>
              </w:rPr>
              <w:t>the AIC Code of Corporate Governance published by the AIC from time to time</w:t>
            </w:r>
          </w:p>
        </w:tc>
      </w:tr>
      <w:tr w:rsidRPr="00637905" w:rsidR="00A4445D" w:rsidTr="00CC36C3" w14:paraId="0A034F52" w14:textId="77777777">
        <w:tc>
          <w:tcPr>
            <w:tcW w:w="3857" w:type="dxa"/>
          </w:tcPr>
          <w:p w:rsidRPr="00637905" w:rsidR="00A4445D" w:rsidP="00C27D12" w:rsidRDefault="00A4445D" w14:paraId="7C05D60F" w14:textId="77777777">
            <w:pPr>
              <w:rPr>
                <w:rFonts w:cs="Arial"/>
                <w:b/>
              </w:rPr>
            </w:pPr>
            <w:r w:rsidRPr="00637905">
              <w:rPr>
                <w:rFonts w:cs="Arial"/>
                <w:b/>
                <w:bCs/>
                <w:szCs w:val="22"/>
              </w:rPr>
              <w:t>AIF</w:t>
            </w:r>
          </w:p>
        </w:tc>
        <w:tc>
          <w:tcPr>
            <w:tcW w:w="5497" w:type="dxa"/>
          </w:tcPr>
          <w:p w:rsidRPr="00637905" w:rsidR="00A4445D" w:rsidP="00C27D12" w:rsidRDefault="00A4445D" w14:paraId="06F1EC4F" w14:textId="72A5F142">
            <w:pPr>
              <w:rPr>
                <w:rFonts w:cs="Arial"/>
              </w:rPr>
            </w:pPr>
            <w:r w:rsidRPr="00637905">
              <w:rPr>
                <w:rFonts w:cs="Arial"/>
                <w:szCs w:val="22"/>
              </w:rPr>
              <w:t>an alternative investment fund</w:t>
            </w:r>
            <w:r w:rsidR="00F87AD5">
              <w:rPr>
                <w:rFonts w:cs="Arial"/>
                <w:szCs w:val="22"/>
              </w:rPr>
              <w:t xml:space="preserve"> </w:t>
            </w:r>
            <w:r w:rsidR="00F87AD5">
              <w:t>for the purposes of the UK AIFM Regime</w:t>
            </w:r>
          </w:p>
        </w:tc>
      </w:tr>
      <w:tr w:rsidRPr="00637905" w:rsidR="00A4445D" w:rsidTr="00CC36C3" w14:paraId="1C85FB38" w14:textId="77777777">
        <w:tc>
          <w:tcPr>
            <w:tcW w:w="3857" w:type="dxa"/>
          </w:tcPr>
          <w:p w:rsidRPr="00637905" w:rsidR="00A4445D" w:rsidP="00C27D12" w:rsidRDefault="00A4445D" w14:paraId="3C06AE3E" w14:textId="77777777">
            <w:pPr>
              <w:rPr>
                <w:rFonts w:cs="Arial"/>
                <w:b/>
                <w:szCs w:val="22"/>
              </w:rPr>
            </w:pPr>
            <w:r w:rsidRPr="00637905">
              <w:rPr>
                <w:rFonts w:cs="Arial"/>
                <w:b/>
              </w:rPr>
              <w:t>AIFM</w:t>
            </w:r>
          </w:p>
        </w:tc>
        <w:tc>
          <w:tcPr>
            <w:tcW w:w="5497" w:type="dxa"/>
          </w:tcPr>
          <w:p w:rsidRPr="00F87AD5" w:rsidR="00A4445D" w:rsidP="00C27D12" w:rsidRDefault="00F87AD5" w14:paraId="675755DD" w14:textId="634139D7">
            <w:r>
              <w:t>an alternative fund manager for the purposes of the UK AIFM Regime</w:t>
            </w:r>
          </w:p>
        </w:tc>
      </w:tr>
      <w:tr w:rsidRPr="00637905" w:rsidR="00F87AD5" w:rsidTr="00CC36C3" w14:paraId="44D0C2A6" w14:textId="77777777">
        <w:tc>
          <w:tcPr>
            <w:tcW w:w="3857" w:type="dxa"/>
          </w:tcPr>
          <w:p w:rsidRPr="00637905" w:rsidR="00F87AD5" w:rsidP="00F87AD5" w:rsidRDefault="00F87AD5" w14:paraId="3FD53AB7" w14:textId="77777777">
            <w:pPr>
              <w:rPr>
                <w:rFonts w:cs="Arial"/>
                <w:b/>
                <w:szCs w:val="22"/>
              </w:rPr>
            </w:pPr>
            <w:r w:rsidRPr="00637905">
              <w:rPr>
                <w:rFonts w:cs="Arial"/>
                <w:b/>
                <w:szCs w:val="22"/>
              </w:rPr>
              <w:t>AIFM Regulations</w:t>
            </w:r>
          </w:p>
        </w:tc>
        <w:tc>
          <w:tcPr>
            <w:tcW w:w="5497" w:type="dxa"/>
          </w:tcPr>
          <w:p w:rsidRPr="00637905" w:rsidR="00F87AD5" w:rsidP="00F87AD5" w:rsidRDefault="00F87AD5" w14:paraId="723A620F" w14:textId="7385045C">
            <w:pPr>
              <w:rPr>
                <w:rFonts w:cs="Arial"/>
                <w:szCs w:val="22"/>
              </w:rPr>
            </w:pPr>
            <w:r w:rsidRPr="00637905">
              <w:t>The Alternative Investment Fund Managers Regulations 2013 (as amended by The Alternative Investment Fund Managers (Amendment etc.) (EU Exit) Regulations 2019)</w:t>
            </w:r>
          </w:p>
        </w:tc>
      </w:tr>
      <w:tr w:rsidRPr="00637905" w:rsidR="00F87AD5" w:rsidTr="00CC36C3" w14:paraId="303A694F" w14:textId="77777777">
        <w:tc>
          <w:tcPr>
            <w:tcW w:w="3857" w:type="dxa"/>
          </w:tcPr>
          <w:p w:rsidRPr="00637905" w:rsidR="00F87AD5" w:rsidP="00F87AD5" w:rsidRDefault="00F87AD5" w14:paraId="35932C67" w14:textId="4CDB4A24">
            <w:pPr>
              <w:rPr>
                <w:rFonts w:cs="Arial"/>
                <w:b/>
                <w:szCs w:val="22"/>
              </w:rPr>
            </w:pPr>
            <w:r w:rsidRPr="00637905">
              <w:rPr>
                <w:rFonts w:cs="Arial"/>
                <w:b/>
                <w:szCs w:val="22"/>
              </w:rPr>
              <w:t xml:space="preserve">AML Legislation </w:t>
            </w:r>
          </w:p>
        </w:tc>
        <w:tc>
          <w:tcPr>
            <w:tcW w:w="5497" w:type="dxa"/>
          </w:tcPr>
          <w:p w:rsidRPr="00637905" w:rsidR="00F87AD5" w:rsidP="00F87AD5" w:rsidRDefault="00F87AD5" w14:paraId="6A1B312D" w14:textId="160992FC">
            <w:pPr>
              <w:autoSpaceDE w:val="0"/>
              <w:autoSpaceDN w:val="0"/>
              <w:adjustRightInd w:val="0"/>
              <w:snapToGrid w:val="0"/>
              <w:rPr>
                <w:rFonts w:cs="Arial"/>
                <w:szCs w:val="20"/>
              </w:rPr>
            </w:pPr>
            <w:r w:rsidRPr="00637905">
              <w:rPr>
                <w:rFonts w:cs="Arial"/>
                <w:szCs w:val="20"/>
              </w:rPr>
              <w:t xml:space="preserve">the Criminal Justice (Proceeds of Crime) (Bailiwick of Guernsey) Law, 1999 (as amended), ordinances, rules and regulations made thereunder, and the GFSC’s Handbook for Financial Services Business on Countering Financial Crime and Terrorist Financing (as amended, supplemented and/or replaced from time to time), together with any applicable legislation in the UK, including but not limited to, the </w:t>
            </w:r>
            <w:r w:rsidRPr="00637905">
              <w:rPr>
                <w:rFonts w:cs="Arial"/>
                <w:szCs w:val="20"/>
              </w:rPr>
              <w:fldChar w:fldCharType="begin">
                <w:fldData xml:space="preserve">dgAxAHwAMQAwADAANQA2AHwAUAByAG8AYwBlAGUAZABzACAAbwBmACAAQwByAGkAbQBlACAAQQBj
AHQAIAAyADAAMAAyAHwAQgBFAFMAVABCAEwAVABJAFQATABFADcAMQAwADQAMwA5AHwAfAA=
</w:fldData>
              </w:fldChar>
            </w:r>
            <w:r w:rsidRPr="00637905">
              <w:rPr>
                <w:rFonts w:cs="Arial"/>
                <w:szCs w:val="20"/>
              </w:rPr>
              <w:instrText xml:space="preserve"> ADDIN CiteCheck Marker </w:instrText>
            </w:r>
            <w:r w:rsidRPr="00637905">
              <w:rPr>
                <w:rFonts w:cs="Arial"/>
                <w:szCs w:val="20"/>
              </w:rPr>
            </w:r>
            <w:r w:rsidRPr="00637905">
              <w:rPr>
                <w:rFonts w:cs="Arial"/>
                <w:szCs w:val="20"/>
              </w:rPr>
              <w:fldChar w:fldCharType="end"/>
            </w:r>
            <w:r w:rsidRPr="00637905">
              <w:rPr>
                <w:rFonts w:cs="Arial"/>
                <w:szCs w:val="20"/>
              </w:rPr>
              <w:t xml:space="preserve">Proceeds of Crime Act 2002 (as amended) and the UK </w:t>
            </w:r>
            <w:r w:rsidRPr="00637905">
              <w:rPr>
                <w:rFonts w:cs="Arial"/>
                <w:szCs w:val="20"/>
              </w:rPr>
              <w:fldChar w:fldCharType="begin">
                <w:fldData xml:space="preserve">dgAxAHwAMQAwADAANQA3AHwATQBvAG4AZQB5ACAATABhAHUAbgBkAGUAcgBpAG4AZwAsACAAVABl
AHIAcgBvAHIAaQBzAHQAIABGAGkAbgBhAG4AYwBpAG4AZwAgAGEAbgBkACAAVAByAGEAbgBzAGYA
ZQByACAAbwBmACAARgB1AG4AZABzACAAKABJAG4AZgBvAHIAbQBhAHQAaQBvAG4AIABvAG4AIAB0
AGgAZQAgAFAAYQB5AGUAcgApACAAUgBlAGcAdQBsAGEAdABpAG8AbgBzACAAMgAwADEANwB8AEIA
RQBTAFQAQgBMAFQASQBUAEwARQA3ADQAOQAzADkAMQB8AHwA
</w:fldData>
              </w:fldChar>
            </w:r>
            <w:r w:rsidRPr="00637905">
              <w:rPr>
                <w:rFonts w:cs="Arial"/>
                <w:szCs w:val="20"/>
              </w:rPr>
              <w:instrText xml:space="preserve"> ADDIN CiteCheck Marker </w:instrText>
            </w:r>
            <w:r w:rsidRPr="00637905">
              <w:rPr>
                <w:rFonts w:cs="Arial"/>
                <w:szCs w:val="20"/>
              </w:rPr>
            </w:r>
            <w:r w:rsidRPr="00637905">
              <w:rPr>
                <w:rFonts w:cs="Arial"/>
                <w:szCs w:val="20"/>
              </w:rPr>
              <w:fldChar w:fldCharType="end"/>
            </w:r>
            <w:r w:rsidRPr="00637905">
              <w:rPr>
                <w:rFonts w:cs="Arial"/>
                <w:szCs w:val="20"/>
              </w:rPr>
              <w:t>Money Laundering, Terrorist Financing and Transfer of Funds (Information on the Payer) Regulations 2017, as amended from time to time together with any subordinate legislation, regulations or guidance notes pursuant thereto</w:t>
            </w:r>
          </w:p>
        </w:tc>
      </w:tr>
      <w:tr w:rsidRPr="00637905" w:rsidR="00F87AD5" w:rsidTr="00CC36C3" w14:paraId="45D73A11" w14:textId="77777777">
        <w:tc>
          <w:tcPr>
            <w:tcW w:w="3857" w:type="dxa"/>
          </w:tcPr>
          <w:p w:rsidRPr="00637905" w:rsidR="00F87AD5" w:rsidP="00F87AD5" w:rsidRDefault="00F87AD5" w14:paraId="043C81FE" w14:textId="77777777">
            <w:pPr>
              <w:rPr>
                <w:rFonts w:cs="Arial"/>
              </w:rPr>
            </w:pPr>
            <w:r w:rsidRPr="00637905">
              <w:rPr>
                <w:rFonts w:cs="Arial"/>
                <w:b/>
              </w:rPr>
              <w:t>Articles</w:t>
            </w:r>
          </w:p>
        </w:tc>
        <w:tc>
          <w:tcPr>
            <w:tcW w:w="5497" w:type="dxa"/>
          </w:tcPr>
          <w:p w:rsidRPr="00637905" w:rsidR="00F87AD5" w:rsidP="00F87AD5" w:rsidRDefault="00F87AD5" w14:paraId="2053B1C3" w14:textId="5E11C8E8">
            <w:pPr>
              <w:rPr>
                <w:rFonts w:cs="Arial"/>
              </w:rPr>
            </w:pPr>
            <w:r w:rsidRPr="00637905">
              <w:rPr>
                <w:rFonts w:cs="Arial"/>
              </w:rPr>
              <w:t xml:space="preserve">the articles of incorporation of the Company, as amended from time to time </w:t>
            </w:r>
          </w:p>
        </w:tc>
      </w:tr>
      <w:tr w:rsidRPr="00637905" w:rsidR="00F87AD5" w:rsidTr="00CC36C3" w14:paraId="02E6C44A" w14:textId="77777777">
        <w:tc>
          <w:tcPr>
            <w:tcW w:w="3857" w:type="dxa"/>
          </w:tcPr>
          <w:p w:rsidRPr="00637905" w:rsidR="00F87AD5" w:rsidP="00F87AD5" w:rsidRDefault="00F87AD5" w14:paraId="6CDB68CD" w14:textId="77777777">
            <w:pPr>
              <w:jc w:val="left"/>
              <w:rPr>
                <w:rFonts w:cs="Arial"/>
                <w:b/>
              </w:rPr>
            </w:pPr>
            <w:r w:rsidRPr="00637905">
              <w:rPr>
                <w:rFonts w:cs="Arial"/>
                <w:b/>
              </w:rPr>
              <w:t>Audit Committee</w:t>
            </w:r>
          </w:p>
        </w:tc>
        <w:tc>
          <w:tcPr>
            <w:tcW w:w="5497" w:type="dxa"/>
          </w:tcPr>
          <w:p w:rsidRPr="00637905" w:rsidR="00F87AD5" w:rsidP="00F87AD5" w:rsidRDefault="00F87AD5" w14:paraId="38507D61" w14:textId="77777777">
            <w:pPr>
              <w:rPr>
                <w:rFonts w:cs="Arial"/>
              </w:rPr>
            </w:pPr>
            <w:r w:rsidRPr="00637905">
              <w:rPr>
                <w:rFonts w:cs="Arial"/>
              </w:rPr>
              <w:t>the audit committee of the Board</w:t>
            </w:r>
          </w:p>
        </w:tc>
      </w:tr>
      <w:tr w:rsidRPr="00637905" w:rsidR="00F87AD5" w:rsidTr="00CC36C3" w14:paraId="019A59E9" w14:textId="77777777">
        <w:tc>
          <w:tcPr>
            <w:tcW w:w="3857" w:type="dxa"/>
          </w:tcPr>
          <w:p w:rsidRPr="00637905" w:rsidR="00F87AD5" w:rsidP="00F87AD5" w:rsidRDefault="00F87AD5" w14:paraId="6A04FA63" w14:textId="77777777">
            <w:pPr>
              <w:jc w:val="left"/>
              <w:rPr>
                <w:rFonts w:cs="Arial"/>
                <w:b/>
              </w:rPr>
            </w:pPr>
            <w:r w:rsidRPr="00637905">
              <w:rPr>
                <w:rFonts w:cs="Arial"/>
                <w:b/>
              </w:rPr>
              <w:t xml:space="preserve">Auditor </w:t>
            </w:r>
          </w:p>
        </w:tc>
        <w:tc>
          <w:tcPr>
            <w:tcW w:w="5497" w:type="dxa"/>
          </w:tcPr>
          <w:p w:rsidRPr="00170D56" w:rsidR="00F87AD5" w:rsidP="00170D56" w:rsidRDefault="00AD1E25" w14:paraId="5C0687F3" w14:textId="1B5BFD1C">
            <w:pPr>
              <w:spacing w:after="0"/>
              <w:rPr>
                <w:rFonts w:cstheme="minorHAnsi"/>
              </w:rPr>
            </w:pPr>
            <w:r>
              <w:rPr>
                <w:rFonts w:cstheme="minorHAnsi"/>
              </w:rPr>
              <w:t>Baker Tilly Channel Islands Limited</w:t>
            </w:r>
          </w:p>
        </w:tc>
      </w:tr>
      <w:tr w:rsidRPr="00637905" w:rsidR="00F87AD5" w:rsidTr="00CC36C3" w14:paraId="64A75FE2" w14:textId="77777777">
        <w:tc>
          <w:tcPr>
            <w:tcW w:w="3857" w:type="dxa"/>
          </w:tcPr>
          <w:p w:rsidRPr="00637905" w:rsidR="00F87AD5" w:rsidP="00F87AD5" w:rsidRDefault="00F87AD5" w14:paraId="1977F0F3" w14:textId="77777777">
            <w:pPr>
              <w:jc w:val="left"/>
              <w:rPr>
                <w:rFonts w:cs="Arial"/>
                <w:b/>
              </w:rPr>
            </w:pPr>
            <w:r w:rsidRPr="00637905">
              <w:rPr>
                <w:rFonts w:cs="Arial"/>
                <w:b/>
              </w:rPr>
              <w:t>Benefit Plan Investor</w:t>
            </w:r>
          </w:p>
        </w:tc>
        <w:tc>
          <w:tcPr>
            <w:tcW w:w="5497" w:type="dxa"/>
          </w:tcPr>
          <w:p w:rsidRPr="00637905" w:rsidR="00F87AD5" w:rsidP="00F87AD5" w:rsidRDefault="00F87AD5" w14:paraId="296361B0" w14:textId="77777777">
            <w:pPr>
              <w:rPr>
                <w:rFonts w:cs="Arial"/>
              </w:rPr>
            </w:pPr>
            <w:r w:rsidRPr="00637905">
              <w:rPr>
                <w:rFonts w:cs="Arial"/>
              </w:rPr>
              <w:t>(</w:t>
            </w:r>
            <w:proofErr w:type="spellStart"/>
            <w:r w:rsidRPr="00637905">
              <w:rPr>
                <w:rFonts w:cs="Arial"/>
              </w:rPr>
              <w:t>i</w:t>
            </w:r>
            <w:proofErr w:type="spellEnd"/>
            <w:r w:rsidRPr="00637905">
              <w:rPr>
                <w:rFonts w:cs="Arial"/>
              </w:rPr>
              <w:t xml:space="preserve">) an employee benefit plan that is subject to the fiduciary responsibility or prohibited transaction provisions of Title I of ERISA (including, as applicable, assets of an insurance company general account) or a plan that is subject to the prohibited transaction provisions of section 4975 of the U.S. Tax Code (including an individual retirement account), (ii) an entity whose underlying assets include "plan assets" by reason of a Plan’s investment in the entity, or (iii) any "benefit </w:t>
            </w:r>
            <w:r w:rsidRPr="00637905">
              <w:rPr>
                <w:rFonts w:cs="Arial"/>
              </w:rPr>
              <w:lastRenderedPageBreak/>
              <w:t xml:space="preserve">plan investor" as otherwise defined in section 3(42) of ERISA or regulations promulgated by the U.S. Department of </w:t>
            </w:r>
            <w:proofErr w:type="spellStart"/>
            <w:r w:rsidRPr="00637905">
              <w:rPr>
                <w:rFonts w:cs="Arial"/>
              </w:rPr>
              <w:t>Labor</w:t>
            </w:r>
            <w:proofErr w:type="spellEnd"/>
            <w:r w:rsidRPr="00637905">
              <w:rPr>
                <w:rFonts w:cs="Arial"/>
              </w:rPr>
              <w:t xml:space="preserve"> </w:t>
            </w:r>
          </w:p>
        </w:tc>
      </w:tr>
      <w:tr w:rsidRPr="00637905" w:rsidR="00F87AD5" w:rsidTr="00CC36C3" w14:paraId="2CB2BF7B" w14:textId="77777777">
        <w:tc>
          <w:tcPr>
            <w:tcW w:w="3857" w:type="dxa"/>
          </w:tcPr>
          <w:p w:rsidRPr="00637905" w:rsidR="00F87AD5" w:rsidP="00F87AD5" w:rsidRDefault="00F87AD5" w14:paraId="0416597A" w14:textId="77777777">
            <w:pPr>
              <w:jc w:val="left"/>
              <w:rPr>
                <w:rFonts w:cs="Arial"/>
                <w:b/>
              </w:rPr>
            </w:pPr>
            <w:r w:rsidRPr="00637905">
              <w:rPr>
                <w:rFonts w:cs="Arial"/>
                <w:b/>
              </w:rPr>
              <w:lastRenderedPageBreak/>
              <w:t>Board</w:t>
            </w:r>
          </w:p>
        </w:tc>
        <w:tc>
          <w:tcPr>
            <w:tcW w:w="5497" w:type="dxa"/>
          </w:tcPr>
          <w:p w:rsidRPr="00637905" w:rsidR="00F87AD5" w:rsidP="00F87AD5" w:rsidRDefault="00F87AD5" w14:paraId="68735C8F" w14:textId="77777777">
            <w:pPr>
              <w:rPr>
                <w:rFonts w:cs="Arial"/>
              </w:rPr>
            </w:pPr>
            <w:r w:rsidRPr="00637905">
              <w:rPr>
                <w:rFonts w:cs="Arial"/>
              </w:rPr>
              <w:t>the board of Directors of the Company or any duly constituted committee thereof</w:t>
            </w:r>
          </w:p>
        </w:tc>
      </w:tr>
      <w:tr w:rsidRPr="00637905" w:rsidR="00F87AD5" w:rsidTr="00CC36C3" w14:paraId="7C1F6E2C" w14:textId="77777777">
        <w:tc>
          <w:tcPr>
            <w:tcW w:w="3857" w:type="dxa"/>
          </w:tcPr>
          <w:p w:rsidRPr="00637905" w:rsidR="00F87AD5" w:rsidP="00F87AD5" w:rsidRDefault="00F87AD5" w14:paraId="606889E1" w14:textId="77777777">
            <w:pPr>
              <w:rPr>
                <w:rFonts w:cs="Arial"/>
                <w:b/>
              </w:rPr>
            </w:pPr>
            <w:r w:rsidRPr="00637905">
              <w:rPr>
                <w:rFonts w:cs="Arial"/>
                <w:b/>
              </w:rPr>
              <w:t>Business Day</w:t>
            </w:r>
          </w:p>
        </w:tc>
        <w:tc>
          <w:tcPr>
            <w:tcW w:w="5497" w:type="dxa"/>
          </w:tcPr>
          <w:p w:rsidRPr="00637905" w:rsidR="00F87AD5" w:rsidP="00F87AD5" w:rsidRDefault="00F87AD5" w14:paraId="257E5F6C" w14:textId="5BB8766A">
            <w:pPr>
              <w:rPr>
                <w:rFonts w:cs="Arial"/>
              </w:rPr>
            </w:pPr>
            <w:r w:rsidRPr="00637905">
              <w:rPr>
                <w:rFonts w:cs="Arial"/>
              </w:rPr>
              <w:t xml:space="preserve">any day which is not a Saturday or Sunday or a bank holiday in the City of London </w:t>
            </w:r>
            <w:r w:rsidR="00701A1E">
              <w:rPr>
                <w:rFonts w:cs="Arial"/>
              </w:rPr>
              <w:t>or</w:t>
            </w:r>
            <w:r w:rsidRPr="00637905">
              <w:rPr>
                <w:rFonts w:cs="Arial"/>
              </w:rPr>
              <w:t xml:space="preserve"> Guernsey</w:t>
            </w:r>
          </w:p>
        </w:tc>
      </w:tr>
      <w:tr w:rsidRPr="00637905" w:rsidR="00F87AD5" w:rsidTr="00CC36C3" w14:paraId="3A3DFD30" w14:textId="77777777">
        <w:tc>
          <w:tcPr>
            <w:tcW w:w="3857" w:type="dxa"/>
          </w:tcPr>
          <w:p w:rsidRPr="00637905" w:rsidR="00F87AD5" w:rsidP="00F87AD5" w:rsidRDefault="00F87AD5" w14:paraId="2438468E" w14:textId="77777777">
            <w:pPr>
              <w:rPr>
                <w:rFonts w:cs="Arial"/>
                <w:b/>
              </w:rPr>
            </w:pPr>
            <w:r w:rsidRPr="00637905">
              <w:rPr>
                <w:rFonts w:cs="Arial"/>
                <w:b/>
              </w:rPr>
              <w:t>Capital gains tax</w:t>
            </w:r>
            <w:r w:rsidRPr="00637905">
              <w:rPr>
                <w:rFonts w:cs="Arial"/>
              </w:rPr>
              <w:t xml:space="preserve"> or </w:t>
            </w:r>
            <w:r w:rsidRPr="00637905">
              <w:rPr>
                <w:rFonts w:cs="Arial"/>
                <w:b/>
              </w:rPr>
              <w:t>CGT</w:t>
            </w:r>
          </w:p>
        </w:tc>
        <w:tc>
          <w:tcPr>
            <w:tcW w:w="5497" w:type="dxa"/>
          </w:tcPr>
          <w:p w:rsidRPr="00637905" w:rsidR="00F87AD5" w:rsidP="00F87AD5" w:rsidRDefault="00F87AD5" w14:paraId="1DF77B32" w14:textId="77777777">
            <w:pPr>
              <w:rPr>
                <w:rFonts w:cs="Arial"/>
              </w:rPr>
            </w:pPr>
            <w:r w:rsidRPr="00637905">
              <w:rPr>
                <w:rFonts w:cs="Arial"/>
              </w:rPr>
              <w:t>UK taxation of capital gains or corporation tax on chargeable gains, as the context may require</w:t>
            </w:r>
          </w:p>
        </w:tc>
      </w:tr>
      <w:tr w:rsidRPr="00637905" w:rsidR="00F87AD5" w:rsidTr="00CC36C3" w14:paraId="10A21C36" w14:textId="77777777">
        <w:tc>
          <w:tcPr>
            <w:tcW w:w="3857" w:type="dxa"/>
          </w:tcPr>
          <w:p w:rsidRPr="00637905" w:rsidR="00F87AD5" w:rsidP="00F87AD5" w:rsidRDefault="00F87AD5" w14:paraId="7726F3F9" w14:textId="77777777">
            <w:pPr>
              <w:rPr>
                <w:rFonts w:cs="Arial"/>
                <w:b/>
              </w:rPr>
            </w:pPr>
            <w:r w:rsidRPr="00637905">
              <w:rPr>
                <w:rFonts w:cs="Arial"/>
                <w:b/>
              </w:rPr>
              <w:t xml:space="preserve">certificated </w:t>
            </w:r>
            <w:r w:rsidRPr="00637905">
              <w:rPr>
                <w:rFonts w:cs="Arial"/>
              </w:rPr>
              <w:t>or</w:t>
            </w:r>
            <w:r w:rsidRPr="00637905">
              <w:rPr>
                <w:rFonts w:cs="Arial"/>
                <w:b/>
              </w:rPr>
              <w:t xml:space="preserve"> in certificated form</w:t>
            </w:r>
          </w:p>
        </w:tc>
        <w:tc>
          <w:tcPr>
            <w:tcW w:w="5497" w:type="dxa"/>
          </w:tcPr>
          <w:p w:rsidRPr="00637905" w:rsidR="00F87AD5" w:rsidP="00F87AD5" w:rsidRDefault="00F87AD5" w14:paraId="2C6A99FC" w14:textId="77777777">
            <w:pPr>
              <w:rPr>
                <w:rFonts w:cs="Arial"/>
              </w:rPr>
            </w:pPr>
            <w:r w:rsidRPr="00637905">
              <w:rPr>
                <w:rFonts w:cs="Arial"/>
              </w:rPr>
              <w:t>not in uncertificated form</w:t>
            </w:r>
          </w:p>
        </w:tc>
      </w:tr>
      <w:tr w:rsidRPr="00637905" w:rsidR="00F87AD5" w:rsidTr="00CC36C3" w14:paraId="3C11D384" w14:textId="77777777">
        <w:tc>
          <w:tcPr>
            <w:tcW w:w="3857" w:type="dxa"/>
            <w:shd w:val="clear" w:color="auto" w:fill="auto"/>
          </w:tcPr>
          <w:p w:rsidRPr="00637905" w:rsidR="00F87AD5" w:rsidP="00F87AD5" w:rsidRDefault="00F87AD5" w14:paraId="3620F7EB" w14:textId="77777777">
            <w:pPr>
              <w:rPr>
                <w:rFonts w:cs="Arial"/>
                <w:b/>
              </w:rPr>
            </w:pPr>
            <w:r w:rsidRPr="00637905">
              <w:rPr>
                <w:rFonts w:cs="Arial"/>
                <w:b/>
              </w:rPr>
              <w:t xml:space="preserve">City Code </w:t>
            </w:r>
          </w:p>
        </w:tc>
        <w:tc>
          <w:tcPr>
            <w:tcW w:w="5497" w:type="dxa"/>
            <w:shd w:val="clear" w:color="auto" w:fill="auto"/>
          </w:tcPr>
          <w:p w:rsidRPr="00637905" w:rsidR="00F87AD5" w:rsidP="00F87AD5" w:rsidRDefault="00F87AD5" w14:paraId="29D3C3F8" w14:textId="77777777">
            <w:pPr>
              <w:rPr>
                <w:rFonts w:cs="Arial"/>
              </w:rPr>
            </w:pPr>
            <w:r w:rsidRPr="00637905">
              <w:rPr>
                <w:rFonts w:cs="Arial"/>
              </w:rPr>
              <w:t>the City Code on Takeovers and Mergers, as amended from time to time</w:t>
            </w:r>
          </w:p>
        </w:tc>
      </w:tr>
      <w:tr w:rsidRPr="00637905" w:rsidR="00F87AD5" w:rsidTr="00CC36C3" w14:paraId="5232D1DB" w14:textId="77777777">
        <w:tc>
          <w:tcPr>
            <w:tcW w:w="3857" w:type="dxa"/>
          </w:tcPr>
          <w:p w:rsidRPr="00637905" w:rsidR="00F87AD5" w:rsidP="00F87AD5" w:rsidRDefault="00F87AD5" w14:paraId="44B16058" w14:textId="482E4FB3">
            <w:pPr>
              <w:rPr>
                <w:rFonts w:cs="Arial"/>
                <w:b/>
              </w:rPr>
            </w:pPr>
            <w:r w:rsidRPr="00637905">
              <w:rPr>
                <w:rFonts w:cs="Arial"/>
                <w:b/>
              </w:rPr>
              <w:t>Companies Law</w:t>
            </w:r>
          </w:p>
        </w:tc>
        <w:tc>
          <w:tcPr>
            <w:tcW w:w="5497" w:type="dxa"/>
          </w:tcPr>
          <w:p w:rsidRPr="00637905" w:rsidR="00F87AD5" w:rsidP="00F87AD5" w:rsidRDefault="00F87AD5" w14:paraId="63C9DD11" w14:textId="2CC51516">
            <w:pPr>
              <w:rPr>
                <w:rFonts w:cs="Arial"/>
              </w:rPr>
            </w:pPr>
            <w:r w:rsidRPr="00637905">
              <w:rPr>
                <w:rFonts w:cs="Arial"/>
              </w:rPr>
              <w:t>the Companies (Guernsey) Law, 2008, as amended</w:t>
            </w:r>
          </w:p>
        </w:tc>
      </w:tr>
      <w:tr w:rsidRPr="00637905" w:rsidR="00F87AD5" w:rsidTr="00CC36C3" w14:paraId="24984A4C" w14:textId="77777777">
        <w:tc>
          <w:tcPr>
            <w:tcW w:w="3857" w:type="dxa"/>
          </w:tcPr>
          <w:p w:rsidRPr="00637905" w:rsidR="00F87AD5" w:rsidP="00F87AD5" w:rsidRDefault="00F87AD5" w14:paraId="072AEB4B" w14:textId="77777777">
            <w:pPr>
              <w:rPr>
                <w:rFonts w:cs="Arial"/>
                <w:b/>
              </w:rPr>
            </w:pPr>
            <w:r w:rsidRPr="00637905">
              <w:rPr>
                <w:rFonts w:cs="Arial"/>
                <w:b/>
              </w:rPr>
              <w:t>Company</w:t>
            </w:r>
          </w:p>
        </w:tc>
        <w:tc>
          <w:tcPr>
            <w:tcW w:w="5497" w:type="dxa"/>
          </w:tcPr>
          <w:p w:rsidRPr="00637905" w:rsidR="00F87AD5" w:rsidP="00F87AD5" w:rsidRDefault="00462471" w14:paraId="14914888" w14:textId="7D44E3CB">
            <w:pPr>
              <w:rPr>
                <w:rFonts w:cs="Arial"/>
              </w:rPr>
            </w:pPr>
            <w:r w:rsidRPr="00462471">
              <w:rPr>
                <w:rStyle w:val="Level3asHeadingtext"/>
                <w:b w:val="0"/>
              </w:rPr>
              <w:t>A</w:t>
            </w:r>
            <w:r w:rsidR="00A85202">
              <w:rPr>
                <w:rStyle w:val="Level3asHeadingtext"/>
                <w:b w:val="0"/>
              </w:rPr>
              <w:t>chilles Investment Company</w:t>
            </w:r>
            <w:r>
              <w:rPr>
                <w:rFonts w:cs="Arial"/>
              </w:rPr>
              <w:t xml:space="preserve"> </w:t>
            </w:r>
            <w:r w:rsidRPr="00637905" w:rsidR="00F87AD5">
              <w:rPr>
                <w:rFonts w:cs="Arial"/>
              </w:rPr>
              <w:t>Limited</w:t>
            </w:r>
          </w:p>
        </w:tc>
      </w:tr>
      <w:tr w:rsidRPr="00637905" w:rsidR="00F87AD5" w:rsidTr="00CC36C3" w14:paraId="2904142B" w14:textId="77777777">
        <w:tc>
          <w:tcPr>
            <w:tcW w:w="3857" w:type="dxa"/>
          </w:tcPr>
          <w:p w:rsidRPr="00637905" w:rsidR="00F87AD5" w:rsidP="00F87AD5" w:rsidRDefault="00F87AD5" w14:paraId="6BB36BC6" w14:textId="77777777">
            <w:pPr>
              <w:rPr>
                <w:rFonts w:cs="Arial"/>
                <w:b/>
              </w:rPr>
            </w:pPr>
            <w:r w:rsidRPr="00637905">
              <w:rPr>
                <w:rFonts w:cs="Arial"/>
                <w:b/>
              </w:rPr>
              <w:t>CREST</w:t>
            </w:r>
          </w:p>
        </w:tc>
        <w:tc>
          <w:tcPr>
            <w:tcW w:w="5497" w:type="dxa"/>
          </w:tcPr>
          <w:p w:rsidRPr="00637905" w:rsidR="00F87AD5" w:rsidP="00F87AD5" w:rsidRDefault="00F87AD5" w14:paraId="5D3A84C3" w14:textId="77777777">
            <w:pPr>
              <w:rPr>
                <w:rFonts w:cs="Arial"/>
              </w:rPr>
            </w:pPr>
            <w:r w:rsidRPr="00637905">
              <w:rPr>
                <w:rFonts w:cs="Arial"/>
              </w:rPr>
              <w:t>the computerised settlement system operated by Euroclear which facilitates the transfer of title to shares in uncertificated form</w:t>
            </w:r>
          </w:p>
        </w:tc>
      </w:tr>
      <w:tr w:rsidRPr="00637905" w:rsidR="00F87AD5" w:rsidTr="00CC36C3" w14:paraId="56DD29A2" w14:textId="77777777">
        <w:tc>
          <w:tcPr>
            <w:tcW w:w="3857" w:type="dxa"/>
          </w:tcPr>
          <w:p w:rsidRPr="00637905" w:rsidR="00F87AD5" w:rsidP="00F87AD5" w:rsidRDefault="00F87AD5" w14:paraId="09D6C5BD" w14:textId="50A9638A">
            <w:pPr>
              <w:rPr>
                <w:rFonts w:cs="Arial"/>
                <w:b/>
              </w:rPr>
            </w:pPr>
            <w:r w:rsidRPr="00637905">
              <w:rPr>
                <w:rFonts w:cs="Arial"/>
                <w:b/>
              </w:rPr>
              <w:t xml:space="preserve">CREST Regulation </w:t>
            </w:r>
          </w:p>
        </w:tc>
        <w:tc>
          <w:tcPr>
            <w:tcW w:w="5497" w:type="dxa"/>
          </w:tcPr>
          <w:p w:rsidRPr="00637905" w:rsidR="00F87AD5" w:rsidP="00F87AD5" w:rsidRDefault="00F87AD5" w14:paraId="0F6CAAB2" w14:textId="5DDC225E">
            <w:pPr>
              <w:rPr>
                <w:rFonts w:cs="Arial"/>
              </w:rPr>
            </w:pPr>
            <w:r w:rsidRPr="00637905">
              <w:rPr>
                <w:rFonts w:cs="Arial"/>
              </w:rPr>
              <w:t xml:space="preserve">the </w:t>
            </w:r>
            <w:r w:rsidRPr="00637905">
              <w:rPr>
                <w:rFonts w:cs="Arial"/>
              </w:rPr>
              <w:fldChar w:fldCharType="begin">
                <w:fldData xml:space="preserve">dgAxAHwAMQAwADAANQA4AHwAVQBuAGMAZQByAHQAaQBmAGkAYwBhAHQAZQBkACAAUwBlAGMAdQBy
AGkAdABpAGUAcwAgAFIAZQBnAHUAbABhAHQAaQBvAG4AcwAgADIAMAAwADEAfABCAEUAUwBUAEIA
TABUAEkAVABMAEUANgA1ADcANQAzADgAfAB8AA==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 xml:space="preserve">Uncertificated Securities </w:t>
            </w:r>
            <w:r w:rsidR="00FC383D">
              <w:rPr>
                <w:rFonts w:cs="Arial"/>
              </w:rPr>
              <w:t xml:space="preserve">(Guernsey) </w:t>
            </w:r>
            <w:r w:rsidRPr="00637905">
              <w:rPr>
                <w:rFonts w:cs="Arial"/>
              </w:rPr>
              <w:t>Regulations 200</w:t>
            </w:r>
            <w:r w:rsidR="00FC383D">
              <w:rPr>
                <w:rFonts w:cs="Arial"/>
              </w:rPr>
              <w:t>9</w:t>
            </w:r>
            <w:r w:rsidRPr="00637905">
              <w:rPr>
                <w:rFonts w:cs="Arial"/>
              </w:rPr>
              <w:t xml:space="preserve"> (</w:t>
            </w:r>
            <w:r w:rsidRPr="00637905">
              <w:rPr>
                <w:rFonts w:cs="Arial"/>
              </w:rPr>
              <w:fldChar w:fldCharType="begin">
                <w:fldData xml:space="preserve">dgAxAHwAMQA4AHwAUwBJACAAMgAwADAAMQAgAE4AbwAuACAAMgAwADAAMQB8AHwAfAA=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SI 200</w:t>
            </w:r>
            <w:r w:rsidR="00FC383D">
              <w:rPr>
                <w:rFonts w:cs="Arial"/>
              </w:rPr>
              <w:t>9</w:t>
            </w:r>
            <w:r w:rsidRPr="00637905">
              <w:rPr>
                <w:rFonts w:cs="Arial"/>
              </w:rPr>
              <w:t xml:space="preserve"> No. </w:t>
            </w:r>
            <w:r w:rsidR="00FC383D">
              <w:rPr>
                <w:rFonts w:cs="Arial"/>
              </w:rPr>
              <w:t>48</w:t>
            </w:r>
            <w:r w:rsidRPr="00637905">
              <w:rPr>
                <w:rFonts w:cs="Arial"/>
              </w:rPr>
              <w:t>), as amended</w:t>
            </w:r>
          </w:p>
        </w:tc>
      </w:tr>
      <w:tr w:rsidRPr="00637905" w:rsidR="00F87AD5" w:rsidTr="00CC36C3" w14:paraId="438BB17F" w14:textId="77777777">
        <w:tc>
          <w:tcPr>
            <w:tcW w:w="3857" w:type="dxa"/>
          </w:tcPr>
          <w:p w:rsidRPr="00637905" w:rsidR="00F87AD5" w:rsidP="00F87AD5" w:rsidRDefault="00F87AD5" w14:paraId="1C867B9B" w14:textId="50FF5BE1">
            <w:pPr>
              <w:rPr>
                <w:rFonts w:cs="Arial"/>
                <w:b/>
              </w:rPr>
            </w:pPr>
            <w:r w:rsidRPr="00637905">
              <w:rPr>
                <w:rFonts w:cs="Arial"/>
                <w:b/>
              </w:rPr>
              <w:fldChar w:fldCharType="begin">
                <w:fldData xml:space="preserve">dgAxAHwAMQAwADAANQA5AHwAQwBUAEEAIAAyADAAMAA5AHwAQgBFAFMAVABCAEwAVABJAFQATABF
ADcAMwAyADEAOQA1AHwAfAA=
</w:fldData>
              </w:fldChar>
            </w:r>
            <w:r w:rsidRPr="00637905">
              <w:rPr>
                <w:rFonts w:cs="Arial"/>
                <w:b/>
              </w:rPr>
              <w:instrText xml:space="preserve"> ADDIN CiteCheck Marker </w:instrText>
            </w:r>
            <w:r w:rsidRPr="00637905">
              <w:rPr>
                <w:rFonts w:cs="Arial"/>
                <w:b/>
              </w:rPr>
            </w:r>
            <w:r w:rsidRPr="00637905">
              <w:rPr>
                <w:rFonts w:cs="Arial"/>
                <w:b/>
              </w:rPr>
              <w:fldChar w:fldCharType="end"/>
            </w:r>
            <w:r w:rsidRPr="00637905">
              <w:rPr>
                <w:rFonts w:cs="Arial"/>
                <w:b/>
              </w:rPr>
              <w:t>CTA 2009</w:t>
            </w:r>
          </w:p>
        </w:tc>
        <w:tc>
          <w:tcPr>
            <w:tcW w:w="5497" w:type="dxa"/>
          </w:tcPr>
          <w:p w:rsidRPr="00637905" w:rsidR="00F87AD5" w:rsidP="00F87AD5" w:rsidRDefault="00F87AD5" w14:paraId="6E40B5CF" w14:textId="6B2DFC80">
            <w:pPr>
              <w:rPr>
                <w:rFonts w:cs="Arial"/>
              </w:rPr>
            </w:pPr>
            <w:r w:rsidRPr="00637905">
              <w:rPr>
                <w:rFonts w:cs="Arial"/>
              </w:rPr>
              <w:fldChar w:fldCharType="begin">
                <w:fldData xml:space="preserve">dgAxAHwAMQAwADAANgAwAHwAQwBvAHIAcABvAHIAYQB0AGkAbwBuACAAVABhAHgAIABBAGMAdAAg
ADIAMAAwADkAfABCAEUAUwBUAEIATABUAEkAVABMAEUANwAzADIAMQA5ADUAfAB8AA==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Corporation Tax Act 2009 and any statutory modification or re-enactment thereof for the time being in force</w:t>
            </w:r>
          </w:p>
        </w:tc>
      </w:tr>
      <w:tr w:rsidRPr="00637905" w:rsidR="00684F03" w:rsidTr="00CC36C3" w14:paraId="22CDF934" w14:textId="77777777">
        <w:tc>
          <w:tcPr>
            <w:tcW w:w="3857" w:type="dxa"/>
          </w:tcPr>
          <w:p w:rsidRPr="00637905" w:rsidR="00684F03" w:rsidP="00F87AD5" w:rsidRDefault="00684F03" w14:paraId="52CA8587" w14:textId="7743AF10">
            <w:pPr>
              <w:rPr>
                <w:rFonts w:cs="Arial"/>
                <w:b/>
              </w:rPr>
            </w:pPr>
            <w:r>
              <w:rPr>
                <w:rFonts w:cs="Arial"/>
                <w:b/>
              </w:rPr>
              <w:t>Custodian</w:t>
            </w:r>
          </w:p>
        </w:tc>
        <w:tc>
          <w:tcPr>
            <w:tcW w:w="5497" w:type="dxa"/>
          </w:tcPr>
          <w:p w:rsidR="00684F03" w:rsidP="00170D56" w:rsidRDefault="00A12F16" w14:paraId="2BBCC3F6" w14:textId="3C026C54">
            <w:pPr>
              <w:spacing w:after="0"/>
              <w:rPr>
                <w:rFonts w:cs="Arial"/>
                <w:spacing w:val="6"/>
                <w:szCs w:val="20"/>
              </w:rPr>
            </w:pPr>
            <w:r>
              <w:rPr>
                <w:rFonts w:cs="Arial"/>
                <w:spacing w:val="6"/>
                <w:szCs w:val="20"/>
              </w:rPr>
              <w:t>Butterfield Bank (Guernsey) Limited</w:t>
            </w:r>
          </w:p>
          <w:p w:rsidRPr="00170D56" w:rsidR="00170D56" w:rsidP="00170D56" w:rsidRDefault="00170D56" w14:paraId="3E717CCF" w14:textId="230D57CB">
            <w:pPr>
              <w:spacing w:after="0"/>
              <w:rPr>
                <w:rFonts w:cs="Arial"/>
                <w:spacing w:val="6"/>
                <w:szCs w:val="20"/>
              </w:rPr>
            </w:pPr>
          </w:p>
        </w:tc>
      </w:tr>
      <w:tr w:rsidRPr="00637905" w:rsidR="00684F03" w:rsidTr="00CC36C3" w14:paraId="635BF454" w14:textId="77777777">
        <w:tc>
          <w:tcPr>
            <w:tcW w:w="3857" w:type="dxa"/>
          </w:tcPr>
          <w:p w:rsidR="00684F03" w:rsidP="00684F03" w:rsidRDefault="00684F03" w14:paraId="3F971312" w14:textId="3438A1C4">
            <w:pPr>
              <w:rPr>
                <w:rFonts w:cs="Arial"/>
                <w:b/>
              </w:rPr>
            </w:pPr>
            <w:r>
              <w:rPr>
                <w:rFonts w:cs="Arial"/>
                <w:b/>
              </w:rPr>
              <w:t>Custody Agreement</w:t>
            </w:r>
          </w:p>
        </w:tc>
        <w:tc>
          <w:tcPr>
            <w:tcW w:w="5497" w:type="dxa"/>
          </w:tcPr>
          <w:p w:rsidR="00684F03" w:rsidP="00684F03" w:rsidRDefault="00684F03" w14:paraId="21C37B3F" w14:textId="16D48CA3">
            <w:pPr>
              <w:rPr>
                <w:rFonts w:cs="Arial"/>
              </w:rPr>
            </w:pPr>
            <w:r>
              <w:rPr>
                <w:rFonts w:cs="Arial"/>
              </w:rPr>
              <w:t>the custody</w:t>
            </w:r>
            <w:r w:rsidRPr="00637905">
              <w:rPr>
                <w:rFonts w:cs="Arial"/>
              </w:rPr>
              <w:t xml:space="preserve"> agreement between the Company, the Investment Manager and the </w:t>
            </w:r>
            <w:r w:rsidR="00A85202">
              <w:rPr>
                <w:rFonts w:cs="Arial"/>
              </w:rPr>
              <w:t>Custodian</w:t>
            </w:r>
            <w:r w:rsidR="000B499E">
              <w:rPr>
                <w:rFonts w:cs="Arial"/>
              </w:rPr>
              <w:t xml:space="preserve"> dated </w:t>
            </w:r>
            <w:r w:rsidR="00903C3A">
              <w:rPr>
                <w:rFonts w:cs="Arial"/>
              </w:rPr>
              <w:t>6</w:t>
            </w:r>
            <w:r w:rsidR="00A85202">
              <w:rPr>
                <w:rFonts w:cs="Arial"/>
              </w:rPr>
              <w:t xml:space="preserve"> </w:t>
            </w:r>
            <w:r w:rsidR="001942D0">
              <w:rPr>
                <w:rFonts w:cs="Arial"/>
              </w:rPr>
              <w:t xml:space="preserve">February </w:t>
            </w:r>
            <w:r w:rsidR="00A85202">
              <w:rPr>
                <w:rFonts w:cs="Arial"/>
              </w:rPr>
              <w:t>2025</w:t>
            </w:r>
            <w:r w:rsidRPr="00637905">
              <w:rPr>
                <w:rFonts w:cs="Arial"/>
              </w:rPr>
              <w:t xml:space="preserve">, a summary of which is set out in paragraph </w:t>
            </w:r>
            <w:r w:rsidR="00CB38A5">
              <w:rPr>
                <w:rFonts w:cs="Arial"/>
              </w:rPr>
              <w:t>6.</w:t>
            </w:r>
            <w:r w:rsidR="0058738D">
              <w:rPr>
                <w:rFonts w:cs="Arial"/>
              </w:rPr>
              <w:t>4</w:t>
            </w:r>
            <w:r w:rsidRPr="00637905">
              <w:rPr>
                <w:rFonts w:cs="Arial"/>
              </w:rPr>
              <w:t xml:space="preserve"> of </w:t>
            </w:r>
            <w:r w:rsidRPr="00637905">
              <w:rPr>
                <w:rFonts w:cs="Arial"/>
              </w:rPr>
              <w:fldChar w:fldCharType="begin" w:fldLock="1"/>
            </w:r>
            <w:r w:rsidRPr="00637905">
              <w:rPr>
                <w:rFonts w:cs="Arial"/>
              </w:rPr>
              <w:instrText xml:space="preserve"> REF _Ref65762141 \n \h </w:instrText>
            </w:r>
            <w:r>
              <w:rPr>
                <w:rFonts w:cs="Arial"/>
              </w:rPr>
              <w:instrText xml:space="preserve"> \* MERGEFORMAT </w:instrText>
            </w:r>
            <w:r w:rsidRPr="00637905">
              <w:rPr>
                <w:rFonts w:cs="Arial"/>
              </w:rPr>
            </w:r>
            <w:r w:rsidRPr="00637905">
              <w:rPr>
                <w:rFonts w:cs="Arial"/>
              </w:rPr>
              <w:fldChar w:fldCharType="separate"/>
            </w:r>
            <w:r w:rsidR="00DA4048">
              <w:rPr>
                <w:rFonts w:cs="Arial"/>
              </w:rPr>
              <w:t>Part 6</w:t>
            </w:r>
            <w:r w:rsidRPr="00637905">
              <w:rPr>
                <w:rFonts w:cs="Arial"/>
              </w:rPr>
              <w:fldChar w:fldCharType="end"/>
            </w:r>
            <w:r w:rsidRPr="00637905">
              <w:rPr>
                <w:rFonts w:cs="Arial"/>
              </w:rPr>
              <w:t xml:space="preserve"> of this document</w:t>
            </w:r>
          </w:p>
        </w:tc>
      </w:tr>
      <w:tr w:rsidRPr="00637905" w:rsidR="00684F03" w:rsidTr="00CC36C3" w14:paraId="2B5C8B54" w14:textId="77777777">
        <w:tc>
          <w:tcPr>
            <w:tcW w:w="3857" w:type="dxa"/>
          </w:tcPr>
          <w:p w:rsidRPr="00637905" w:rsidR="00684F03" w:rsidP="00684F03" w:rsidRDefault="00684F03" w14:paraId="6E950F64" w14:textId="77777777">
            <w:pPr>
              <w:rPr>
                <w:rFonts w:cs="Arial"/>
                <w:b/>
              </w:rPr>
            </w:pPr>
            <w:r w:rsidRPr="00637905">
              <w:rPr>
                <w:rFonts w:cs="Arial"/>
                <w:b/>
              </w:rPr>
              <w:t>Directors</w:t>
            </w:r>
          </w:p>
        </w:tc>
        <w:tc>
          <w:tcPr>
            <w:tcW w:w="5497" w:type="dxa"/>
          </w:tcPr>
          <w:p w:rsidRPr="00637905" w:rsidR="00684F03" w:rsidP="00684F03" w:rsidRDefault="00684F03" w14:paraId="677C6C88" w14:textId="77777777">
            <w:pPr>
              <w:rPr>
                <w:rFonts w:cs="Arial"/>
              </w:rPr>
            </w:pPr>
            <w:r w:rsidRPr="00637905">
              <w:rPr>
                <w:rFonts w:cs="Arial"/>
              </w:rPr>
              <w:t>the directors from time to time of the Company and "</w:t>
            </w:r>
            <w:r w:rsidRPr="00637905">
              <w:rPr>
                <w:rFonts w:cs="Arial"/>
                <w:b/>
              </w:rPr>
              <w:t>Director</w:t>
            </w:r>
            <w:r w:rsidRPr="00637905">
              <w:rPr>
                <w:rFonts w:cs="Arial"/>
              </w:rPr>
              <w:t xml:space="preserve">" is to be construed accordingly </w:t>
            </w:r>
          </w:p>
        </w:tc>
      </w:tr>
      <w:tr w:rsidRPr="00637905" w:rsidR="00684F03" w:rsidTr="00CC36C3" w14:paraId="1CF5BE2D" w14:textId="77777777">
        <w:tc>
          <w:tcPr>
            <w:tcW w:w="3857" w:type="dxa"/>
          </w:tcPr>
          <w:p w:rsidRPr="00637905" w:rsidR="00684F03" w:rsidP="00684F03" w:rsidRDefault="00684F03" w14:paraId="1859DAE7" w14:textId="77777777">
            <w:pPr>
              <w:jc w:val="left"/>
              <w:rPr>
                <w:rFonts w:cs="Arial"/>
                <w:b/>
              </w:rPr>
            </w:pPr>
            <w:r w:rsidRPr="00637905">
              <w:rPr>
                <w:rFonts w:cs="Arial"/>
                <w:b/>
              </w:rPr>
              <w:t>Disclosure Guidance and Transparency Rules</w:t>
            </w:r>
          </w:p>
        </w:tc>
        <w:tc>
          <w:tcPr>
            <w:tcW w:w="5497" w:type="dxa"/>
          </w:tcPr>
          <w:p w:rsidRPr="00637905" w:rsidR="00684F03" w:rsidP="00684F03" w:rsidRDefault="00684F03" w14:paraId="4A2F8B09" w14:textId="4B567589">
            <w:pPr>
              <w:rPr>
                <w:rFonts w:cs="Arial"/>
              </w:rPr>
            </w:pPr>
            <w:r w:rsidRPr="00637905">
              <w:rPr>
                <w:rFonts w:cs="Arial"/>
              </w:rPr>
              <w:t xml:space="preserve">the disclosure guidance published by the Financial Conduct Authority and the transparency rules made by the Financial Conduct Authority under </w:t>
            </w:r>
            <w:bookmarkStart w:name="DocXTextRef170" w:id="316"/>
            <w:r w:rsidRPr="00637905">
              <w:rPr>
                <w:rFonts w:cs="Arial"/>
              </w:rPr>
              <w:fldChar w:fldCharType="begin">
                <w:fldData xml:space="preserve">dgAxAHwAMQAwADAANgAxAHwAcwBlAGMAdABpAG8AbgAgADcAMwBBACAAbwBmACAARgBTAE0AQQB8
AEIARQBTAFQAQgBMAFMARQBDAFQASQBPAE4ANQAxADcANQA1ADEAfAB8AA==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section 73A</w:t>
            </w:r>
            <w:bookmarkEnd w:id="316"/>
            <w:r w:rsidRPr="00637905">
              <w:rPr>
                <w:rFonts w:cs="Arial"/>
              </w:rPr>
              <w:t xml:space="preserve"> of FSMA, as amended from time to time</w:t>
            </w:r>
          </w:p>
        </w:tc>
      </w:tr>
      <w:tr w:rsidRPr="00637905" w:rsidR="00684F03" w:rsidTr="00CC36C3" w14:paraId="6BD850A2" w14:textId="77777777">
        <w:tc>
          <w:tcPr>
            <w:tcW w:w="3857" w:type="dxa"/>
          </w:tcPr>
          <w:p w:rsidRPr="00637905" w:rsidR="00684F03" w:rsidP="00684F03" w:rsidRDefault="00684F03" w14:paraId="7FB8EE1E" w14:textId="0F5358BC">
            <w:pPr>
              <w:jc w:val="left"/>
              <w:rPr>
                <w:rFonts w:cs="Arial"/>
                <w:b/>
              </w:rPr>
            </w:pPr>
            <w:r w:rsidRPr="00637905">
              <w:rPr>
                <w:rFonts w:cs="Arial"/>
                <w:b/>
              </w:rPr>
              <w:t xml:space="preserve">DP Legislation </w:t>
            </w:r>
          </w:p>
        </w:tc>
        <w:tc>
          <w:tcPr>
            <w:tcW w:w="5497" w:type="dxa"/>
          </w:tcPr>
          <w:p w:rsidRPr="00637905" w:rsidR="00684F03" w:rsidP="00684F03" w:rsidRDefault="00684F03" w14:paraId="7493F985" w14:textId="626AA606">
            <w:pPr>
              <w:rPr>
                <w:rFonts w:cs="Arial"/>
              </w:rPr>
            </w:pPr>
            <w:r w:rsidRPr="00637905">
              <w:rPr>
                <w:rFonts w:cs="Arial"/>
              </w:rPr>
              <w:t>the laws which govern the handling of personal data, including but not limited to, the Data Protection (Bailiwick of Guernsey) Law, 2017 and any other legislation in Guernsey concerning data protection, the General Data Protection Regulation (EU) 2016/ 679 and any other applicable laws implementing that regulation or related to data protection</w:t>
            </w:r>
          </w:p>
        </w:tc>
      </w:tr>
      <w:tr w:rsidRPr="00637905" w:rsidR="00684F03" w:rsidTr="00CC36C3" w14:paraId="0A3206CC" w14:textId="77777777">
        <w:tc>
          <w:tcPr>
            <w:tcW w:w="3857" w:type="dxa"/>
          </w:tcPr>
          <w:p w:rsidRPr="00637905" w:rsidR="00684F03" w:rsidP="00684F03" w:rsidRDefault="00684F03" w14:paraId="1A8D7906" w14:textId="7F8487BF">
            <w:pPr>
              <w:jc w:val="left"/>
              <w:rPr>
                <w:rFonts w:cs="Arial"/>
                <w:b/>
              </w:rPr>
            </w:pPr>
            <w:r w:rsidRPr="00637905">
              <w:rPr>
                <w:rFonts w:cs="Arial"/>
                <w:b/>
              </w:rPr>
              <w:t>DvP</w:t>
            </w:r>
          </w:p>
        </w:tc>
        <w:tc>
          <w:tcPr>
            <w:tcW w:w="5497" w:type="dxa"/>
          </w:tcPr>
          <w:p w:rsidRPr="00637905" w:rsidR="00684F03" w:rsidP="00684F03" w:rsidRDefault="00684F03" w14:paraId="4068A941" w14:textId="77777777">
            <w:pPr>
              <w:rPr>
                <w:rFonts w:cs="Arial"/>
              </w:rPr>
            </w:pPr>
            <w:r w:rsidRPr="00637905">
              <w:rPr>
                <w:rFonts w:cs="Arial" w:eastAsiaTheme="minorHAnsi"/>
                <w:lang w:eastAsia="en-US"/>
              </w:rPr>
              <w:t>delivery versus payment</w:t>
            </w:r>
          </w:p>
        </w:tc>
      </w:tr>
      <w:tr w:rsidRPr="00637905" w:rsidR="00684F03" w:rsidTr="00CC36C3" w14:paraId="394684E4" w14:textId="77777777">
        <w:tc>
          <w:tcPr>
            <w:tcW w:w="3857" w:type="dxa"/>
          </w:tcPr>
          <w:p w:rsidRPr="00637905" w:rsidR="00684F03" w:rsidP="00684F03" w:rsidRDefault="00684F03" w14:paraId="4AEA2E52" w14:textId="77777777">
            <w:pPr>
              <w:jc w:val="left"/>
              <w:rPr>
                <w:rFonts w:cs="Arial"/>
                <w:b/>
              </w:rPr>
            </w:pPr>
            <w:r w:rsidRPr="00637905">
              <w:rPr>
                <w:rFonts w:cs="Arial"/>
                <w:b/>
              </w:rPr>
              <w:t>EEA</w:t>
            </w:r>
          </w:p>
        </w:tc>
        <w:tc>
          <w:tcPr>
            <w:tcW w:w="5497" w:type="dxa"/>
          </w:tcPr>
          <w:p w:rsidRPr="00637905" w:rsidR="00684F03" w:rsidP="00684F03" w:rsidRDefault="00684F03" w14:paraId="14FFED7D" w14:textId="77777777">
            <w:pPr>
              <w:rPr>
                <w:rFonts w:cs="Arial"/>
              </w:rPr>
            </w:pPr>
            <w:r w:rsidRPr="00637905">
              <w:rPr>
                <w:rFonts w:cs="Arial"/>
              </w:rPr>
              <w:t>European Economic Area</w:t>
            </w:r>
          </w:p>
        </w:tc>
      </w:tr>
      <w:tr w:rsidRPr="00637905" w:rsidR="00684F03" w:rsidTr="00CC36C3" w14:paraId="2EE3B2ED" w14:textId="77777777">
        <w:tc>
          <w:tcPr>
            <w:tcW w:w="3857" w:type="dxa"/>
          </w:tcPr>
          <w:p w:rsidRPr="00637905" w:rsidR="00684F03" w:rsidP="00684F03" w:rsidRDefault="00684F03" w14:paraId="6164E64F" w14:textId="77777777">
            <w:pPr>
              <w:jc w:val="left"/>
              <w:rPr>
                <w:rFonts w:cs="Arial"/>
                <w:b/>
              </w:rPr>
            </w:pPr>
            <w:r w:rsidRPr="00637905">
              <w:rPr>
                <w:rFonts w:cs="Arial"/>
                <w:b/>
              </w:rPr>
              <w:t>EEA EFTA States</w:t>
            </w:r>
          </w:p>
        </w:tc>
        <w:tc>
          <w:tcPr>
            <w:tcW w:w="5497" w:type="dxa"/>
          </w:tcPr>
          <w:p w:rsidRPr="00637905" w:rsidR="00684F03" w:rsidP="00684F03" w:rsidRDefault="00684F03" w14:paraId="76E4497A" w14:textId="77777777">
            <w:pPr>
              <w:rPr>
                <w:rFonts w:cs="Arial"/>
              </w:rPr>
            </w:pPr>
            <w:r w:rsidRPr="00637905">
              <w:rPr>
                <w:rFonts w:cs="Arial"/>
              </w:rPr>
              <w:t xml:space="preserve">comprising, Iceland, Liechtenstein and Norway </w:t>
            </w:r>
          </w:p>
        </w:tc>
      </w:tr>
      <w:tr w:rsidRPr="00637905" w:rsidR="00684F03" w:rsidTr="00CC36C3" w14:paraId="53CFB762" w14:textId="77777777">
        <w:tc>
          <w:tcPr>
            <w:tcW w:w="3857" w:type="dxa"/>
          </w:tcPr>
          <w:p w:rsidRPr="00637905" w:rsidR="00684F03" w:rsidP="00684F03" w:rsidRDefault="00684F03" w14:paraId="7053ED42" w14:textId="77777777">
            <w:pPr>
              <w:rPr>
                <w:rFonts w:cs="Arial"/>
                <w:b/>
              </w:rPr>
            </w:pPr>
            <w:r w:rsidRPr="00637905">
              <w:rPr>
                <w:rFonts w:cs="Arial"/>
                <w:b/>
              </w:rPr>
              <w:t>ERISA</w:t>
            </w:r>
          </w:p>
        </w:tc>
        <w:tc>
          <w:tcPr>
            <w:tcW w:w="5497" w:type="dxa"/>
          </w:tcPr>
          <w:p w:rsidRPr="00637905" w:rsidR="00684F03" w:rsidP="00684F03" w:rsidRDefault="00684F03" w14:paraId="5EC201E6" w14:textId="4A9EDD62">
            <w:pPr>
              <w:rPr>
                <w:rFonts w:cs="Arial"/>
              </w:rPr>
            </w:pPr>
            <w:r w:rsidRPr="00637905">
              <w:rPr>
                <w:rFonts w:cs="Arial"/>
              </w:rPr>
              <w:fldChar w:fldCharType="begin">
                <w:fldData xml:space="preserve">dgAxAHwAMQAwADAANgAyAHwAVQAuAFMALgAgAEUAbQBwAGwAbwB5AGUAZQAgAFIAZQB0AGkAcgBl
AG0AZQBuAHQAIABJAG4AYwBvAG0AZQAgAFMAZQBjAHUAcgBpAHQAeQAgAEEAYwB0ACAAbwBmACAA
MQA5ADcANAB8AEEAbQBiAGkAZwAtADEAMAAwADYAMgB8AHwA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U.S. Employee Retirement Income Security Act of 1974, as amended</w:t>
            </w:r>
          </w:p>
        </w:tc>
      </w:tr>
      <w:tr w:rsidRPr="00637905" w:rsidR="00684F03" w:rsidTr="00CC36C3" w14:paraId="00314D0C" w14:textId="77777777">
        <w:tc>
          <w:tcPr>
            <w:tcW w:w="3857" w:type="dxa"/>
          </w:tcPr>
          <w:p w:rsidRPr="00637905" w:rsidR="00684F03" w:rsidP="00684F03" w:rsidRDefault="00684F03" w14:paraId="5FA3B576" w14:textId="77777777">
            <w:pPr>
              <w:rPr>
                <w:rFonts w:cs="Arial"/>
                <w:b/>
              </w:rPr>
            </w:pPr>
            <w:r w:rsidRPr="00637905">
              <w:rPr>
                <w:rFonts w:cs="Arial"/>
                <w:b/>
              </w:rPr>
              <w:lastRenderedPageBreak/>
              <w:t>Euroclear</w:t>
            </w:r>
          </w:p>
        </w:tc>
        <w:tc>
          <w:tcPr>
            <w:tcW w:w="5497" w:type="dxa"/>
          </w:tcPr>
          <w:p w:rsidRPr="00637905" w:rsidR="00684F03" w:rsidP="00684F03" w:rsidRDefault="00684F03" w14:paraId="267561AF" w14:textId="355734A7">
            <w:pPr>
              <w:rPr>
                <w:rFonts w:cs="Arial"/>
              </w:rPr>
            </w:pPr>
            <w:r w:rsidRPr="00637905">
              <w:rPr>
                <w:rFonts w:cs="Arial"/>
              </w:rPr>
              <w:t xml:space="preserve">Euroclear UK &amp; </w:t>
            </w:r>
            <w:r w:rsidR="002E3DF1">
              <w:rPr>
                <w:rFonts w:cs="Arial"/>
              </w:rPr>
              <w:t>International</w:t>
            </w:r>
            <w:r w:rsidRPr="00637905" w:rsidR="002E3DF1">
              <w:rPr>
                <w:rFonts w:cs="Arial"/>
              </w:rPr>
              <w:t xml:space="preserve"> </w:t>
            </w:r>
            <w:r w:rsidRPr="00637905">
              <w:rPr>
                <w:rFonts w:cs="Arial"/>
              </w:rPr>
              <w:t>Limited, being the operator of CREST</w:t>
            </w:r>
          </w:p>
        </w:tc>
      </w:tr>
      <w:tr w:rsidRPr="00637905" w:rsidR="00684F03" w:rsidTr="00CC36C3" w14:paraId="08EA92F0" w14:textId="77777777">
        <w:tc>
          <w:tcPr>
            <w:tcW w:w="3857" w:type="dxa"/>
          </w:tcPr>
          <w:p w:rsidRPr="00637905" w:rsidR="00684F03" w:rsidP="00684F03" w:rsidRDefault="00684F03" w14:paraId="7E6569FF" w14:textId="77777777">
            <w:pPr>
              <w:rPr>
                <w:rFonts w:cs="Arial"/>
                <w:b/>
              </w:rPr>
            </w:pPr>
            <w:r w:rsidRPr="00637905">
              <w:rPr>
                <w:rFonts w:cs="Arial"/>
                <w:b/>
              </w:rPr>
              <w:t xml:space="preserve">European Union </w:t>
            </w:r>
            <w:r w:rsidRPr="00637905">
              <w:rPr>
                <w:rFonts w:cs="Arial"/>
              </w:rPr>
              <w:t>or</w:t>
            </w:r>
            <w:r w:rsidRPr="00637905">
              <w:rPr>
                <w:rFonts w:cs="Arial"/>
                <w:b/>
              </w:rPr>
              <w:t xml:space="preserve"> EU</w:t>
            </w:r>
          </w:p>
        </w:tc>
        <w:tc>
          <w:tcPr>
            <w:tcW w:w="5497" w:type="dxa"/>
          </w:tcPr>
          <w:p w:rsidRPr="00637905" w:rsidR="00684F03" w:rsidP="00684F03" w:rsidRDefault="00684F03" w14:paraId="13A05506" w14:textId="77777777">
            <w:pPr>
              <w:rPr>
                <w:rFonts w:cs="Arial"/>
              </w:rPr>
            </w:pPr>
            <w:r w:rsidRPr="00637905">
              <w:rPr>
                <w:rFonts w:cs="Arial"/>
              </w:rPr>
              <w:t>the European Union first established by the treaty made at Maastricht on 7 February 1992</w:t>
            </w:r>
          </w:p>
        </w:tc>
      </w:tr>
      <w:tr w:rsidRPr="00637905" w:rsidR="00012CF2" w:rsidTr="00CC36C3" w14:paraId="06A2ED05" w14:textId="77777777">
        <w:tc>
          <w:tcPr>
            <w:tcW w:w="3857" w:type="dxa"/>
          </w:tcPr>
          <w:p w:rsidRPr="00637905" w:rsidR="00012CF2" w:rsidP="00684F03" w:rsidRDefault="00012CF2" w14:paraId="7661B771" w14:textId="2A692FFD">
            <w:pPr>
              <w:rPr>
                <w:rFonts w:cs="Arial"/>
                <w:b/>
              </w:rPr>
            </w:pPr>
            <w:r>
              <w:rPr>
                <w:rFonts w:cs="Arial"/>
                <w:b/>
              </w:rPr>
              <w:t>Extraordinary Resolution</w:t>
            </w:r>
          </w:p>
        </w:tc>
        <w:tc>
          <w:tcPr>
            <w:tcW w:w="5497" w:type="dxa"/>
          </w:tcPr>
          <w:p w:rsidRPr="00637905" w:rsidR="00012CF2" w:rsidP="00684F03" w:rsidRDefault="00012CF2" w14:paraId="1DC76CBA" w14:textId="0B25D1CE">
            <w:pPr>
              <w:rPr>
                <w:rFonts w:cs="Arial"/>
              </w:rPr>
            </w:pPr>
            <w:r w:rsidRPr="00535199">
              <w:rPr>
                <w:rFonts w:cs="Arial"/>
              </w:rPr>
              <w:t>has the meaning given in the Articles</w:t>
            </w:r>
          </w:p>
        </w:tc>
      </w:tr>
      <w:tr w:rsidRPr="00637905" w:rsidR="00684F03" w:rsidTr="00CC36C3" w14:paraId="57A26294" w14:textId="77777777">
        <w:tc>
          <w:tcPr>
            <w:tcW w:w="3857" w:type="dxa"/>
          </w:tcPr>
          <w:p w:rsidRPr="00637905" w:rsidR="00684F03" w:rsidP="00684F03" w:rsidRDefault="00684F03" w14:paraId="2A13A6CE" w14:textId="77777777">
            <w:pPr>
              <w:rPr>
                <w:rFonts w:cs="Arial"/>
                <w:b/>
              </w:rPr>
            </w:pPr>
            <w:r w:rsidRPr="00637905">
              <w:rPr>
                <w:rFonts w:cs="Arial"/>
                <w:b/>
              </w:rPr>
              <w:t>FATCA</w:t>
            </w:r>
          </w:p>
        </w:tc>
        <w:tc>
          <w:tcPr>
            <w:tcW w:w="5497" w:type="dxa"/>
          </w:tcPr>
          <w:p w:rsidRPr="00637905" w:rsidR="00684F03" w:rsidP="00684F03" w:rsidRDefault="00684F03" w14:paraId="4EF2E75B" w14:textId="198B1B4F">
            <w:pPr>
              <w:rPr>
                <w:rFonts w:cs="Arial"/>
              </w:rPr>
            </w:pPr>
            <w:r w:rsidRPr="00637905">
              <w:rPr>
                <w:rFonts w:cs="Arial"/>
              </w:rPr>
              <w:t xml:space="preserve">the </w:t>
            </w:r>
            <w:r w:rsidRPr="00637905">
              <w:rPr>
                <w:rFonts w:cs="Arial"/>
              </w:rPr>
              <w:fldChar w:fldCharType="begin">
                <w:fldData xml:space="preserve">dgAxAHwAMQAwADAANgAzAHwAVQAuAFMALgAgAEYAbwByAGUAaQBnAG4AIABBAGMAYwBvAHUAbgB0
ACAAVABhAHgAIABDAG8AbQBwAGwAaQBhAG4AYwBlACAAQQBjAHQAIABvAGYAIAAyADAAMQAwAHwA
QQBtAGIAaQBnAC0AMQAwADAANgAzAHwAfAA=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U.S. Foreign Account Tax Compliance Act of 2010, as amended from time to time</w:t>
            </w:r>
          </w:p>
        </w:tc>
      </w:tr>
      <w:tr w:rsidRPr="00637905" w:rsidR="00684F03" w:rsidTr="00CC36C3" w14:paraId="6DECB4B2" w14:textId="77777777">
        <w:tc>
          <w:tcPr>
            <w:tcW w:w="3857" w:type="dxa"/>
          </w:tcPr>
          <w:p w:rsidRPr="00637905" w:rsidR="00684F03" w:rsidP="00684F03" w:rsidRDefault="00684F03" w14:paraId="0BAC9D6A" w14:textId="77777777">
            <w:pPr>
              <w:rPr>
                <w:rFonts w:cs="Arial"/>
                <w:b/>
              </w:rPr>
            </w:pPr>
            <w:r w:rsidRPr="00637905">
              <w:rPr>
                <w:rFonts w:cs="Arial"/>
                <w:b/>
              </w:rPr>
              <w:t>FCA</w:t>
            </w:r>
          </w:p>
        </w:tc>
        <w:tc>
          <w:tcPr>
            <w:tcW w:w="5497" w:type="dxa"/>
          </w:tcPr>
          <w:p w:rsidRPr="00637905" w:rsidR="00684F03" w:rsidP="00684F03" w:rsidRDefault="00684F03" w14:paraId="781F9038" w14:textId="77777777">
            <w:pPr>
              <w:rPr>
                <w:rFonts w:cs="Arial"/>
              </w:rPr>
            </w:pPr>
            <w:r w:rsidRPr="00637905">
              <w:rPr>
                <w:rFonts w:cs="Arial"/>
              </w:rPr>
              <w:t>the Financial Conduct Authority or any successor authority</w:t>
            </w:r>
          </w:p>
        </w:tc>
      </w:tr>
      <w:tr w:rsidRPr="00637905" w:rsidR="00684F03" w:rsidTr="00CC36C3" w14:paraId="3D200C80" w14:textId="77777777">
        <w:tc>
          <w:tcPr>
            <w:tcW w:w="3857" w:type="dxa"/>
          </w:tcPr>
          <w:p w:rsidRPr="00637905" w:rsidR="00684F03" w:rsidP="00684F03" w:rsidRDefault="00684F03" w14:paraId="2CDCF059" w14:textId="77777777">
            <w:pPr>
              <w:rPr>
                <w:rFonts w:cs="Arial"/>
                <w:b/>
              </w:rPr>
            </w:pPr>
            <w:r w:rsidRPr="00637905">
              <w:rPr>
                <w:rFonts w:cs="Arial"/>
                <w:b/>
              </w:rPr>
              <w:t>FCA Handbook</w:t>
            </w:r>
          </w:p>
        </w:tc>
        <w:tc>
          <w:tcPr>
            <w:tcW w:w="5497" w:type="dxa"/>
          </w:tcPr>
          <w:p w:rsidRPr="00637905" w:rsidR="00684F03" w:rsidP="00684F03" w:rsidRDefault="00684F03" w14:paraId="32FD5E86" w14:textId="69D75AA4">
            <w:pPr>
              <w:rPr>
                <w:rFonts w:cs="Arial"/>
              </w:rPr>
            </w:pPr>
            <w:r w:rsidRPr="00637905">
              <w:rPr>
                <w:rFonts w:cs="Arial"/>
              </w:rPr>
              <w:t>the FCA Handbook of rules and guidance as amended from time to time</w:t>
            </w:r>
          </w:p>
        </w:tc>
      </w:tr>
      <w:tr w:rsidRPr="00637905" w:rsidR="00684F03" w:rsidTr="00CC36C3" w14:paraId="5C8F0480" w14:textId="77777777">
        <w:tc>
          <w:tcPr>
            <w:tcW w:w="3857" w:type="dxa"/>
          </w:tcPr>
          <w:p w:rsidRPr="00637905" w:rsidR="00684F03" w:rsidP="00684F03" w:rsidRDefault="00684F03" w14:paraId="118C71D4" w14:textId="1FF80C3E">
            <w:pPr>
              <w:rPr>
                <w:rFonts w:cs="Arial"/>
                <w:b/>
              </w:rPr>
            </w:pPr>
            <w:r w:rsidRPr="00637905">
              <w:rPr>
                <w:rFonts w:cs="Arial"/>
                <w:b/>
              </w:rPr>
              <w:fldChar w:fldCharType="begin">
                <w:fldData xml:space="preserve">dgAxAHwAMQAwADAANgA0AHwARgBTAE0AQQB8AEIARQBTAFQAQgBMAFQASQBUAEwARQA2ADUAMwA3
ADIANQB8AHwA
</w:fldData>
              </w:fldChar>
            </w:r>
            <w:r w:rsidRPr="00637905">
              <w:rPr>
                <w:rFonts w:cs="Arial"/>
                <w:b/>
              </w:rPr>
              <w:instrText xml:space="preserve"> ADDIN CiteCheck Marker </w:instrText>
            </w:r>
            <w:r w:rsidRPr="00637905">
              <w:rPr>
                <w:rFonts w:cs="Arial"/>
                <w:b/>
              </w:rPr>
            </w:r>
            <w:r w:rsidRPr="00637905">
              <w:rPr>
                <w:rFonts w:cs="Arial"/>
                <w:b/>
              </w:rPr>
              <w:fldChar w:fldCharType="end"/>
            </w:r>
            <w:r w:rsidRPr="00637905">
              <w:rPr>
                <w:rFonts w:cs="Arial"/>
                <w:b/>
              </w:rPr>
              <w:t>FSMA</w:t>
            </w:r>
          </w:p>
        </w:tc>
        <w:tc>
          <w:tcPr>
            <w:tcW w:w="5497" w:type="dxa"/>
          </w:tcPr>
          <w:p w:rsidRPr="00637905" w:rsidR="00684F03" w:rsidP="00684F03" w:rsidRDefault="00684F03" w14:paraId="53F797FF" w14:textId="0CF42081">
            <w:pPr>
              <w:rPr>
                <w:rFonts w:cs="Arial"/>
              </w:rPr>
            </w:pPr>
            <w:r w:rsidRPr="00637905">
              <w:rPr>
                <w:rFonts w:cs="Arial"/>
              </w:rPr>
              <w:t xml:space="preserve">the </w:t>
            </w:r>
            <w:r w:rsidRPr="00637905">
              <w:rPr>
                <w:rFonts w:cs="Arial"/>
              </w:rPr>
              <w:fldChar w:fldCharType="begin">
                <w:fldData xml:space="preserve">dgAxAHwAMQAwADAANgA1AHwARgBpAG4AYQBuAGMAaQBhAGwAIABTAGUAcgB2AGkAYwBlAHMAIABh
AG4AZAAgAE0AYQByAGsAZQB0AHMAIABBAGMAdAAgADIAMAAwADAAfABCAEUAUwBUAEIATABUAEkA
VABMAEUANgA1ADMANwAyADUAfAB8AA==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Financial Services and Markets Act 2000 and any statutory modification or re-enactment thereof for the time being in force</w:t>
            </w:r>
          </w:p>
        </w:tc>
      </w:tr>
      <w:tr w:rsidRPr="00637905" w:rsidR="00684F03" w:rsidTr="00CC36C3" w14:paraId="466C1D57" w14:textId="77777777">
        <w:tc>
          <w:tcPr>
            <w:tcW w:w="3857" w:type="dxa"/>
          </w:tcPr>
          <w:p w:rsidRPr="00637905" w:rsidR="00684F03" w:rsidP="00684F03" w:rsidRDefault="00684F03" w14:paraId="0558D417" w14:textId="2BB60E43">
            <w:pPr>
              <w:rPr>
                <w:rFonts w:cs="Arial"/>
                <w:b/>
              </w:rPr>
            </w:pPr>
            <w:r>
              <w:rPr>
                <w:rFonts w:cs="Arial"/>
                <w:b/>
              </w:rPr>
              <w:t>GFSC</w:t>
            </w:r>
          </w:p>
        </w:tc>
        <w:tc>
          <w:tcPr>
            <w:tcW w:w="5497" w:type="dxa"/>
          </w:tcPr>
          <w:p w:rsidRPr="00637905" w:rsidR="00684F03" w:rsidP="00684F03" w:rsidRDefault="00684F03" w14:paraId="3BCD1A06" w14:textId="10025421">
            <w:pPr>
              <w:rPr>
                <w:rFonts w:cs="Arial"/>
              </w:rPr>
            </w:pPr>
            <w:r w:rsidRPr="00637905">
              <w:rPr>
                <w:rFonts w:cs="Arial"/>
              </w:rPr>
              <w:t>the Guernsey Financial Services Commission</w:t>
            </w:r>
          </w:p>
        </w:tc>
      </w:tr>
      <w:tr w:rsidRPr="00637905" w:rsidR="000432FC" w:rsidTr="00CC36C3" w14:paraId="613642A3" w14:textId="77777777">
        <w:tc>
          <w:tcPr>
            <w:tcW w:w="3857" w:type="dxa"/>
          </w:tcPr>
          <w:p w:rsidR="000432FC" w:rsidP="00162592" w:rsidRDefault="000432FC" w14:paraId="5199D820" w14:textId="6F064A37">
            <w:pPr>
              <w:rPr>
                <w:rFonts w:cs="Arial"/>
                <w:b/>
              </w:rPr>
            </w:pPr>
            <w:r>
              <w:rPr>
                <w:rFonts w:cs="Arial"/>
                <w:b/>
              </w:rPr>
              <w:t>Harwood Capital Management Group</w:t>
            </w:r>
          </w:p>
        </w:tc>
        <w:tc>
          <w:tcPr>
            <w:tcW w:w="5497" w:type="dxa"/>
          </w:tcPr>
          <w:p w:rsidR="000432FC" w:rsidP="00162592" w:rsidRDefault="000432FC" w14:paraId="160537B1" w14:textId="7B5606D5">
            <w:pPr>
              <w:rPr>
                <w:rFonts w:cs="Arial"/>
              </w:rPr>
            </w:pPr>
            <w:r>
              <w:rPr>
                <w:rFonts w:cs="Arial"/>
              </w:rPr>
              <w:t>Harwood Capital Management Limited and its subsidiary undertakings, including the Investment Manager</w:t>
            </w:r>
          </w:p>
        </w:tc>
      </w:tr>
      <w:tr w:rsidRPr="00637905" w:rsidR="00162592" w:rsidTr="00CC36C3" w14:paraId="6614F761" w14:textId="77777777">
        <w:tc>
          <w:tcPr>
            <w:tcW w:w="3857" w:type="dxa"/>
          </w:tcPr>
          <w:p w:rsidR="00162592" w:rsidP="00162592" w:rsidRDefault="00162592" w14:paraId="39560D3B" w14:textId="25D2E769">
            <w:pPr>
              <w:rPr>
                <w:rFonts w:cs="Arial"/>
                <w:b/>
              </w:rPr>
            </w:pPr>
            <w:r>
              <w:rPr>
                <w:rFonts w:cs="Arial"/>
                <w:b/>
              </w:rPr>
              <w:t>High Watermark</w:t>
            </w:r>
          </w:p>
        </w:tc>
        <w:tc>
          <w:tcPr>
            <w:tcW w:w="5497" w:type="dxa"/>
          </w:tcPr>
          <w:p w:rsidRPr="00637905" w:rsidR="00162592" w:rsidP="00162592" w:rsidRDefault="00162592" w14:paraId="35465418" w14:textId="4468D3AE">
            <w:pPr>
              <w:rPr>
                <w:rFonts w:cs="Arial"/>
              </w:rPr>
            </w:pPr>
            <w:r>
              <w:rPr>
                <w:rFonts w:cs="Arial"/>
              </w:rPr>
              <w:t xml:space="preserve">has the meaning defined in paragraph </w:t>
            </w:r>
            <w:r w:rsidR="00381DAD">
              <w:rPr>
                <w:rFonts w:cs="Arial"/>
                <w:bCs/>
                <w:iCs/>
              </w:rPr>
              <w:fldChar w:fldCharType="begin" w:fldLock="1"/>
            </w:r>
            <w:r w:rsidR="00381DAD">
              <w:rPr>
                <w:rFonts w:cs="Arial"/>
                <w:bCs/>
                <w:iCs/>
              </w:rPr>
              <w:instrText xml:space="preserve"> REF _Ref65762500 \r \h </w:instrText>
            </w:r>
            <w:r w:rsidR="00381DAD">
              <w:rPr>
                <w:rFonts w:cs="Arial"/>
                <w:bCs/>
                <w:iCs/>
              </w:rPr>
            </w:r>
            <w:r w:rsidR="00381DAD">
              <w:rPr>
                <w:rFonts w:cs="Arial"/>
                <w:bCs/>
                <w:iCs/>
              </w:rPr>
              <w:fldChar w:fldCharType="separate"/>
            </w:r>
            <w:r w:rsidR="00DA4048">
              <w:rPr>
                <w:rFonts w:cs="Arial"/>
                <w:bCs/>
                <w:iCs/>
              </w:rPr>
              <w:t>6.2</w:t>
            </w:r>
            <w:r w:rsidR="00381DAD">
              <w:rPr>
                <w:rFonts w:cs="Arial"/>
                <w:bCs/>
                <w:iCs/>
              </w:rPr>
              <w:fldChar w:fldCharType="end"/>
            </w:r>
            <w:r w:rsidR="00381DAD">
              <w:rPr>
                <w:rFonts w:cs="Arial"/>
                <w:bCs/>
                <w:iCs/>
              </w:rPr>
              <w:t xml:space="preserve"> </w:t>
            </w:r>
            <w:r>
              <w:rPr>
                <w:rFonts w:cs="Arial"/>
              </w:rPr>
              <w:t>of Part 6 of this document;</w:t>
            </w:r>
          </w:p>
        </w:tc>
      </w:tr>
      <w:tr w:rsidRPr="00637905" w:rsidR="00162592" w:rsidTr="00CC36C3" w14:paraId="20949364" w14:textId="77777777">
        <w:tc>
          <w:tcPr>
            <w:tcW w:w="3857" w:type="dxa"/>
          </w:tcPr>
          <w:p w:rsidRPr="00637905" w:rsidR="00162592" w:rsidP="00162592" w:rsidRDefault="00162592" w14:paraId="4BBAA81E" w14:textId="77777777">
            <w:pPr>
              <w:rPr>
                <w:rFonts w:cs="Arial"/>
                <w:b/>
              </w:rPr>
            </w:pPr>
            <w:r w:rsidRPr="00637905">
              <w:rPr>
                <w:rFonts w:cs="Arial"/>
                <w:b/>
              </w:rPr>
              <w:t>HMRC</w:t>
            </w:r>
          </w:p>
        </w:tc>
        <w:tc>
          <w:tcPr>
            <w:tcW w:w="5497" w:type="dxa"/>
          </w:tcPr>
          <w:p w:rsidRPr="00637905" w:rsidR="00162592" w:rsidP="00162592" w:rsidRDefault="00162592" w14:paraId="52D06A8D" w14:textId="4451513E">
            <w:pPr>
              <w:rPr>
                <w:rFonts w:cs="Arial"/>
              </w:rPr>
            </w:pPr>
            <w:r>
              <w:rPr>
                <w:rFonts w:cs="Arial"/>
              </w:rPr>
              <w:t>His</w:t>
            </w:r>
            <w:r w:rsidRPr="00637905">
              <w:rPr>
                <w:rFonts w:cs="Arial"/>
              </w:rPr>
              <w:t xml:space="preserve"> Majesty’s Revenue and Customs</w:t>
            </w:r>
          </w:p>
        </w:tc>
      </w:tr>
      <w:tr w:rsidRPr="00637905" w:rsidR="00162592" w:rsidTr="00CC36C3" w14:paraId="13F87B28" w14:textId="77777777">
        <w:tc>
          <w:tcPr>
            <w:tcW w:w="3857" w:type="dxa"/>
          </w:tcPr>
          <w:p w:rsidRPr="00637905" w:rsidR="00162592" w:rsidP="00162592" w:rsidRDefault="00162592" w14:paraId="5384A35E" w14:textId="77A6C469">
            <w:pPr>
              <w:rPr>
                <w:rFonts w:cs="Arial"/>
                <w:b/>
              </w:rPr>
            </w:pPr>
            <w:r>
              <w:rPr>
                <w:rFonts w:cs="Arial"/>
                <w:b/>
              </w:rPr>
              <w:t>Hurdle NAV per Share</w:t>
            </w:r>
          </w:p>
        </w:tc>
        <w:tc>
          <w:tcPr>
            <w:tcW w:w="5497" w:type="dxa"/>
          </w:tcPr>
          <w:p w:rsidR="00162592" w:rsidP="00162592" w:rsidRDefault="00162592" w14:paraId="227C41E4" w14:textId="48B74E66">
            <w:pPr>
              <w:rPr>
                <w:rFonts w:cs="Arial"/>
              </w:rPr>
            </w:pPr>
            <w:r>
              <w:rPr>
                <w:rFonts w:cs="Arial"/>
              </w:rPr>
              <w:t xml:space="preserve">has the meaning defined in paragraph </w:t>
            </w:r>
            <w:r w:rsidR="00381DAD">
              <w:rPr>
                <w:rFonts w:cs="Arial"/>
                <w:bCs/>
                <w:iCs/>
              </w:rPr>
              <w:fldChar w:fldCharType="begin" w:fldLock="1"/>
            </w:r>
            <w:r w:rsidR="00381DAD">
              <w:rPr>
                <w:rFonts w:cs="Arial"/>
                <w:bCs/>
                <w:iCs/>
              </w:rPr>
              <w:instrText xml:space="preserve"> REF _Ref65762500 \r \h </w:instrText>
            </w:r>
            <w:r w:rsidR="00381DAD">
              <w:rPr>
                <w:rFonts w:cs="Arial"/>
                <w:bCs/>
                <w:iCs/>
              </w:rPr>
            </w:r>
            <w:r w:rsidR="00381DAD">
              <w:rPr>
                <w:rFonts w:cs="Arial"/>
                <w:bCs/>
                <w:iCs/>
              </w:rPr>
              <w:fldChar w:fldCharType="separate"/>
            </w:r>
            <w:r w:rsidR="00DA4048">
              <w:rPr>
                <w:rFonts w:cs="Arial"/>
                <w:bCs/>
                <w:iCs/>
              </w:rPr>
              <w:t>6.2</w:t>
            </w:r>
            <w:r w:rsidR="00381DAD">
              <w:rPr>
                <w:rFonts w:cs="Arial"/>
                <w:bCs/>
                <w:iCs/>
              </w:rPr>
              <w:fldChar w:fldCharType="end"/>
            </w:r>
            <w:r w:rsidR="00381DAD">
              <w:rPr>
                <w:rFonts w:cs="Arial"/>
                <w:bCs/>
                <w:iCs/>
              </w:rPr>
              <w:t xml:space="preserve"> </w:t>
            </w:r>
            <w:r>
              <w:rPr>
                <w:rFonts w:cs="Arial"/>
              </w:rPr>
              <w:t>of Part 6 of this document;</w:t>
            </w:r>
          </w:p>
        </w:tc>
      </w:tr>
      <w:tr w:rsidRPr="00637905" w:rsidR="00162592" w:rsidTr="00CC36C3" w14:paraId="25CD896A" w14:textId="77777777">
        <w:tc>
          <w:tcPr>
            <w:tcW w:w="3857" w:type="dxa"/>
          </w:tcPr>
          <w:p w:rsidRPr="00637905" w:rsidR="00162592" w:rsidP="00162592" w:rsidRDefault="00162592" w14:paraId="7EE739F1" w14:textId="52B64745">
            <w:pPr>
              <w:rPr>
                <w:rFonts w:cs="Arial"/>
                <w:b/>
              </w:rPr>
            </w:pPr>
            <w:r w:rsidRPr="00637905">
              <w:rPr>
                <w:rFonts w:cs="Arial"/>
                <w:b/>
              </w:rPr>
              <w:t>IFRS</w:t>
            </w:r>
          </w:p>
        </w:tc>
        <w:tc>
          <w:tcPr>
            <w:tcW w:w="5497" w:type="dxa"/>
          </w:tcPr>
          <w:p w:rsidRPr="00637905" w:rsidR="00162592" w:rsidP="00162592" w:rsidRDefault="00162592" w14:paraId="07A6D1DC" w14:textId="00FF9B0B">
            <w:pPr>
              <w:rPr>
                <w:rFonts w:cs="Arial"/>
              </w:rPr>
            </w:pPr>
            <w:r>
              <w:rPr>
                <w:rFonts w:cs="Arial"/>
              </w:rPr>
              <w:t>International F</w:t>
            </w:r>
            <w:r w:rsidRPr="00637905">
              <w:rPr>
                <w:rFonts w:cs="Arial"/>
              </w:rPr>
              <w:t xml:space="preserve">inancial </w:t>
            </w:r>
            <w:r>
              <w:rPr>
                <w:rFonts w:cs="Arial"/>
              </w:rPr>
              <w:t>Reporting S</w:t>
            </w:r>
            <w:r w:rsidRPr="00637905">
              <w:rPr>
                <w:rFonts w:cs="Arial"/>
              </w:rPr>
              <w:t>tandards</w:t>
            </w:r>
            <w:r>
              <w:rPr>
                <w:rFonts w:cs="Arial"/>
              </w:rPr>
              <w:t xml:space="preserve"> as adopted by the United Kingdom</w:t>
            </w:r>
          </w:p>
        </w:tc>
      </w:tr>
      <w:tr w:rsidRPr="00637905" w:rsidR="00162592" w:rsidTr="00CC36C3" w14:paraId="4D09B4A3" w14:textId="77777777">
        <w:tc>
          <w:tcPr>
            <w:tcW w:w="3857" w:type="dxa"/>
          </w:tcPr>
          <w:p w:rsidRPr="00637905" w:rsidR="00162592" w:rsidP="00162592" w:rsidRDefault="00162592" w14:paraId="594E5FB6" w14:textId="4AF28C80">
            <w:pPr>
              <w:rPr>
                <w:rFonts w:cs="Arial"/>
                <w:b/>
              </w:rPr>
            </w:pPr>
            <w:r w:rsidRPr="00637905">
              <w:rPr>
                <w:rFonts w:cs="Arial"/>
                <w:b/>
              </w:rPr>
              <w:t>Initial Admission</w:t>
            </w:r>
          </w:p>
        </w:tc>
        <w:tc>
          <w:tcPr>
            <w:tcW w:w="5497" w:type="dxa"/>
          </w:tcPr>
          <w:p w:rsidRPr="00637905" w:rsidR="00162592" w:rsidP="00162592" w:rsidRDefault="00162592" w14:paraId="2EBABDA2" w14:textId="66AB6AE8">
            <w:pPr>
              <w:rPr>
                <w:rFonts w:cs="Arial"/>
              </w:rPr>
            </w:pPr>
            <w:r w:rsidRPr="00637905">
              <w:rPr>
                <w:rFonts w:cs="Arial"/>
              </w:rPr>
              <w:t>admission of</w:t>
            </w:r>
            <w:r>
              <w:rPr>
                <w:rFonts w:cs="Arial"/>
              </w:rPr>
              <w:t xml:space="preserve"> </w:t>
            </w:r>
            <w:r w:rsidRPr="00637905">
              <w:rPr>
                <w:rFonts w:cs="Arial"/>
              </w:rPr>
              <w:t xml:space="preserve">the Ordinary Shares issued </w:t>
            </w:r>
            <w:r>
              <w:rPr>
                <w:rFonts w:cs="Arial"/>
              </w:rPr>
              <w:t xml:space="preserve">and to be issued pursuant to the Initial Placing </w:t>
            </w:r>
            <w:r w:rsidRPr="00637905">
              <w:rPr>
                <w:rFonts w:cs="Arial"/>
              </w:rPr>
              <w:t xml:space="preserve">to trading on the Specialist Fund Segment of the Main Market </w:t>
            </w:r>
          </w:p>
        </w:tc>
      </w:tr>
      <w:tr w:rsidRPr="00637905" w:rsidR="00162592" w:rsidTr="00CC36C3" w14:paraId="0D9DF262" w14:textId="77777777">
        <w:tc>
          <w:tcPr>
            <w:tcW w:w="3857" w:type="dxa"/>
          </w:tcPr>
          <w:p w:rsidRPr="00637905" w:rsidR="00162592" w:rsidP="00162592" w:rsidRDefault="00162592" w14:paraId="42B32237" w14:textId="0D6A3CA7">
            <w:pPr>
              <w:rPr>
                <w:rFonts w:cs="Arial"/>
                <w:b/>
              </w:rPr>
            </w:pPr>
            <w:r>
              <w:rPr>
                <w:rFonts w:cs="Arial"/>
                <w:b/>
              </w:rPr>
              <w:t>Initial Gross Proceeds</w:t>
            </w:r>
          </w:p>
        </w:tc>
        <w:tc>
          <w:tcPr>
            <w:tcW w:w="5497" w:type="dxa"/>
          </w:tcPr>
          <w:p w:rsidRPr="00637905" w:rsidR="00162592" w:rsidP="00162592" w:rsidRDefault="00162592" w14:paraId="6D3461EF" w14:textId="3FA59056">
            <w:pPr>
              <w:rPr>
                <w:rFonts w:cs="Arial"/>
              </w:rPr>
            </w:pPr>
            <w:r>
              <w:rPr>
                <w:rFonts w:cs="Arial"/>
              </w:rPr>
              <w:t>the gross proceeds raised pursuant to the Initial Placing</w:t>
            </w:r>
          </w:p>
        </w:tc>
      </w:tr>
      <w:tr w:rsidRPr="00637905" w:rsidR="00162592" w:rsidTr="00CC36C3" w14:paraId="126D1BF7" w14:textId="77777777">
        <w:tc>
          <w:tcPr>
            <w:tcW w:w="3857" w:type="dxa"/>
          </w:tcPr>
          <w:p w:rsidRPr="00637905" w:rsidR="00162592" w:rsidP="00162592" w:rsidRDefault="00162592" w14:paraId="18A21303" w14:textId="39761A4A">
            <w:pPr>
              <w:rPr>
                <w:rFonts w:cs="Arial"/>
                <w:b/>
              </w:rPr>
            </w:pPr>
            <w:r w:rsidRPr="00637905">
              <w:rPr>
                <w:rFonts w:cs="Arial"/>
                <w:b/>
              </w:rPr>
              <w:t xml:space="preserve">Initial Placing </w:t>
            </w:r>
          </w:p>
        </w:tc>
        <w:tc>
          <w:tcPr>
            <w:tcW w:w="5497" w:type="dxa"/>
          </w:tcPr>
          <w:p w:rsidRPr="00637905" w:rsidR="00162592" w:rsidP="00162592" w:rsidRDefault="00162592" w14:paraId="1CC0258C" w14:textId="691E6CEB">
            <w:pPr>
              <w:rPr>
                <w:rFonts w:cs="Arial"/>
              </w:rPr>
            </w:pPr>
            <w:r w:rsidRPr="00637905">
              <w:rPr>
                <w:rFonts w:cs="Arial"/>
              </w:rPr>
              <w:t>the conditional placi</w:t>
            </w:r>
            <w:r>
              <w:rPr>
                <w:rFonts w:cs="Arial"/>
              </w:rPr>
              <w:t>ng of Ordinary Shares by Singer Capital Markets</w:t>
            </w:r>
            <w:r w:rsidRPr="00637905">
              <w:rPr>
                <w:rFonts w:cs="Arial"/>
              </w:rPr>
              <w:t xml:space="preserve"> at the Issue Price as described in this document</w:t>
            </w:r>
            <w:r w:rsidR="00296CEA">
              <w:rPr>
                <w:rFonts w:cs="Arial"/>
              </w:rPr>
              <w:t xml:space="preserve"> (and which includes the single Ordinary Share issued on the Company's incorporation)</w:t>
            </w:r>
          </w:p>
        </w:tc>
      </w:tr>
      <w:tr w:rsidRPr="00637905" w:rsidR="00162592" w:rsidTr="00CC36C3" w14:paraId="1B0AAA24" w14:textId="77777777">
        <w:tc>
          <w:tcPr>
            <w:tcW w:w="3857" w:type="dxa"/>
          </w:tcPr>
          <w:p w:rsidRPr="00637905" w:rsidR="00162592" w:rsidP="00162592" w:rsidRDefault="00162592" w14:paraId="1DBE2FC6" w14:textId="394CF661">
            <w:pPr>
              <w:rPr>
                <w:rFonts w:cs="Arial"/>
                <w:b/>
              </w:rPr>
            </w:pPr>
            <w:r w:rsidRPr="00637905">
              <w:rPr>
                <w:rFonts w:cs="Arial"/>
                <w:b/>
              </w:rPr>
              <w:t>Investment Management Agreement</w:t>
            </w:r>
          </w:p>
        </w:tc>
        <w:tc>
          <w:tcPr>
            <w:tcW w:w="5497" w:type="dxa"/>
          </w:tcPr>
          <w:p w:rsidRPr="00637905" w:rsidR="00162592" w:rsidP="00162592" w:rsidRDefault="00162592" w14:paraId="243B8930" w14:textId="5348193C">
            <w:pPr>
              <w:rPr>
                <w:rFonts w:cs="Arial"/>
              </w:rPr>
            </w:pPr>
            <w:r w:rsidRPr="00637905">
              <w:rPr>
                <w:rFonts w:cs="Arial"/>
                <w:szCs w:val="22"/>
              </w:rPr>
              <w:t xml:space="preserve">the investment management agreement between the Company and the Investment Manager, a summary of which is set out in paragraph </w:t>
            </w:r>
            <w:r w:rsidRPr="00637905">
              <w:rPr>
                <w:rFonts w:cs="Arial"/>
              </w:rPr>
              <w:fldChar w:fldCharType="begin" w:fldLock="1"/>
            </w:r>
            <w:r w:rsidRPr="00637905">
              <w:rPr>
                <w:rFonts w:cs="Arial"/>
                <w:szCs w:val="22"/>
              </w:rPr>
              <w:instrText xml:space="preserve"> REF _Ref65762500 \n \h </w:instrText>
            </w:r>
            <w:r>
              <w:rPr>
                <w:rFonts w:cs="Arial"/>
              </w:rPr>
              <w:instrText xml:space="preserve"> \* MERGEFORMAT </w:instrText>
            </w:r>
            <w:r w:rsidRPr="00637905">
              <w:rPr>
                <w:rFonts w:cs="Arial"/>
              </w:rPr>
            </w:r>
            <w:r w:rsidRPr="00637905">
              <w:rPr>
                <w:rFonts w:cs="Arial"/>
              </w:rPr>
              <w:fldChar w:fldCharType="separate"/>
            </w:r>
            <w:r w:rsidR="00DA4048">
              <w:rPr>
                <w:rFonts w:cs="Arial"/>
                <w:szCs w:val="22"/>
              </w:rPr>
              <w:t>6.2</w:t>
            </w:r>
            <w:r w:rsidRPr="00637905">
              <w:rPr>
                <w:rFonts w:cs="Arial"/>
              </w:rPr>
              <w:fldChar w:fldCharType="end"/>
            </w:r>
            <w:r w:rsidRPr="00637905">
              <w:rPr>
                <w:rFonts w:cs="Arial"/>
              </w:rPr>
              <w:t xml:space="preserve"> of </w:t>
            </w:r>
            <w:r w:rsidRPr="00637905">
              <w:rPr>
                <w:rFonts w:cs="Arial"/>
              </w:rPr>
              <w:fldChar w:fldCharType="begin" w:fldLock="1"/>
            </w:r>
            <w:r w:rsidRPr="00637905">
              <w:rPr>
                <w:rFonts w:cs="Arial"/>
              </w:rPr>
              <w:instrText xml:space="preserve"> REF _Ref65762141 \n \h </w:instrText>
            </w:r>
            <w:r>
              <w:rPr>
                <w:rFonts w:cs="Arial"/>
              </w:rPr>
              <w:instrText xml:space="preserve"> \* MERGEFORMAT </w:instrText>
            </w:r>
            <w:r w:rsidRPr="00637905">
              <w:rPr>
                <w:rFonts w:cs="Arial"/>
              </w:rPr>
            </w:r>
            <w:r w:rsidRPr="00637905">
              <w:rPr>
                <w:rFonts w:cs="Arial"/>
              </w:rPr>
              <w:fldChar w:fldCharType="separate"/>
            </w:r>
            <w:r w:rsidR="00DA4048">
              <w:rPr>
                <w:rFonts w:cs="Arial"/>
              </w:rPr>
              <w:t>Part 6</w:t>
            </w:r>
            <w:r w:rsidRPr="00637905">
              <w:rPr>
                <w:rFonts w:cs="Arial"/>
              </w:rPr>
              <w:fldChar w:fldCharType="end"/>
            </w:r>
            <w:r w:rsidRPr="00637905">
              <w:rPr>
                <w:rFonts w:cs="Arial"/>
              </w:rPr>
              <w:t xml:space="preserve"> of this document</w:t>
            </w:r>
          </w:p>
        </w:tc>
      </w:tr>
      <w:tr w:rsidRPr="00637905" w:rsidR="00162592" w:rsidTr="00CC36C3" w14:paraId="35ACBDA6" w14:textId="77777777">
        <w:tc>
          <w:tcPr>
            <w:tcW w:w="3857" w:type="dxa"/>
          </w:tcPr>
          <w:p w:rsidRPr="00462471" w:rsidR="00162592" w:rsidP="00162592" w:rsidRDefault="00162592" w14:paraId="4E088773" w14:textId="703D26BC">
            <w:pPr>
              <w:rPr>
                <w:rFonts w:cs="Arial"/>
                <w:b/>
              </w:rPr>
            </w:pPr>
            <w:r w:rsidRPr="00637905">
              <w:rPr>
                <w:rFonts w:cs="Arial"/>
                <w:b/>
              </w:rPr>
              <w:t xml:space="preserve">Investment Manager </w:t>
            </w:r>
          </w:p>
        </w:tc>
        <w:tc>
          <w:tcPr>
            <w:tcW w:w="5497" w:type="dxa"/>
          </w:tcPr>
          <w:p w:rsidRPr="00637905" w:rsidR="00162592" w:rsidP="00162592" w:rsidRDefault="00162592" w14:paraId="38412171" w14:textId="0642052A">
            <w:pPr>
              <w:rPr>
                <w:rFonts w:cs="Arial"/>
              </w:rPr>
            </w:pPr>
            <w:r>
              <w:rPr>
                <w:rFonts w:cs="Arial"/>
              </w:rPr>
              <w:t>Harwood Capital Management (Gibraltar) Limited</w:t>
            </w:r>
          </w:p>
        </w:tc>
      </w:tr>
      <w:tr w:rsidRPr="00637905" w:rsidR="00162592" w:rsidTr="00CC36C3" w14:paraId="3D48C2C0" w14:textId="77777777">
        <w:tc>
          <w:tcPr>
            <w:tcW w:w="3857" w:type="dxa"/>
          </w:tcPr>
          <w:p w:rsidRPr="00637905" w:rsidR="00162592" w:rsidP="00162592" w:rsidRDefault="00162592" w14:paraId="3EF45BBA" w14:textId="77777777">
            <w:pPr>
              <w:rPr>
                <w:rFonts w:cs="Arial"/>
                <w:b/>
              </w:rPr>
            </w:pPr>
            <w:r w:rsidRPr="00637905">
              <w:rPr>
                <w:rFonts w:cs="Arial"/>
                <w:b/>
              </w:rPr>
              <w:t>ISA</w:t>
            </w:r>
          </w:p>
        </w:tc>
        <w:tc>
          <w:tcPr>
            <w:tcW w:w="5497" w:type="dxa"/>
          </w:tcPr>
          <w:p w:rsidRPr="00637905" w:rsidR="00162592" w:rsidP="00162592" w:rsidRDefault="00162592" w14:paraId="3F6FC0EB" w14:textId="21638F84">
            <w:pPr>
              <w:rPr>
                <w:rFonts w:cs="Arial"/>
              </w:rPr>
            </w:pPr>
            <w:r w:rsidRPr="00637905">
              <w:rPr>
                <w:rFonts w:cs="Arial"/>
              </w:rPr>
              <w:t xml:space="preserve">an individual savings account maintained in accordance with the UK </w:t>
            </w:r>
            <w:r w:rsidRPr="00637905">
              <w:rPr>
                <w:rFonts w:cs="Arial"/>
              </w:rPr>
              <w:fldChar w:fldCharType="begin">
                <w:fldData xml:space="preserve">dgAxAHwAMQAwADAANgA2AHwASQBuAGQAaQB2AGkAZAB1AGEAbAAgAFMAYQB2AGkAbgBnAHMAIABB
AGMAYwBvAHUAbgB0ACAAUgBlAGcAdQBsAGEAdABpAG8AbgBzACAAMQA5ADkAOAB8AEIARQBTAFQA
QgBMAFQASQBUAEwARQA4ADgAMgAzADYAfAB8AA==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Individual Savings Account Regulations 1998 (as amended from time to time)</w:t>
            </w:r>
          </w:p>
        </w:tc>
      </w:tr>
      <w:tr w:rsidRPr="00637905" w:rsidR="00162592" w:rsidTr="00CC36C3" w14:paraId="67050A85" w14:textId="77777777">
        <w:tc>
          <w:tcPr>
            <w:tcW w:w="3857" w:type="dxa"/>
          </w:tcPr>
          <w:p w:rsidRPr="00637905" w:rsidR="00162592" w:rsidP="00162592" w:rsidRDefault="00162592" w14:paraId="2B640F40" w14:textId="77777777">
            <w:pPr>
              <w:rPr>
                <w:rFonts w:cs="Arial"/>
                <w:b/>
              </w:rPr>
            </w:pPr>
            <w:r w:rsidRPr="00637905">
              <w:rPr>
                <w:rFonts w:cs="Arial"/>
                <w:b/>
              </w:rPr>
              <w:t>ISIN</w:t>
            </w:r>
          </w:p>
        </w:tc>
        <w:tc>
          <w:tcPr>
            <w:tcW w:w="5497" w:type="dxa"/>
          </w:tcPr>
          <w:p w:rsidRPr="00637905" w:rsidR="00162592" w:rsidP="00162592" w:rsidRDefault="00162592" w14:paraId="38A9D960" w14:textId="3C75076A">
            <w:pPr>
              <w:rPr>
                <w:rFonts w:cs="Arial"/>
              </w:rPr>
            </w:pPr>
            <w:r w:rsidRPr="00637905">
              <w:rPr>
                <w:rFonts w:cs="Arial"/>
              </w:rPr>
              <w:t xml:space="preserve">International Securities Identification Number </w:t>
            </w:r>
          </w:p>
        </w:tc>
      </w:tr>
      <w:tr w:rsidRPr="00637905" w:rsidR="00162592" w:rsidTr="00CC36C3" w14:paraId="405478B6" w14:textId="77777777">
        <w:tc>
          <w:tcPr>
            <w:tcW w:w="3857" w:type="dxa"/>
          </w:tcPr>
          <w:p w:rsidRPr="00637905" w:rsidR="00162592" w:rsidP="00162592" w:rsidRDefault="00162592" w14:paraId="47717791" w14:textId="77777777">
            <w:pPr>
              <w:rPr>
                <w:rFonts w:cs="Arial"/>
                <w:b/>
              </w:rPr>
            </w:pPr>
            <w:r w:rsidRPr="00637905">
              <w:rPr>
                <w:rFonts w:cs="Arial"/>
                <w:b/>
              </w:rPr>
              <w:t>Issue Price</w:t>
            </w:r>
          </w:p>
        </w:tc>
        <w:tc>
          <w:tcPr>
            <w:tcW w:w="5497" w:type="dxa"/>
          </w:tcPr>
          <w:p w:rsidRPr="00637905" w:rsidR="00162592" w:rsidP="00162592" w:rsidRDefault="00162592" w14:paraId="6704DB0D" w14:textId="124DB1B1">
            <w:pPr>
              <w:rPr>
                <w:rFonts w:cs="Arial"/>
              </w:rPr>
            </w:pPr>
            <w:r>
              <w:rPr>
                <w:rFonts w:cs="Arial"/>
              </w:rPr>
              <w:t>100 pence</w:t>
            </w:r>
            <w:r w:rsidRPr="00637905">
              <w:rPr>
                <w:rFonts w:cs="Arial"/>
              </w:rPr>
              <w:t xml:space="preserve"> per Ordinary Share</w:t>
            </w:r>
          </w:p>
        </w:tc>
      </w:tr>
      <w:tr w:rsidRPr="00637905" w:rsidR="00162592" w:rsidTr="00CC36C3" w14:paraId="56CCF564" w14:textId="77777777">
        <w:tc>
          <w:tcPr>
            <w:tcW w:w="3857" w:type="dxa"/>
          </w:tcPr>
          <w:p w:rsidRPr="00637905" w:rsidR="00162592" w:rsidP="00162592" w:rsidRDefault="00162592" w14:paraId="627141CC" w14:textId="77777777">
            <w:pPr>
              <w:rPr>
                <w:rFonts w:cs="Arial"/>
                <w:b/>
              </w:rPr>
            </w:pPr>
            <w:r w:rsidRPr="00637905">
              <w:rPr>
                <w:rFonts w:cs="Arial"/>
                <w:b/>
              </w:rPr>
              <w:lastRenderedPageBreak/>
              <w:t>LEI</w:t>
            </w:r>
          </w:p>
        </w:tc>
        <w:tc>
          <w:tcPr>
            <w:tcW w:w="5497" w:type="dxa"/>
          </w:tcPr>
          <w:p w:rsidRPr="00637905" w:rsidR="00162592" w:rsidP="00162592" w:rsidRDefault="00162592" w14:paraId="2DF623ED" w14:textId="77777777">
            <w:pPr>
              <w:rPr>
                <w:rFonts w:cs="Arial"/>
              </w:rPr>
            </w:pPr>
            <w:r w:rsidRPr="00637905">
              <w:rPr>
                <w:rFonts w:cs="Arial"/>
              </w:rPr>
              <w:t xml:space="preserve">Legal Entity Identifier </w:t>
            </w:r>
          </w:p>
        </w:tc>
      </w:tr>
      <w:tr w:rsidRPr="00637905" w:rsidR="00162592" w:rsidTr="00CC36C3" w14:paraId="668BA996" w14:textId="77777777">
        <w:tc>
          <w:tcPr>
            <w:tcW w:w="3857" w:type="dxa"/>
          </w:tcPr>
          <w:p w:rsidRPr="00637905" w:rsidR="00162592" w:rsidP="00162592" w:rsidRDefault="00162592" w14:paraId="39719478" w14:textId="77777777">
            <w:pPr>
              <w:rPr>
                <w:rFonts w:cs="Arial"/>
                <w:b/>
              </w:rPr>
            </w:pPr>
            <w:r w:rsidRPr="00637905">
              <w:rPr>
                <w:rFonts w:cs="Arial"/>
                <w:b/>
              </w:rPr>
              <w:t>London Stock Exchange</w:t>
            </w:r>
          </w:p>
        </w:tc>
        <w:tc>
          <w:tcPr>
            <w:tcW w:w="5497" w:type="dxa"/>
          </w:tcPr>
          <w:p w:rsidRPr="00637905" w:rsidR="00162592" w:rsidP="00162592" w:rsidRDefault="00162592" w14:paraId="5559868D" w14:textId="77777777">
            <w:pPr>
              <w:rPr>
                <w:rFonts w:cs="Arial"/>
              </w:rPr>
            </w:pPr>
            <w:r w:rsidRPr="00637905">
              <w:rPr>
                <w:rFonts w:cs="Arial"/>
              </w:rPr>
              <w:t>London Stock Exchange plc</w:t>
            </w:r>
          </w:p>
        </w:tc>
      </w:tr>
      <w:tr w:rsidRPr="00637905" w:rsidR="00162592" w:rsidTr="00CC36C3" w14:paraId="4AD69C66" w14:textId="77777777">
        <w:tc>
          <w:tcPr>
            <w:tcW w:w="3857" w:type="dxa"/>
          </w:tcPr>
          <w:p w:rsidRPr="00637905" w:rsidR="00162592" w:rsidP="00162592" w:rsidRDefault="00162592" w14:paraId="5063B813" w14:textId="1D57BF8F">
            <w:pPr>
              <w:rPr>
                <w:rFonts w:cs="Arial"/>
                <w:b/>
              </w:rPr>
            </w:pPr>
            <w:r w:rsidRPr="00637905">
              <w:rPr>
                <w:rFonts w:cs="Arial"/>
                <w:b/>
              </w:rPr>
              <w:t>Main Market</w:t>
            </w:r>
          </w:p>
        </w:tc>
        <w:tc>
          <w:tcPr>
            <w:tcW w:w="5497" w:type="dxa"/>
          </w:tcPr>
          <w:p w:rsidRPr="00637905" w:rsidR="00162592" w:rsidP="00162592" w:rsidRDefault="00162592" w14:paraId="1C99942F" w14:textId="3AE57919">
            <w:pPr>
              <w:rPr>
                <w:rFonts w:cs="Arial"/>
              </w:rPr>
            </w:pPr>
            <w:r w:rsidRPr="00637905">
              <w:rPr>
                <w:rFonts w:cs="Arial"/>
              </w:rPr>
              <w:fldChar w:fldCharType="begin">
                <w:fldData xml:space="preserve">dgAxAHwAMQAwADAANgA4AHwAdABoAGUAIABMAG8AbgBkAG8AbgB8AEEAbQBiAGkAZwAtADEAMAAw
ADYAOAB8AHwA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 xml:space="preserve">the London Stock Exchange's </w:t>
            </w:r>
            <w:r>
              <w:rPr>
                <w:rFonts w:cs="Arial"/>
              </w:rPr>
              <w:t>M</w:t>
            </w:r>
            <w:r w:rsidRPr="00637905">
              <w:rPr>
                <w:rFonts w:cs="Arial"/>
              </w:rPr>
              <w:t xml:space="preserve">ain </w:t>
            </w:r>
            <w:r>
              <w:rPr>
                <w:rFonts w:cs="Arial"/>
              </w:rPr>
              <w:t>M</w:t>
            </w:r>
            <w:r w:rsidRPr="00637905">
              <w:rPr>
                <w:rFonts w:cs="Arial"/>
              </w:rPr>
              <w:t>arket for listed securities</w:t>
            </w:r>
          </w:p>
        </w:tc>
      </w:tr>
      <w:tr w:rsidRPr="00637905" w:rsidR="00162592" w:rsidTr="00CC36C3" w14:paraId="0FCA3BBA" w14:textId="77777777">
        <w:tc>
          <w:tcPr>
            <w:tcW w:w="3857" w:type="dxa"/>
          </w:tcPr>
          <w:p w:rsidRPr="00637905" w:rsidR="00162592" w:rsidP="00162592" w:rsidRDefault="00162592" w14:paraId="054B0663" w14:textId="77777777">
            <w:pPr>
              <w:rPr>
                <w:rFonts w:cs="Arial"/>
                <w:b/>
              </w:rPr>
            </w:pPr>
            <w:r w:rsidRPr="00637905">
              <w:rPr>
                <w:rFonts w:cs="Arial"/>
                <w:b/>
              </w:rPr>
              <w:t xml:space="preserve">Market Abuse Regulation </w:t>
            </w:r>
            <w:r w:rsidRPr="00637905">
              <w:rPr>
                <w:rFonts w:cs="Arial"/>
              </w:rPr>
              <w:t xml:space="preserve">or </w:t>
            </w:r>
            <w:r w:rsidRPr="00637905">
              <w:rPr>
                <w:rFonts w:cs="Arial"/>
                <w:b/>
              </w:rPr>
              <w:t>MAR</w:t>
            </w:r>
          </w:p>
        </w:tc>
        <w:tc>
          <w:tcPr>
            <w:tcW w:w="5497" w:type="dxa"/>
          </w:tcPr>
          <w:p w:rsidRPr="00637905" w:rsidR="00162592" w:rsidP="00162592" w:rsidRDefault="00162592" w14:paraId="2A40B771" w14:textId="4A766443">
            <w:pPr>
              <w:rPr>
                <w:rFonts w:cs="Arial"/>
              </w:rPr>
            </w:pPr>
            <w:r w:rsidRPr="00637905">
              <w:rPr>
                <w:rFonts w:cs="Arial"/>
              </w:rPr>
              <w:t xml:space="preserve">the UK version of Regulation (EU) No 596/2014 of the European Parliament and of the Council of 16 April 2014 on market abuse, which is part of UK law by virtue of the </w:t>
            </w:r>
            <w:r w:rsidRPr="00637905">
              <w:rPr>
                <w:rFonts w:cs="Arial"/>
              </w:rPr>
              <w:fldChar w:fldCharType="begin">
                <w:fldData xml:space="preserve">dgAxAHwAMQAwADAAMQA4AHwARQB1AHIAbwBwAGUAYQBuACAAVQBuAGkAbwBuACAAKABXAGkAdABo
AGQAcgBhAHcAYQBsACkAIABBAGMAdAAgADIAMAAxADgAfABCAEUAUwBUAEIATABUAEkAVABMAEUA
NwA1ADAAOAA1ADUAfAB8AA==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European Union (Withdrawal) Act 2018</w:t>
            </w:r>
          </w:p>
        </w:tc>
      </w:tr>
      <w:tr w:rsidRPr="00637905" w:rsidR="00162592" w:rsidTr="00CC36C3" w14:paraId="679888F3" w14:textId="77777777">
        <w:tc>
          <w:tcPr>
            <w:tcW w:w="3857" w:type="dxa"/>
          </w:tcPr>
          <w:p w:rsidRPr="00637905" w:rsidR="00162592" w:rsidP="00162592" w:rsidRDefault="00162592" w14:paraId="5C620198" w14:textId="77777777">
            <w:pPr>
              <w:rPr>
                <w:rFonts w:cs="Arial"/>
                <w:b/>
              </w:rPr>
            </w:pPr>
            <w:r w:rsidRPr="00637905">
              <w:rPr>
                <w:rFonts w:cs="Arial"/>
                <w:b/>
              </w:rPr>
              <w:t>MiFID II</w:t>
            </w:r>
          </w:p>
        </w:tc>
        <w:tc>
          <w:tcPr>
            <w:tcW w:w="5497" w:type="dxa"/>
          </w:tcPr>
          <w:p w:rsidRPr="00637905" w:rsidR="00162592" w:rsidP="00162592" w:rsidRDefault="00162592" w14:paraId="36E418CF" w14:textId="40AA18A8">
            <w:pPr>
              <w:rPr>
                <w:rFonts w:cs="Arial"/>
              </w:rPr>
            </w:pPr>
            <w:r w:rsidRPr="00637905">
              <w:rPr>
                <w:rFonts w:cs="Arial"/>
              </w:rPr>
              <w:t xml:space="preserve">the UK version of </w:t>
            </w:r>
            <w:r w:rsidRPr="00637905">
              <w:rPr>
                <w:rFonts w:cs="Arial"/>
              </w:rPr>
              <w:fldChar w:fldCharType="begin">
                <w:fldData xml:space="preserve">dgAxAHwAMQA5AHwARABpAHIAZQBjAHQAaQB2AGUAIAAyADAAMQA0AC8ANgA1AHwAfAB8AA==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Directive 2014/65/EU on markets in financial instruments, Regulation (EU) No. 600/2014 on markets in financial instruments, and any secondary legislation, rules, regulations and procedures made pursuant thereto up to 31 December 2019,</w:t>
            </w:r>
            <w:r w:rsidRPr="00637905">
              <w:rPr>
                <w:rFonts w:cs="Arial"/>
                <w:bCs/>
                <w:lang w:val="en-US"/>
              </w:rPr>
              <w:t xml:space="preserve"> which is part of UK law by virtue of the </w:t>
            </w:r>
            <w:r w:rsidRPr="00637905">
              <w:rPr>
                <w:rFonts w:cs="Arial"/>
                <w:bCs/>
                <w:lang w:val="en-US"/>
              </w:rPr>
              <w:fldChar w:fldCharType="begin">
                <w:fldData xml:space="preserve">dgAxAHwAMQAwADAAMQA5AHwARQB1AHIAbwBwAGUAYQBuACAAVQBuAGkAbwBuACAAKABXAGkAdABo
AGQAcgBhAHcAYQBsACkAIABBAGMAdAAgADIAMAAxADgAfABCAEUAUwBUAEIATABUAEkAVABMAEUA
NwA1ADAAOAA1ADUAfAB8AA==
</w:fldData>
              </w:fldChar>
            </w:r>
            <w:r w:rsidRPr="00637905">
              <w:rPr>
                <w:rFonts w:cs="Arial"/>
                <w:bCs/>
                <w:lang w:val="en-US"/>
              </w:rPr>
              <w:instrText xml:space="preserve"> ADDIN CiteCheck Marker </w:instrText>
            </w:r>
            <w:r w:rsidRPr="00637905">
              <w:rPr>
                <w:rFonts w:cs="Arial"/>
                <w:bCs/>
                <w:lang w:val="en-US"/>
              </w:rPr>
            </w:r>
            <w:r w:rsidRPr="00637905">
              <w:rPr>
                <w:rFonts w:cs="Arial"/>
                <w:bCs/>
                <w:lang w:val="en-US"/>
              </w:rPr>
              <w:fldChar w:fldCharType="end"/>
            </w:r>
            <w:r w:rsidRPr="00637905">
              <w:rPr>
                <w:rFonts w:cs="Arial"/>
                <w:bCs/>
                <w:lang w:val="en-US"/>
              </w:rPr>
              <w:t>European Union (Withdrawal) Act 2018, as amended</w:t>
            </w:r>
          </w:p>
        </w:tc>
      </w:tr>
      <w:tr w:rsidRPr="00637905" w:rsidR="00162592" w:rsidTr="00CC36C3" w14:paraId="1B5B18AE" w14:textId="77777777">
        <w:tc>
          <w:tcPr>
            <w:tcW w:w="3857" w:type="dxa"/>
          </w:tcPr>
          <w:p w:rsidRPr="00637905" w:rsidR="00162592" w:rsidP="00162592" w:rsidRDefault="00162592" w14:paraId="61CAC49E" w14:textId="6DA86255">
            <w:pPr>
              <w:rPr>
                <w:rFonts w:cs="Arial"/>
                <w:b/>
              </w:rPr>
            </w:pPr>
            <w:bookmarkStart w:name="_Hlk188880773" w:id="317"/>
            <w:r w:rsidRPr="00637905">
              <w:rPr>
                <w:rFonts w:cs="Arial"/>
                <w:b/>
              </w:rPr>
              <w:t>Minimum Gross</w:t>
            </w:r>
            <w:r>
              <w:rPr>
                <w:rFonts w:cs="Arial"/>
                <w:b/>
              </w:rPr>
              <w:t xml:space="preserve"> </w:t>
            </w:r>
            <w:r w:rsidRPr="00637905">
              <w:rPr>
                <w:rFonts w:cs="Arial"/>
                <w:b/>
              </w:rPr>
              <w:t>Proceeds</w:t>
            </w:r>
          </w:p>
        </w:tc>
        <w:tc>
          <w:tcPr>
            <w:tcW w:w="5497" w:type="dxa"/>
          </w:tcPr>
          <w:p w:rsidRPr="00637905" w:rsidR="00162592" w:rsidP="00162592" w:rsidRDefault="00162592" w14:paraId="3AE5C248" w14:textId="3A807522">
            <w:pPr>
              <w:rPr>
                <w:rFonts w:cs="Arial"/>
              </w:rPr>
            </w:pPr>
            <w:r w:rsidRPr="00637905">
              <w:rPr>
                <w:rFonts w:cs="Arial"/>
              </w:rPr>
              <w:t xml:space="preserve">the minimum gross </w:t>
            </w:r>
            <w:r>
              <w:rPr>
                <w:rFonts w:cs="Arial"/>
              </w:rPr>
              <w:t>cash proceeds of the Initial Placing</w:t>
            </w:r>
            <w:r w:rsidRPr="00637905">
              <w:rPr>
                <w:rFonts w:cs="Arial"/>
              </w:rPr>
              <w:t xml:space="preserve">, being </w:t>
            </w:r>
            <w:r w:rsidRPr="00637905">
              <w:rPr>
                <w:rFonts w:cs="Arial"/>
                <w:szCs w:val="20"/>
              </w:rPr>
              <w:t>£</w:t>
            </w:r>
            <w:r w:rsidR="00893EA6">
              <w:rPr>
                <w:rFonts w:cs="Arial"/>
                <w:szCs w:val="20"/>
              </w:rPr>
              <w:t>5</w:t>
            </w:r>
            <w:r w:rsidR="00893EA6">
              <w:rPr>
                <w:szCs w:val="20"/>
              </w:rPr>
              <w:t>4</w:t>
            </w:r>
            <w:r w:rsidRPr="00637905">
              <w:rPr>
                <w:rFonts w:cs="Arial"/>
              </w:rPr>
              <w:t xml:space="preserve"> million</w:t>
            </w:r>
          </w:p>
        </w:tc>
      </w:tr>
      <w:tr w:rsidRPr="00637905" w:rsidR="00162592" w:rsidTr="00CC36C3" w14:paraId="0784B78A" w14:textId="77777777">
        <w:tc>
          <w:tcPr>
            <w:tcW w:w="3857" w:type="dxa"/>
          </w:tcPr>
          <w:p w:rsidRPr="00637905" w:rsidR="00162592" w:rsidP="00162592" w:rsidRDefault="00162592" w14:paraId="1DD03292" w14:textId="143FA533">
            <w:pPr>
              <w:rPr>
                <w:rFonts w:cs="Arial"/>
                <w:b/>
              </w:rPr>
            </w:pPr>
            <w:bookmarkStart w:name="_Hlk190172627" w:id="318"/>
            <w:r w:rsidRPr="00637905">
              <w:rPr>
                <w:rFonts w:cs="Arial"/>
                <w:b/>
              </w:rPr>
              <w:t>Minimum Net Proceeds</w:t>
            </w:r>
          </w:p>
        </w:tc>
        <w:tc>
          <w:tcPr>
            <w:tcW w:w="5497" w:type="dxa"/>
          </w:tcPr>
          <w:p w:rsidRPr="00637905" w:rsidR="00162592" w:rsidP="00162592" w:rsidRDefault="00162592" w14:paraId="5730D5BE" w14:textId="325B2374">
            <w:pPr>
              <w:rPr>
                <w:rFonts w:cs="Arial"/>
              </w:rPr>
            </w:pPr>
            <w:r w:rsidRPr="00637905">
              <w:rPr>
                <w:rFonts w:cs="Arial"/>
              </w:rPr>
              <w:t>the Minimum Gross Proceeds less the costs a</w:t>
            </w:r>
            <w:r>
              <w:rPr>
                <w:rFonts w:cs="Arial"/>
              </w:rPr>
              <w:t xml:space="preserve">nd expenses of the Initial Placing, being at least </w:t>
            </w:r>
            <w:r w:rsidRPr="00637905">
              <w:rPr>
                <w:rFonts w:cs="Arial"/>
                <w:szCs w:val="20"/>
              </w:rPr>
              <w:t>£</w:t>
            </w:r>
            <w:r w:rsidR="00893EA6">
              <w:rPr>
                <w:rFonts w:cs="Arial"/>
                <w:szCs w:val="20"/>
              </w:rPr>
              <w:t>5</w:t>
            </w:r>
            <w:r w:rsidR="00893EA6">
              <w:rPr>
                <w:szCs w:val="20"/>
              </w:rPr>
              <w:t>3.2</w:t>
            </w:r>
            <w:r w:rsidRPr="00637905">
              <w:rPr>
                <w:rFonts w:cs="Arial"/>
              </w:rPr>
              <w:t xml:space="preserve"> million</w:t>
            </w:r>
          </w:p>
        </w:tc>
      </w:tr>
      <w:bookmarkEnd w:id="317"/>
      <w:bookmarkEnd w:id="318"/>
      <w:tr w:rsidRPr="00637905" w:rsidR="00162592" w:rsidTr="00CC36C3" w14:paraId="06D1DB43" w14:textId="77777777">
        <w:tc>
          <w:tcPr>
            <w:tcW w:w="3857" w:type="dxa"/>
          </w:tcPr>
          <w:p w:rsidRPr="00637905" w:rsidR="00162592" w:rsidP="00162592" w:rsidRDefault="00162592" w14:paraId="6F8DA9AE" w14:textId="77777777">
            <w:pPr>
              <w:rPr>
                <w:rFonts w:cs="Arial"/>
                <w:b/>
              </w:rPr>
            </w:pPr>
            <w:r w:rsidRPr="00637905">
              <w:rPr>
                <w:rFonts w:cs="Arial"/>
                <w:b/>
              </w:rPr>
              <w:t>Money Laundering Directive</w:t>
            </w:r>
          </w:p>
        </w:tc>
        <w:tc>
          <w:tcPr>
            <w:tcW w:w="5497" w:type="dxa"/>
          </w:tcPr>
          <w:p w:rsidRPr="00637905" w:rsidR="00162592" w:rsidP="00162592" w:rsidRDefault="00162592" w14:paraId="28B36FB9" w14:textId="77777777">
            <w:pPr>
              <w:rPr>
                <w:rFonts w:cs="Arial"/>
              </w:rPr>
            </w:pPr>
            <w:r w:rsidRPr="00637905">
              <w:rPr>
                <w:rFonts w:cs="Arial"/>
              </w:rPr>
              <w:t>the Council Directive on prevention of the use of the financial system for the purposes of money laundering or terrorist financing (EU/2015/849) as amended by the Money Laundering Directive (EU) 2018/843 of the European Parliament and of the Council of the Europe Union of 9 July 2018 on the prevention of the use of the financial system for the purpose of money laundering and terrorist financing</w:t>
            </w:r>
          </w:p>
        </w:tc>
      </w:tr>
      <w:tr w:rsidRPr="00637905" w:rsidR="00162592" w:rsidTr="00CC36C3" w14:paraId="44F6FCA3" w14:textId="77777777">
        <w:tc>
          <w:tcPr>
            <w:tcW w:w="3857" w:type="dxa"/>
          </w:tcPr>
          <w:p w:rsidRPr="00637905" w:rsidR="00162592" w:rsidP="00162592" w:rsidRDefault="00162592" w14:paraId="3BD53EA8" w14:textId="77777777">
            <w:pPr>
              <w:rPr>
                <w:rFonts w:cs="Arial"/>
                <w:b/>
              </w:rPr>
            </w:pPr>
            <w:r w:rsidRPr="00637905">
              <w:rPr>
                <w:rFonts w:cs="Arial"/>
                <w:b/>
              </w:rPr>
              <w:t>Money Laundering Regulations</w:t>
            </w:r>
          </w:p>
        </w:tc>
        <w:tc>
          <w:tcPr>
            <w:tcW w:w="5497" w:type="dxa"/>
          </w:tcPr>
          <w:p w:rsidRPr="00637905" w:rsidR="00162592" w:rsidP="00162592" w:rsidRDefault="00162592" w14:paraId="7ED17809" w14:textId="497A3C50">
            <w:pPr>
              <w:rPr>
                <w:rFonts w:cs="Arial"/>
              </w:rPr>
            </w:pPr>
            <w:r w:rsidRPr="00637905">
              <w:rPr>
                <w:rFonts w:cs="Arial"/>
              </w:rPr>
              <w:t xml:space="preserve">the UK </w:t>
            </w:r>
            <w:r w:rsidRPr="00637905">
              <w:rPr>
                <w:rFonts w:cs="Arial"/>
              </w:rPr>
              <w:fldChar w:fldCharType="begin">
                <w:fldData xml:space="preserve">dgAxAHwAMQAwADAANgA5AHwATQBvAG4AZQB5ACAATABhAHUAbgBkAGUAcgBpAG4AZwAsACAAVABl
AHIAcgBvAHIAaQBzAHQAIABGAGkAbgBhAG4AYwBpAG4AZwAgAGEAbgBkACAAVAByAGEAbgBzAGYA
ZQByACAAbwBmACAARgB1AG4AZABzACAAKABJAG4AZgBvAHIAbQBhAHQAaQBvAG4AIABvAG4AIAB0
AGgAZQAgAFAAYQB5AGUAcgApACAAUgBlAGcAdQBsAGEAdABpAG8AbgBzACAAMgAwADEANwB8AEIA
RQBTAFQAQgBMAFQASQBUAEwARQA3ADQAOQAzADkAMQB8AHwA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Money Laundering, Terrorist Financing and Transfer of Funds (Information on the Payer) Regulations 2017, as amended from time to time</w:t>
            </w:r>
          </w:p>
        </w:tc>
      </w:tr>
      <w:tr w:rsidRPr="00637905" w:rsidR="00162592" w:rsidTr="00CC36C3" w14:paraId="39CC292D" w14:textId="77777777">
        <w:tc>
          <w:tcPr>
            <w:tcW w:w="3857" w:type="dxa"/>
          </w:tcPr>
          <w:p w:rsidRPr="00637905" w:rsidR="00162592" w:rsidP="00162592" w:rsidRDefault="00162592" w14:paraId="5246CD5C" w14:textId="46F06A7B">
            <w:pPr>
              <w:rPr>
                <w:rFonts w:cs="Arial"/>
                <w:b/>
              </w:rPr>
            </w:pPr>
            <w:r w:rsidRPr="00637905">
              <w:rPr>
                <w:rFonts w:cs="Arial"/>
                <w:b/>
              </w:rPr>
              <w:t xml:space="preserve">Net Asset Value </w:t>
            </w:r>
            <w:r w:rsidRPr="00BF1B18" w:rsidR="00BF1B18">
              <w:rPr>
                <w:rFonts w:cs="Arial"/>
                <w:bCs/>
              </w:rPr>
              <w:t>or</w:t>
            </w:r>
            <w:r w:rsidR="00BF1B18">
              <w:rPr>
                <w:rFonts w:cs="Arial"/>
                <w:b/>
              </w:rPr>
              <w:t xml:space="preserve"> NAV</w:t>
            </w:r>
          </w:p>
        </w:tc>
        <w:tc>
          <w:tcPr>
            <w:tcW w:w="5497" w:type="dxa"/>
          </w:tcPr>
          <w:p w:rsidRPr="00637905" w:rsidR="00162592" w:rsidP="00162592" w:rsidRDefault="00162592" w14:paraId="01411B97" w14:textId="77777777">
            <w:pPr>
              <w:rPr>
                <w:rFonts w:cs="Arial"/>
              </w:rPr>
            </w:pPr>
            <w:bookmarkStart w:name="_Hlk187312387" w:id="319"/>
            <w:r w:rsidRPr="00637905">
              <w:rPr>
                <w:rFonts w:cs="Arial"/>
              </w:rPr>
              <w:t>the value, as at any date, of the assets of the Company after deduction of all liabilities determined in accordance with the accounting policies adopted by the Company from time-to-time</w:t>
            </w:r>
            <w:bookmarkEnd w:id="319"/>
          </w:p>
        </w:tc>
      </w:tr>
      <w:tr w:rsidRPr="00637905" w:rsidR="00162592" w:rsidTr="00CC36C3" w14:paraId="3B13CF20" w14:textId="77777777">
        <w:tc>
          <w:tcPr>
            <w:tcW w:w="3857" w:type="dxa"/>
          </w:tcPr>
          <w:p w:rsidRPr="00637905" w:rsidR="00162592" w:rsidP="00162592" w:rsidRDefault="00162592" w14:paraId="6C6B4225" w14:textId="10A3D764">
            <w:pPr>
              <w:rPr>
                <w:rFonts w:cs="Arial"/>
                <w:b/>
              </w:rPr>
            </w:pPr>
            <w:r w:rsidRPr="00637905">
              <w:rPr>
                <w:rFonts w:cs="Arial"/>
                <w:b/>
              </w:rPr>
              <w:t xml:space="preserve">Net Asset Value per </w:t>
            </w:r>
            <w:r>
              <w:rPr>
                <w:rFonts w:cs="Arial"/>
                <w:b/>
              </w:rPr>
              <w:t xml:space="preserve">Ordinary </w:t>
            </w:r>
            <w:r w:rsidRPr="00637905">
              <w:rPr>
                <w:rFonts w:cs="Arial"/>
                <w:b/>
              </w:rPr>
              <w:t>Share</w:t>
            </w:r>
          </w:p>
        </w:tc>
        <w:tc>
          <w:tcPr>
            <w:tcW w:w="5497" w:type="dxa"/>
          </w:tcPr>
          <w:p w:rsidRPr="00637905" w:rsidR="00162592" w:rsidP="00162592" w:rsidRDefault="00162592" w14:paraId="69D5686B" w14:textId="1C2F3BDB">
            <w:pPr>
              <w:rPr>
                <w:rFonts w:cs="Arial"/>
              </w:rPr>
            </w:pPr>
            <w:bookmarkStart w:name="_Hlk187312427" w:id="320"/>
            <w:r w:rsidRPr="00637905">
              <w:rPr>
                <w:rFonts w:cs="Arial"/>
              </w:rPr>
              <w:t xml:space="preserve">at any </w:t>
            </w:r>
            <w:r w:rsidRPr="00637905" w:rsidR="004F30BA">
              <w:rPr>
                <w:rFonts w:cs="Arial"/>
              </w:rPr>
              <w:t>time,</w:t>
            </w:r>
            <w:r w:rsidRPr="00637905">
              <w:rPr>
                <w:rFonts w:cs="Arial"/>
              </w:rPr>
              <w:t xml:space="preserve"> the Net Asset Value attributable to the Ordinary Shares divided by the number of Ordinary Shares in issue (other than Ordinary Shares held </w:t>
            </w:r>
            <w:r w:rsidR="00FC383D">
              <w:rPr>
                <w:rFonts w:cs="Arial"/>
              </w:rPr>
              <w:t>as</w:t>
            </w:r>
            <w:r w:rsidRPr="00637905">
              <w:rPr>
                <w:rFonts w:cs="Arial"/>
              </w:rPr>
              <w:t xml:space="preserve"> treasu</w:t>
            </w:r>
            <w:r>
              <w:rPr>
                <w:rFonts w:cs="Arial"/>
              </w:rPr>
              <w:t>ry</w:t>
            </w:r>
            <w:r w:rsidR="00FC383D">
              <w:rPr>
                <w:rFonts w:cs="Arial"/>
              </w:rPr>
              <w:t xml:space="preserve"> shares</w:t>
            </w:r>
            <w:r>
              <w:rPr>
                <w:rFonts w:cs="Arial"/>
              </w:rPr>
              <w:t>) at the date of calculation</w:t>
            </w:r>
            <w:bookmarkEnd w:id="320"/>
          </w:p>
        </w:tc>
      </w:tr>
      <w:tr w:rsidRPr="00637905" w:rsidR="00162592" w:rsidTr="00CC36C3" w14:paraId="59D003B3" w14:textId="77777777">
        <w:tc>
          <w:tcPr>
            <w:tcW w:w="3857" w:type="dxa"/>
          </w:tcPr>
          <w:p w:rsidRPr="00637905" w:rsidR="00162592" w:rsidP="00162592" w:rsidRDefault="00162592" w14:paraId="01FDDAF1" w14:textId="373BBA4D">
            <w:pPr>
              <w:rPr>
                <w:rFonts w:cs="Arial"/>
                <w:b/>
              </w:rPr>
            </w:pPr>
            <w:r w:rsidRPr="00637905">
              <w:rPr>
                <w:rFonts w:cs="Arial"/>
                <w:b/>
              </w:rPr>
              <w:t>Net Proceeds</w:t>
            </w:r>
          </w:p>
        </w:tc>
        <w:tc>
          <w:tcPr>
            <w:tcW w:w="5497" w:type="dxa"/>
          </w:tcPr>
          <w:p w:rsidRPr="00637905" w:rsidR="00162592" w:rsidP="00162592" w:rsidRDefault="00162592" w14:paraId="02C4FAA3" w14:textId="183E165E">
            <w:pPr>
              <w:rPr>
                <w:rFonts w:cs="Arial"/>
              </w:rPr>
            </w:pPr>
            <w:r w:rsidRPr="00637905">
              <w:rPr>
                <w:rFonts w:cs="Arial"/>
              </w:rPr>
              <w:t>t</w:t>
            </w:r>
            <w:r>
              <w:rPr>
                <w:rFonts w:cs="Arial"/>
              </w:rPr>
              <w:t>he Initial Gross Proceeds</w:t>
            </w:r>
            <w:r w:rsidRPr="00637905">
              <w:rPr>
                <w:rFonts w:cs="Arial"/>
              </w:rPr>
              <w:t xml:space="preserve"> after deduction of costs and expenses </w:t>
            </w:r>
          </w:p>
        </w:tc>
      </w:tr>
      <w:tr w:rsidRPr="00637905" w:rsidR="00162592" w:rsidTr="00CC36C3" w14:paraId="57D1122B" w14:textId="77777777">
        <w:tc>
          <w:tcPr>
            <w:tcW w:w="3857" w:type="dxa"/>
          </w:tcPr>
          <w:p w:rsidRPr="00637905" w:rsidR="00162592" w:rsidP="00162592" w:rsidRDefault="00162592" w14:paraId="18E80156" w14:textId="77777777">
            <w:pPr>
              <w:rPr>
                <w:rFonts w:cs="Arial"/>
                <w:b/>
              </w:rPr>
            </w:pPr>
            <w:r w:rsidRPr="00637905">
              <w:rPr>
                <w:rFonts w:cs="Arial"/>
                <w:b/>
              </w:rPr>
              <w:t>Official List</w:t>
            </w:r>
          </w:p>
        </w:tc>
        <w:tc>
          <w:tcPr>
            <w:tcW w:w="5497" w:type="dxa"/>
          </w:tcPr>
          <w:p w:rsidRPr="00637905" w:rsidR="00162592" w:rsidP="00162592" w:rsidRDefault="00162592" w14:paraId="17880268" w14:textId="44814F95">
            <w:pPr>
              <w:rPr>
                <w:rFonts w:cs="Arial"/>
              </w:rPr>
            </w:pPr>
            <w:r w:rsidRPr="00637905">
              <w:rPr>
                <w:rFonts w:cs="Arial"/>
              </w:rPr>
              <w:t xml:space="preserve">the official list maintained by the FCA pursuant to </w:t>
            </w:r>
            <w:bookmarkStart w:name="DocXTextRef174" w:id="321"/>
            <w:r w:rsidRPr="00637905">
              <w:rPr>
                <w:rFonts w:cs="Arial"/>
              </w:rPr>
              <w:fldChar w:fldCharType="begin">
                <w:fldData xml:space="preserve">dgAxAHwAMQAwADAANwAwAHwAUABhAHIAdAAgAFYASQAgAG8AZgAgAEYAUwBNAEEAfABCAEUAUwBQ
AEwAQQBDAEUASABPAEwARABFAFIANgA1ADMANwAyADUAcAB0AFYASQB8AHwA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Part VI</w:t>
            </w:r>
            <w:bookmarkEnd w:id="321"/>
            <w:r w:rsidRPr="00637905">
              <w:rPr>
                <w:rFonts w:cs="Arial"/>
              </w:rPr>
              <w:t xml:space="preserve"> of FSMA</w:t>
            </w:r>
          </w:p>
        </w:tc>
      </w:tr>
      <w:tr w:rsidRPr="00637905" w:rsidR="00162592" w:rsidTr="00CC36C3" w14:paraId="2F86343E" w14:textId="77777777">
        <w:tc>
          <w:tcPr>
            <w:tcW w:w="3857" w:type="dxa"/>
          </w:tcPr>
          <w:p w:rsidRPr="00637905" w:rsidR="00162592" w:rsidP="00162592" w:rsidRDefault="00162592" w14:paraId="0AB2D2EB" w14:textId="77777777">
            <w:pPr>
              <w:rPr>
                <w:rFonts w:cs="Arial"/>
                <w:b/>
              </w:rPr>
            </w:pPr>
            <w:r w:rsidRPr="00637905">
              <w:rPr>
                <w:rFonts w:cs="Arial"/>
                <w:b/>
              </w:rPr>
              <w:t>Ordinary Shares</w:t>
            </w:r>
          </w:p>
        </w:tc>
        <w:tc>
          <w:tcPr>
            <w:tcW w:w="5497" w:type="dxa"/>
          </w:tcPr>
          <w:p w:rsidRPr="00637905" w:rsidR="00162592" w:rsidP="00162592" w:rsidRDefault="00162592" w14:paraId="095225F1" w14:textId="170CA428">
            <w:pPr>
              <w:rPr>
                <w:rFonts w:cs="Arial"/>
              </w:rPr>
            </w:pPr>
            <w:r>
              <w:rPr>
                <w:rFonts w:cs="Arial"/>
              </w:rPr>
              <w:t xml:space="preserve">redeemable </w:t>
            </w:r>
            <w:r w:rsidRPr="00637905">
              <w:rPr>
                <w:rFonts w:cs="Arial"/>
              </w:rPr>
              <w:t>ordinary shares of no par value each in the capital of the Company and "</w:t>
            </w:r>
            <w:r w:rsidRPr="00637905">
              <w:rPr>
                <w:rFonts w:cs="Arial"/>
                <w:b/>
              </w:rPr>
              <w:t>Ordinary Share</w:t>
            </w:r>
            <w:r w:rsidRPr="00637905">
              <w:rPr>
                <w:rFonts w:cs="Arial"/>
              </w:rPr>
              <w:t>" shall be construed accordingly</w:t>
            </w:r>
          </w:p>
        </w:tc>
      </w:tr>
      <w:tr w:rsidRPr="00637905" w:rsidR="00162592" w:rsidTr="00CC36C3" w14:paraId="084D586E" w14:textId="77777777">
        <w:tc>
          <w:tcPr>
            <w:tcW w:w="3857" w:type="dxa"/>
          </w:tcPr>
          <w:p w:rsidRPr="00637905" w:rsidR="00162592" w:rsidP="00162592" w:rsidRDefault="00162592" w14:paraId="4A8EF003" w14:textId="77777777">
            <w:pPr>
              <w:rPr>
                <w:rFonts w:cs="Arial"/>
                <w:b/>
              </w:rPr>
            </w:pPr>
            <w:r w:rsidRPr="00637905">
              <w:rPr>
                <w:rFonts w:cs="Arial"/>
                <w:b/>
              </w:rPr>
              <w:t>Overseas Persons</w:t>
            </w:r>
          </w:p>
        </w:tc>
        <w:tc>
          <w:tcPr>
            <w:tcW w:w="5497" w:type="dxa"/>
          </w:tcPr>
          <w:p w:rsidRPr="00637905" w:rsidR="00162592" w:rsidP="00162592" w:rsidRDefault="00162592" w14:paraId="689A737C" w14:textId="77777777">
            <w:pPr>
              <w:rPr>
                <w:rFonts w:cs="Arial"/>
              </w:rPr>
            </w:pPr>
            <w:r w:rsidRPr="00637905">
              <w:rPr>
                <w:rFonts w:cs="Arial"/>
              </w:rPr>
              <w:t>a potential investor who is not resident in, or who is not a citizen of, the UK</w:t>
            </w:r>
          </w:p>
        </w:tc>
      </w:tr>
      <w:tr w:rsidRPr="00637905" w:rsidR="00162592" w:rsidTr="00CC36C3" w14:paraId="5EA69484" w14:textId="77777777">
        <w:tc>
          <w:tcPr>
            <w:tcW w:w="3857" w:type="dxa"/>
          </w:tcPr>
          <w:p w:rsidRPr="00637905" w:rsidR="00162592" w:rsidP="00162592" w:rsidRDefault="00162592" w14:paraId="6EF8D791" w14:textId="3E1BEB97">
            <w:pPr>
              <w:rPr>
                <w:rFonts w:cs="Arial"/>
                <w:b/>
              </w:rPr>
            </w:pPr>
            <w:r>
              <w:rPr>
                <w:rFonts w:cs="Arial"/>
                <w:b/>
              </w:rPr>
              <w:lastRenderedPageBreak/>
              <w:t xml:space="preserve">Panel </w:t>
            </w:r>
          </w:p>
        </w:tc>
        <w:tc>
          <w:tcPr>
            <w:tcW w:w="5497" w:type="dxa"/>
          </w:tcPr>
          <w:p w:rsidRPr="00637905" w:rsidR="00162592" w:rsidP="00162592" w:rsidRDefault="00162592" w14:paraId="5B72D01B" w14:textId="240573C8">
            <w:pPr>
              <w:rPr>
                <w:rFonts w:cs="Arial"/>
              </w:rPr>
            </w:pPr>
            <w:r>
              <w:rPr>
                <w:rFonts w:cs="Arial"/>
              </w:rPr>
              <w:t>the Panel on Takeovers and Mergers</w:t>
            </w:r>
          </w:p>
        </w:tc>
      </w:tr>
      <w:tr w:rsidRPr="00637905" w:rsidR="00162592" w:rsidTr="00CC36C3" w14:paraId="062BB822" w14:textId="77777777">
        <w:tc>
          <w:tcPr>
            <w:tcW w:w="3857" w:type="dxa"/>
          </w:tcPr>
          <w:p w:rsidR="00162592" w:rsidP="00162592" w:rsidRDefault="00162592" w14:paraId="01BBC37A" w14:textId="5B835DA6">
            <w:pPr>
              <w:rPr>
                <w:rFonts w:cs="Arial"/>
                <w:b/>
              </w:rPr>
            </w:pPr>
            <w:r>
              <w:rPr>
                <w:rFonts w:cs="Arial"/>
                <w:b/>
              </w:rPr>
              <w:t>Performance Fee</w:t>
            </w:r>
          </w:p>
        </w:tc>
        <w:tc>
          <w:tcPr>
            <w:tcW w:w="5497" w:type="dxa"/>
          </w:tcPr>
          <w:p w:rsidR="00162592" w:rsidP="00162592" w:rsidRDefault="00162592" w14:paraId="1B46CCCE" w14:textId="750C1B03">
            <w:pPr>
              <w:rPr>
                <w:rFonts w:cs="Arial"/>
              </w:rPr>
            </w:pPr>
            <w:r>
              <w:rPr>
                <w:rFonts w:cs="Arial"/>
              </w:rPr>
              <w:t xml:space="preserve">the performance fee payable to the Investment Manager under the terms of the Investment Management Agreement as summarised in paragraph </w:t>
            </w:r>
            <w:r w:rsidR="00381DAD">
              <w:rPr>
                <w:rFonts w:cs="Arial"/>
                <w:bCs/>
                <w:iCs/>
              </w:rPr>
              <w:fldChar w:fldCharType="begin" w:fldLock="1"/>
            </w:r>
            <w:r w:rsidR="00381DAD">
              <w:rPr>
                <w:rFonts w:cs="Arial"/>
                <w:bCs/>
                <w:iCs/>
              </w:rPr>
              <w:instrText xml:space="preserve"> REF _Ref65762500 \r \h </w:instrText>
            </w:r>
            <w:r w:rsidR="00381DAD">
              <w:rPr>
                <w:rFonts w:cs="Arial"/>
                <w:bCs/>
                <w:iCs/>
              </w:rPr>
            </w:r>
            <w:r w:rsidR="00381DAD">
              <w:rPr>
                <w:rFonts w:cs="Arial"/>
                <w:bCs/>
                <w:iCs/>
              </w:rPr>
              <w:fldChar w:fldCharType="separate"/>
            </w:r>
            <w:r w:rsidR="00DA4048">
              <w:rPr>
                <w:rFonts w:cs="Arial"/>
                <w:bCs/>
                <w:iCs/>
              </w:rPr>
              <w:t>6.2</w:t>
            </w:r>
            <w:r w:rsidR="00381DAD">
              <w:rPr>
                <w:rFonts w:cs="Arial"/>
                <w:bCs/>
                <w:iCs/>
              </w:rPr>
              <w:fldChar w:fldCharType="end"/>
            </w:r>
            <w:r>
              <w:rPr>
                <w:rFonts w:cs="Arial"/>
              </w:rPr>
              <w:t xml:space="preserve"> of Part 6 of this document</w:t>
            </w:r>
          </w:p>
        </w:tc>
      </w:tr>
      <w:tr w:rsidRPr="00637905" w:rsidR="00162592" w:rsidTr="00CC36C3" w14:paraId="504E0E82" w14:textId="77777777">
        <w:tc>
          <w:tcPr>
            <w:tcW w:w="3857" w:type="dxa"/>
          </w:tcPr>
          <w:p w:rsidRPr="00637905" w:rsidR="00162592" w:rsidP="00162592" w:rsidRDefault="00162592" w14:paraId="1A463B85" w14:textId="77777777">
            <w:pPr>
              <w:rPr>
                <w:rFonts w:cs="Arial"/>
                <w:b/>
              </w:rPr>
            </w:pPr>
            <w:proofErr w:type="spellStart"/>
            <w:r w:rsidRPr="00637905">
              <w:rPr>
                <w:rFonts w:cs="Arial"/>
                <w:b/>
              </w:rPr>
              <w:t>Placee</w:t>
            </w:r>
            <w:proofErr w:type="spellEnd"/>
          </w:p>
        </w:tc>
        <w:tc>
          <w:tcPr>
            <w:tcW w:w="5497" w:type="dxa"/>
          </w:tcPr>
          <w:p w:rsidRPr="00637905" w:rsidR="00162592" w:rsidP="00162592" w:rsidRDefault="00162592" w14:paraId="136622B4" w14:textId="4B1F8572">
            <w:pPr>
              <w:rPr>
                <w:rFonts w:cs="Arial"/>
              </w:rPr>
            </w:pPr>
            <w:r w:rsidRPr="00637905">
              <w:rPr>
                <w:rFonts w:cs="Arial"/>
              </w:rPr>
              <w:t xml:space="preserve">any person who agrees to subscribe for </w:t>
            </w:r>
            <w:r>
              <w:rPr>
                <w:rFonts w:cs="Arial"/>
              </w:rPr>
              <w:t xml:space="preserve">Ordinary </w:t>
            </w:r>
            <w:r w:rsidRPr="00637905">
              <w:rPr>
                <w:rFonts w:cs="Arial"/>
              </w:rPr>
              <w:t xml:space="preserve">Shares pursuant to the Initial Placing and/or any Subsequent Placing </w:t>
            </w:r>
          </w:p>
        </w:tc>
      </w:tr>
      <w:tr w:rsidRPr="00637905" w:rsidR="00162592" w:rsidTr="00CC36C3" w14:paraId="6CA0A3AD" w14:textId="77777777">
        <w:tc>
          <w:tcPr>
            <w:tcW w:w="3857" w:type="dxa"/>
          </w:tcPr>
          <w:p w:rsidRPr="00637905" w:rsidR="00162592" w:rsidP="00162592" w:rsidRDefault="00162592" w14:paraId="53A10B94" w14:textId="7EB48316">
            <w:pPr>
              <w:rPr>
                <w:rFonts w:cs="Arial"/>
                <w:b/>
              </w:rPr>
            </w:pPr>
            <w:r>
              <w:rPr>
                <w:rFonts w:cs="Arial"/>
                <w:b/>
              </w:rPr>
              <w:t>Placing Agreement</w:t>
            </w:r>
          </w:p>
        </w:tc>
        <w:tc>
          <w:tcPr>
            <w:tcW w:w="5497" w:type="dxa"/>
          </w:tcPr>
          <w:p w:rsidRPr="00637905" w:rsidR="00162592" w:rsidP="00162592" w:rsidRDefault="00162592" w14:paraId="644600FC" w14:textId="37CB0707">
            <w:pPr>
              <w:rPr>
                <w:rFonts w:cs="Arial"/>
              </w:rPr>
            </w:pPr>
            <w:r>
              <w:rPr>
                <w:rFonts w:cs="Arial"/>
              </w:rPr>
              <w:t xml:space="preserve">the conditional placing </w:t>
            </w:r>
            <w:r w:rsidRPr="00637905">
              <w:rPr>
                <w:rFonts w:cs="Arial"/>
              </w:rPr>
              <w:t xml:space="preserve">and placing programme agreement </w:t>
            </w:r>
            <w:r>
              <w:rPr>
                <w:rFonts w:cs="Arial"/>
              </w:rPr>
              <w:t xml:space="preserve">dated </w:t>
            </w:r>
            <w:r w:rsidR="00C615BB">
              <w:rPr>
                <w:rFonts w:cs="Arial"/>
              </w:rPr>
              <w:t>20</w:t>
            </w:r>
            <w:r>
              <w:rPr>
                <w:rFonts w:cs="Arial"/>
              </w:rPr>
              <w:t xml:space="preserve"> </w:t>
            </w:r>
            <w:r w:rsidR="001942D0">
              <w:rPr>
                <w:rFonts w:cs="Arial"/>
              </w:rPr>
              <w:t xml:space="preserve">February </w:t>
            </w:r>
            <w:r>
              <w:rPr>
                <w:rFonts w:cs="Arial"/>
              </w:rPr>
              <w:t xml:space="preserve">2025 </w:t>
            </w:r>
            <w:r w:rsidRPr="00637905">
              <w:rPr>
                <w:rFonts w:cs="Arial"/>
              </w:rPr>
              <w:t>between the Company, the Directors, th</w:t>
            </w:r>
            <w:r>
              <w:rPr>
                <w:rFonts w:cs="Arial"/>
              </w:rPr>
              <w:t>e Investment Manager and Singer Capital Markets</w:t>
            </w:r>
            <w:r w:rsidRPr="00637905">
              <w:rPr>
                <w:rFonts w:cs="Arial"/>
              </w:rPr>
              <w:t xml:space="preserve">, a summary of which is set out in paragraph </w:t>
            </w:r>
            <w:r>
              <w:rPr>
                <w:rFonts w:cs="Arial"/>
              </w:rPr>
              <w:t xml:space="preserve">6.1 </w:t>
            </w:r>
            <w:r w:rsidRPr="00637905">
              <w:rPr>
                <w:rFonts w:cs="Arial"/>
              </w:rPr>
              <w:t xml:space="preserve">of </w:t>
            </w:r>
            <w:r w:rsidRPr="00637905">
              <w:rPr>
                <w:rFonts w:cs="Arial"/>
              </w:rPr>
              <w:fldChar w:fldCharType="begin" w:fldLock="1"/>
            </w:r>
            <w:r w:rsidRPr="00637905">
              <w:rPr>
                <w:rFonts w:cs="Arial"/>
              </w:rPr>
              <w:instrText xml:space="preserve"> REF _Ref65762141 \n \h </w:instrText>
            </w:r>
            <w:r>
              <w:rPr>
                <w:rFonts w:cs="Arial"/>
              </w:rPr>
              <w:instrText xml:space="preserve"> \* MERGEFORMAT </w:instrText>
            </w:r>
            <w:r w:rsidRPr="00637905">
              <w:rPr>
                <w:rFonts w:cs="Arial"/>
              </w:rPr>
            </w:r>
            <w:r w:rsidRPr="00637905">
              <w:rPr>
                <w:rFonts w:cs="Arial"/>
              </w:rPr>
              <w:fldChar w:fldCharType="separate"/>
            </w:r>
            <w:r w:rsidR="00DA4048">
              <w:rPr>
                <w:rFonts w:cs="Arial"/>
              </w:rPr>
              <w:t>Part 6</w:t>
            </w:r>
            <w:r w:rsidRPr="00637905">
              <w:rPr>
                <w:rFonts w:cs="Arial"/>
              </w:rPr>
              <w:fldChar w:fldCharType="end"/>
            </w:r>
            <w:r w:rsidRPr="00637905">
              <w:rPr>
                <w:rFonts w:cs="Arial"/>
              </w:rPr>
              <w:t xml:space="preserve"> of this document</w:t>
            </w:r>
          </w:p>
        </w:tc>
      </w:tr>
      <w:tr w:rsidRPr="00637905" w:rsidR="00162592" w:rsidTr="00CC36C3" w14:paraId="21A4A704" w14:textId="77777777">
        <w:tc>
          <w:tcPr>
            <w:tcW w:w="3857" w:type="dxa"/>
          </w:tcPr>
          <w:p w:rsidRPr="00637905" w:rsidR="00162592" w:rsidP="00162592" w:rsidRDefault="00162592" w14:paraId="6B2C63C8" w14:textId="2346CFBB">
            <w:pPr>
              <w:rPr>
                <w:rFonts w:cs="Arial"/>
                <w:b/>
              </w:rPr>
            </w:pPr>
            <w:r w:rsidRPr="00637905">
              <w:rPr>
                <w:rFonts w:cs="Arial"/>
                <w:b/>
              </w:rPr>
              <w:t xml:space="preserve">Placing Programme </w:t>
            </w:r>
          </w:p>
        </w:tc>
        <w:tc>
          <w:tcPr>
            <w:tcW w:w="5497" w:type="dxa"/>
          </w:tcPr>
          <w:p w:rsidRPr="00637905" w:rsidR="00162592" w:rsidP="00162592" w:rsidRDefault="00162592" w14:paraId="20FCE9DE" w14:textId="350647C8">
            <w:pPr>
              <w:rPr>
                <w:rFonts w:cs="Arial"/>
              </w:rPr>
            </w:pPr>
            <w:r w:rsidRPr="00637905">
              <w:rPr>
                <w:rFonts w:cs="Arial"/>
              </w:rPr>
              <w:t xml:space="preserve">the proposed placing programme of </w:t>
            </w:r>
            <w:r>
              <w:rPr>
                <w:rFonts w:cs="Arial"/>
              </w:rPr>
              <w:t xml:space="preserve">Ordinary </w:t>
            </w:r>
            <w:r w:rsidRPr="00637905">
              <w:rPr>
                <w:rFonts w:cs="Arial"/>
              </w:rPr>
              <w:t xml:space="preserve">Shares incorporating any Subsequent Placing as described in this document </w:t>
            </w:r>
          </w:p>
        </w:tc>
      </w:tr>
      <w:tr w:rsidRPr="00637905" w:rsidR="00162592" w:rsidTr="00CC36C3" w14:paraId="1413DECE" w14:textId="77777777">
        <w:tc>
          <w:tcPr>
            <w:tcW w:w="3857" w:type="dxa"/>
          </w:tcPr>
          <w:p w:rsidRPr="00637905" w:rsidR="00162592" w:rsidP="00162592" w:rsidRDefault="00162592" w14:paraId="3DBDB63F" w14:textId="4E0E49FD">
            <w:pPr>
              <w:rPr>
                <w:rFonts w:cs="Arial"/>
                <w:b/>
              </w:rPr>
            </w:pPr>
            <w:r w:rsidRPr="00637905">
              <w:rPr>
                <w:rFonts w:cs="Arial"/>
                <w:b/>
              </w:rPr>
              <w:t xml:space="preserve">Placing Programme Price </w:t>
            </w:r>
          </w:p>
        </w:tc>
        <w:tc>
          <w:tcPr>
            <w:tcW w:w="5497" w:type="dxa"/>
          </w:tcPr>
          <w:p w:rsidRPr="00637905" w:rsidR="00162592" w:rsidP="00162592" w:rsidRDefault="00162592" w14:paraId="32056581" w14:textId="59B158DF">
            <w:pPr>
              <w:rPr>
                <w:rFonts w:cs="Arial"/>
              </w:rPr>
            </w:pPr>
            <w:r w:rsidRPr="00637905">
              <w:rPr>
                <w:rFonts w:cs="Arial"/>
              </w:rPr>
              <w:t xml:space="preserve">the price at which </w:t>
            </w:r>
            <w:r>
              <w:rPr>
                <w:rFonts w:cs="Arial"/>
              </w:rPr>
              <w:t xml:space="preserve">Ordinary </w:t>
            </w:r>
            <w:r w:rsidRPr="00637905">
              <w:rPr>
                <w:rFonts w:cs="Arial"/>
              </w:rPr>
              <w:t xml:space="preserve">Shares will be issued to </w:t>
            </w:r>
            <w:proofErr w:type="spellStart"/>
            <w:r w:rsidRPr="00637905">
              <w:rPr>
                <w:rFonts w:cs="Arial"/>
              </w:rPr>
              <w:t>Placees</w:t>
            </w:r>
            <w:proofErr w:type="spellEnd"/>
            <w:r w:rsidRPr="00637905">
              <w:rPr>
                <w:rFonts w:cs="Arial"/>
              </w:rPr>
              <w:t xml:space="preserve"> pursuant to a Subsequent Placing under the Placing Programme, as set out in </w:t>
            </w:r>
            <w:r w:rsidRPr="00637905">
              <w:rPr>
                <w:rFonts w:cs="Arial"/>
              </w:rPr>
              <w:fldChar w:fldCharType="begin" w:fldLock="1"/>
            </w:r>
            <w:r w:rsidRPr="00637905">
              <w:rPr>
                <w:rFonts w:cs="Arial"/>
              </w:rPr>
              <w:instrText xml:space="preserve"> REF _Ref65764882 \n \h </w:instrText>
            </w:r>
            <w:r>
              <w:rPr>
                <w:rFonts w:cs="Arial"/>
              </w:rPr>
              <w:instrText xml:space="preserve"> \* MERGEFORMAT </w:instrText>
            </w:r>
            <w:r w:rsidRPr="00637905">
              <w:rPr>
                <w:rFonts w:cs="Arial"/>
              </w:rPr>
            </w:r>
            <w:r w:rsidRPr="00637905">
              <w:rPr>
                <w:rFonts w:cs="Arial"/>
              </w:rPr>
              <w:fldChar w:fldCharType="separate"/>
            </w:r>
            <w:r w:rsidR="00DA4048">
              <w:rPr>
                <w:rFonts w:cs="Arial"/>
              </w:rPr>
              <w:t>Part 4</w:t>
            </w:r>
            <w:r w:rsidRPr="00637905">
              <w:rPr>
                <w:rFonts w:cs="Arial"/>
              </w:rPr>
              <w:fldChar w:fldCharType="end"/>
            </w:r>
            <w:r w:rsidRPr="00637905">
              <w:rPr>
                <w:rFonts w:cs="Arial"/>
              </w:rPr>
              <w:t xml:space="preserve"> of this document</w:t>
            </w:r>
          </w:p>
        </w:tc>
      </w:tr>
      <w:tr w:rsidRPr="00637905" w:rsidR="00162592" w:rsidTr="00CC36C3" w14:paraId="5BB2CF8B" w14:textId="77777777">
        <w:tc>
          <w:tcPr>
            <w:tcW w:w="3857" w:type="dxa"/>
          </w:tcPr>
          <w:p w:rsidRPr="00637905" w:rsidR="00162592" w:rsidP="00162592" w:rsidRDefault="00162592" w14:paraId="247C4333" w14:textId="2A6773A2">
            <w:pPr>
              <w:rPr>
                <w:rFonts w:cs="Arial"/>
                <w:b/>
              </w:rPr>
            </w:pPr>
            <w:r w:rsidRPr="00637905">
              <w:rPr>
                <w:rFonts w:cs="Arial"/>
                <w:b/>
              </w:rPr>
              <w:t>POI Law</w:t>
            </w:r>
          </w:p>
        </w:tc>
        <w:tc>
          <w:tcPr>
            <w:tcW w:w="5497" w:type="dxa"/>
          </w:tcPr>
          <w:p w:rsidRPr="00637905" w:rsidR="00162592" w:rsidP="00162592" w:rsidRDefault="00162592" w14:paraId="4E2AD178" w14:textId="37B37191">
            <w:pPr>
              <w:rPr>
                <w:rFonts w:cs="Arial"/>
              </w:rPr>
            </w:pPr>
            <w:r w:rsidRPr="00637905">
              <w:rPr>
                <w:rFonts w:cs="Arial"/>
              </w:rPr>
              <w:t>the Protection of Investors (Bailiwick of</w:t>
            </w:r>
            <w:r>
              <w:rPr>
                <w:rFonts w:cs="Arial"/>
              </w:rPr>
              <w:t xml:space="preserve"> Guernsey) Law, 2020</w:t>
            </w:r>
            <w:r w:rsidRPr="00637905">
              <w:rPr>
                <w:rFonts w:cs="Arial"/>
              </w:rPr>
              <w:t xml:space="preserve"> </w:t>
            </w:r>
          </w:p>
        </w:tc>
      </w:tr>
      <w:tr w:rsidRPr="00637905" w:rsidR="00162592" w:rsidTr="00CC36C3" w14:paraId="48BD67CC" w14:textId="77777777">
        <w:tc>
          <w:tcPr>
            <w:tcW w:w="3857" w:type="dxa"/>
          </w:tcPr>
          <w:p w:rsidRPr="00637905" w:rsidR="00162592" w:rsidP="00162592" w:rsidRDefault="00162592" w14:paraId="121FE6E2" w14:textId="77777777">
            <w:pPr>
              <w:rPr>
                <w:rFonts w:cs="Arial"/>
                <w:b/>
              </w:rPr>
            </w:pPr>
            <w:r w:rsidRPr="00637905">
              <w:rPr>
                <w:rFonts w:cs="Arial"/>
                <w:b/>
              </w:rPr>
              <w:t xml:space="preserve">Prospectus Regulation </w:t>
            </w:r>
          </w:p>
        </w:tc>
        <w:tc>
          <w:tcPr>
            <w:tcW w:w="5497" w:type="dxa"/>
          </w:tcPr>
          <w:p w:rsidRPr="00637905" w:rsidR="00162592" w:rsidP="00162592" w:rsidRDefault="00162592" w14:paraId="6CE92F03" w14:textId="32601C04">
            <w:pPr>
              <w:rPr>
                <w:rFonts w:cs="Arial"/>
              </w:rPr>
            </w:pPr>
            <w:r w:rsidRPr="00637905">
              <w:rPr>
                <w:rFonts w:cs="Arial"/>
              </w:rPr>
              <w:t xml:space="preserve">the UK version of Regulation (EU) No. 2017/1129 of the European Parliament and of the Council of 14 June 2017 on the prospectus to be published when securities are offered to the public or admitted to trading on a regulated market, and repealing </w:t>
            </w:r>
            <w:r w:rsidRPr="00637905">
              <w:rPr>
                <w:rFonts w:cs="Arial"/>
              </w:rPr>
              <w:fldChar w:fldCharType="begin">
                <w:fldData xml:space="preserve">dgAxAHwANQB8AEQAaQByAGUAYwB0AGkAdgBlACAAMgAwADAAMwAvADcAMQAvAEUAQwB8ADMAMgAw
ADAAMwBMADAAMAA3ADEAfAB8AA==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 xml:space="preserve">Directive 2003/71/EC, which is part of UK law by virtue of the </w:t>
            </w:r>
            <w:r w:rsidRPr="00637905">
              <w:rPr>
                <w:rFonts w:cs="Arial"/>
              </w:rPr>
              <w:fldChar w:fldCharType="begin">
                <w:fldData xml:space="preserve">dgAxAHwAMQAwADAAMgAzAHwARQB1AHIAbwBwAGUAYQBuACAAVQBuAGkAbwBuACAAKABXAGkAdABo
AGQAcgBhAHcAYQBsACkAIABBAGMAdAAgADIAMAAxADgAfABCAEUAUwBUAEIATABUAEkAVABMAEUA
NwA1ADAAOAA1ADUAfAB8AA==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 xml:space="preserve">European Union (Withdrawal) Act 2018, as amended by The </w:t>
            </w:r>
            <w:r w:rsidRPr="00637905">
              <w:rPr>
                <w:rFonts w:cs="Arial"/>
              </w:rPr>
              <w:fldChar w:fldCharType="begin">
                <w:fldData xml:space="preserve">dgAxAHwAMQAwADAAMgA0AHwAUAByAG8AcwBwAGUAYwB0AHUAcwAgACgAQQBtAGUAbgBkAG0AZQBu
AHQALAAgAGUAdABjACkAIAAoAEUAVQAgAEUAeABpAHQAKQAgAFIAZQBnAHUAbABhAHQAaQBvAG4A
cwAgADIAMAAxADkAfABBAG0AYgBpAGcALQAxADAAMAAyADQAfAB8AA==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Prospectus (Amendment, etc) (EU Exit) Regulations 2019</w:t>
            </w:r>
          </w:p>
        </w:tc>
      </w:tr>
      <w:tr w:rsidRPr="00637905" w:rsidR="00162592" w:rsidTr="00CC36C3" w14:paraId="4848F08A" w14:textId="77777777">
        <w:tc>
          <w:tcPr>
            <w:tcW w:w="3857" w:type="dxa"/>
          </w:tcPr>
          <w:p w:rsidRPr="00637905" w:rsidR="00162592" w:rsidP="00162592" w:rsidRDefault="00162592" w14:paraId="2543D18E" w14:textId="77777777">
            <w:pPr>
              <w:rPr>
                <w:rFonts w:cs="Arial"/>
                <w:b/>
              </w:rPr>
            </w:pPr>
            <w:r w:rsidRPr="00637905">
              <w:rPr>
                <w:rFonts w:cs="Arial"/>
                <w:b/>
              </w:rPr>
              <w:t>Prospectus Regulation Rules</w:t>
            </w:r>
          </w:p>
        </w:tc>
        <w:tc>
          <w:tcPr>
            <w:tcW w:w="5497" w:type="dxa"/>
          </w:tcPr>
          <w:p w:rsidRPr="00637905" w:rsidR="00162592" w:rsidP="00162592" w:rsidRDefault="00162592" w14:paraId="35CB0343" w14:textId="1C4E1DBD">
            <w:pPr>
              <w:rPr>
                <w:rFonts w:cs="Arial"/>
              </w:rPr>
            </w:pPr>
            <w:r w:rsidRPr="00637905">
              <w:rPr>
                <w:rFonts w:cs="Arial"/>
              </w:rPr>
              <w:t xml:space="preserve">the prospectus regulation rules made by the FCA under </w:t>
            </w:r>
            <w:bookmarkStart w:name="DocXTextRef176" w:id="322"/>
            <w:r w:rsidRPr="00637905">
              <w:rPr>
                <w:rFonts w:cs="Arial"/>
              </w:rPr>
              <w:fldChar w:fldCharType="begin">
                <w:fldData xml:space="preserve">dgAxAHwAMQAwADAANwAyAHwAcwBlAGMAdABpAG8AbgAgADcAMwBBACAAbwBmACAARgBTAE0AQQB8
AEIARQBTAFQAQgBMAFMARQBDAFQASQBPAE4ANQAxADcANQA1ADEAfAB8AA==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section 73A</w:t>
            </w:r>
            <w:bookmarkEnd w:id="322"/>
            <w:r w:rsidRPr="00637905">
              <w:rPr>
                <w:rFonts w:cs="Arial"/>
              </w:rPr>
              <w:t xml:space="preserve"> of FSMA, as amended from time to time</w:t>
            </w:r>
          </w:p>
        </w:tc>
      </w:tr>
      <w:tr w:rsidRPr="00637905" w:rsidR="00162592" w:rsidTr="00CC36C3" w14:paraId="5999AD69" w14:textId="77777777">
        <w:tc>
          <w:tcPr>
            <w:tcW w:w="3857" w:type="dxa"/>
          </w:tcPr>
          <w:p w:rsidRPr="00637905" w:rsidR="00162592" w:rsidP="00162592" w:rsidRDefault="00162592" w14:paraId="503EE7A5" w14:textId="633F0D22">
            <w:pPr>
              <w:rPr>
                <w:rFonts w:cs="Arial"/>
                <w:b/>
              </w:rPr>
            </w:pPr>
            <w:r w:rsidRPr="00637905">
              <w:rPr>
                <w:rFonts w:cs="Arial"/>
                <w:b/>
              </w:rPr>
              <w:t xml:space="preserve">RCIS Rules </w:t>
            </w:r>
          </w:p>
        </w:tc>
        <w:tc>
          <w:tcPr>
            <w:tcW w:w="5497" w:type="dxa"/>
          </w:tcPr>
          <w:p w:rsidRPr="00637905" w:rsidR="00162592" w:rsidP="00162592" w:rsidRDefault="00162592" w14:paraId="18499304" w14:textId="1D76CED6">
            <w:pPr>
              <w:rPr>
                <w:rFonts w:cs="Arial"/>
              </w:rPr>
            </w:pPr>
            <w:r w:rsidRPr="00637905">
              <w:rPr>
                <w:rFonts w:cs="Arial"/>
              </w:rPr>
              <w:t xml:space="preserve">the </w:t>
            </w:r>
            <w:r w:rsidRPr="00637905">
              <w:rPr>
                <w:rFonts w:cs="Arial"/>
              </w:rPr>
              <w:fldChar w:fldCharType="begin">
                <w:fldData xml:space="preserve">dgAxAHwAMQAwADAANwAzAHwAUgBlAGcAaQBzAHQAZQByAGUAZAAgAEMAbwBsAGwAZQBjAHQAaQB2
AGUAIABJAG4AdgBlAHMAdABtAGUAbgB0ACAAUwBjAGgAZQBtAGUAIABSAHUAbABlAHMAIAAyADAA
MQA4AHwAQQBtAGIAaQBnAC0AMQAwADAANwAzAHwAfAA=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Registered Collective Investment Scheme Rules</w:t>
            </w:r>
            <w:r>
              <w:rPr>
                <w:rFonts w:cs="Arial"/>
              </w:rPr>
              <w:t xml:space="preserve"> and Guidance, 2021</w:t>
            </w:r>
          </w:p>
        </w:tc>
      </w:tr>
      <w:tr w:rsidRPr="00637905" w:rsidR="00162592" w:rsidTr="00CC36C3" w14:paraId="11E38DD3" w14:textId="77777777">
        <w:tc>
          <w:tcPr>
            <w:tcW w:w="3857" w:type="dxa"/>
          </w:tcPr>
          <w:p w:rsidR="00162592" w:rsidP="00162592" w:rsidRDefault="00162592" w14:paraId="71E120FF" w14:textId="037CB0F7">
            <w:pPr>
              <w:rPr>
                <w:rFonts w:cs="Arial"/>
                <w:b/>
              </w:rPr>
            </w:pPr>
            <w:r>
              <w:rPr>
                <w:rFonts w:cs="Arial"/>
                <w:b/>
              </w:rPr>
              <w:t>Redemption Mechanism</w:t>
            </w:r>
          </w:p>
        </w:tc>
        <w:tc>
          <w:tcPr>
            <w:tcW w:w="5497" w:type="dxa"/>
          </w:tcPr>
          <w:p w:rsidRPr="004800A4" w:rsidR="00162592" w:rsidP="00162592" w:rsidRDefault="00162592" w14:paraId="64BBC0E2" w14:textId="0AD20B40">
            <w:pPr>
              <w:rPr>
                <w:rFonts w:cs="Arial"/>
              </w:rPr>
            </w:pPr>
            <w:r w:rsidRPr="004800A4">
              <w:rPr>
                <w:rFonts w:cs="Arial"/>
              </w:rPr>
              <w:t xml:space="preserve">the mechanism for the redemption of </w:t>
            </w:r>
            <w:r>
              <w:rPr>
                <w:rFonts w:cs="Arial"/>
              </w:rPr>
              <w:t xml:space="preserve">Ordinary Shares, which will be operated </w:t>
            </w:r>
            <w:r w:rsidRPr="004800A4">
              <w:rPr>
                <w:rFonts w:cs="Arial"/>
              </w:rPr>
              <w:t>by the Directors at their sole disc</w:t>
            </w:r>
            <w:r>
              <w:rPr>
                <w:rFonts w:cs="Arial"/>
              </w:rPr>
              <w:t>retion, as further described in Part 1 of this document</w:t>
            </w:r>
          </w:p>
        </w:tc>
      </w:tr>
      <w:tr w:rsidRPr="00637905" w:rsidR="00162592" w:rsidTr="00CC36C3" w14:paraId="27DF7028" w14:textId="77777777">
        <w:tc>
          <w:tcPr>
            <w:tcW w:w="3857" w:type="dxa"/>
          </w:tcPr>
          <w:p w:rsidR="00162592" w:rsidP="00162592" w:rsidRDefault="00162592" w14:paraId="5E51026D" w14:textId="37A211BC">
            <w:pPr>
              <w:rPr>
                <w:rFonts w:cs="Arial"/>
                <w:b/>
              </w:rPr>
            </w:pPr>
            <w:r>
              <w:rPr>
                <w:rFonts w:cs="Arial"/>
                <w:b/>
              </w:rPr>
              <w:t>Redemption Point</w:t>
            </w:r>
          </w:p>
        </w:tc>
        <w:tc>
          <w:tcPr>
            <w:tcW w:w="5497" w:type="dxa"/>
          </w:tcPr>
          <w:p w:rsidRPr="004800A4" w:rsidR="00162592" w:rsidP="00162592" w:rsidRDefault="00162592" w14:paraId="64D704C9" w14:textId="41E29B30">
            <w:pPr>
              <w:rPr>
                <w:rFonts w:cs="Arial"/>
              </w:rPr>
            </w:pPr>
            <w:r>
              <w:rPr>
                <w:rFonts w:eastAsia="Arial" w:cstheme="minorHAnsi"/>
                <w:color w:val="000000"/>
              </w:rPr>
              <w:t>6</w:t>
            </w:r>
            <w:r w:rsidRPr="009C7510">
              <w:rPr>
                <w:rFonts w:eastAsia="Arial" w:cstheme="minorHAnsi"/>
                <w:color w:val="000000"/>
              </w:rPr>
              <w:t xml:space="preserve">.00 p.m. on </w:t>
            </w:r>
            <w:r>
              <w:rPr>
                <w:rFonts w:eastAsia="Arial" w:cstheme="minorHAnsi"/>
                <w:color w:val="000000"/>
              </w:rPr>
              <w:t>a</w:t>
            </w:r>
            <w:r w:rsidRPr="009C7510">
              <w:rPr>
                <w:rFonts w:eastAsia="Arial" w:cstheme="minorHAnsi"/>
                <w:color w:val="000000"/>
              </w:rPr>
              <w:t xml:space="preserve"> Business Day </w:t>
            </w:r>
            <w:r>
              <w:rPr>
                <w:rFonts w:eastAsia="Arial" w:cstheme="minorHAnsi"/>
                <w:color w:val="000000"/>
              </w:rPr>
              <w:t>specified by the Directors</w:t>
            </w:r>
            <w:r w:rsidR="005468FD">
              <w:rPr>
                <w:rFonts w:eastAsia="Arial" w:cstheme="minorHAnsi"/>
                <w:color w:val="000000"/>
              </w:rPr>
              <w:t>,</w:t>
            </w:r>
            <w:r>
              <w:rPr>
                <w:rFonts w:eastAsia="Arial" w:cstheme="minorHAnsi"/>
                <w:color w:val="000000"/>
              </w:rPr>
              <w:t xml:space="preserve"> and announced </w:t>
            </w:r>
            <w:r w:rsidR="005468FD">
              <w:rPr>
                <w:rFonts w:eastAsia="Arial" w:cstheme="minorHAnsi"/>
                <w:color w:val="000000"/>
              </w:rPr>
              <w:t>via</w:t>
            </w:r>
            <w:r>
              <w:rPr>
                <w:rFonts w:eastAsia="Arial" w:cstheme="minorHAnsi"/>
                <w:color w:val="000000"/>
              </w:rPr>
              <w:t xml:space="preserve"> RIS</w:t>
            </w:r>
            <w:r w:rsidR="005468FD">
              <w:rPr>
                <w:rFonts w:eastAsia="Arial" w:cstheme="minorHAnsi"/>
                <w:color w:val="000000"/>
              </w:rPr>
              <w:t>, on</w:t>
            </w:r>
            <w:r>
              <w:rPr>
                <w:rFonts w:eastAsia="Arial" w:cstheme="minorHAnsi"/>
                <w:color w:val="000000"/>
              </w:rPr>
              <w:t xml:space="preserve"> </w:t>
            </w:r>
            <w:r w:rsidRPr="009C7510">
              <w:rPr>
                <w:rFonts w:eastAsia="Arial" w:cstheme="minorHAnsi"/>
                <w:color w:val="000000"/>
              </w:rPr>
              <w:t>which date holders of Ordinary Shares which have submitted valid Redemption Requests to have their Ordinary Shares redeemed will be considered for redemption at the discretion of the Board</w:t>
            </w:r>
          </w:p>
        </w:tc>
      </w:tr>
      <w:tr w:rsidRPr="00637905" w:rsidR="00162592" w:rsidTr="00CC36C3" w14:paraId="6EC4FC6D" w14:textId="77777777">
        <w:tc>
          <w:tcPr>
            <w:tcW w:w="3857" w:type="dxa"/>
          </w:tcPr>
          <w:p w:rsidR="00162592" w:rsidP="00162592" w:rsidRDefault="00162592" w14:paraId="74CBB199" w14:textId="524D5E33">
            <w:pPr>
              <w:rPr>
                <w:rFonts w:cs="Arial"/>
                <w:b/>
              </w:rPr>
            </w:pPr>
            <w:r w:rsidRPr="00967954">
              <w:rPr>
                <w:rFonts w:cs="Arial"/>
                <w:b/>
              </w:rPr>
              <w:t>Redemption Price</w:t>
            </w:r>
          </w:p>
        </w:tc>
        <w:tc>
          <w:tcPr>
            <w:tcW w:w="5497" w:type="dxa"/>
          </w:tcPr>
          <w:p w:rsidR="00162592" w:rsidP="00162592" w:rsidRDefault="00162592" w14:paraId="45692BE0" w14:textId="1D324BF4">
            <w:pPr>
              <w:rPr>
                <w:rFonts w:eastAsia="Arial" w:cstheme="minorHAnsi"/>
                <w:color w:val="000000"/>
              </w:rPr>
            </w:pPr>
            <w:r w:rsidRPr="00BC2BAD">
              <w:t xml:space="preserve">the price </w:t>
            </w:r>
            <w:r>
              <w:t>at</w:t>
            </w:r>
            <w:r w:rsidRPr="00BC2BAD">
              <w:t xml:space="preserve"> which Ordinary Shares are redeemed on a Redemption Point as described in Part </w:t>
            </w:r>
            <w:r w:rsidR="0058738D">
              <w:t>1</w:t>
            </w:r>
            <w:r w:rsidRPr="00BC2BAD">
              <w:t xml:space="preserve"> of this document</w:t>
            </w:r>
          </w:p>
        </w:tc>
      </w:tr>
      <w:tr w:rsidRPr="00637905" w:rsidR="00162592" w:rsidTr="00CC36C3" w14:paraId="73FD6E75" w14:textId="77777777">
        <w:tc>
          <w:tcPr>
            <w:tcW w:w="3857" w:type="dxa"/>
          </w:tcPr>
          <w:p w:rsidRPr="00967954" w:rsidR="00162592" w:rsidP="00162592" w:rsidRDefault="00162592" w14:paraId="49F6A45D" w14:textId="24BFD79F">
            <w:pPr>
              <w:rPr>
                <w:rFonts w:cs="Arial"/>
                <w:b/>
              </w:rPr>
            </w:pPr>
            <w:r w:rsidRPr="00967954">
              <w:rPr>
                <w:rFonts w:cs="Arial"/>
                <w:b/>
              </w:rPr>
              <w:t>Redemption Request</w:t>
            </w:r>
          </w:p>
        </w:tc>
        <w:tc>
          <w:tcPr>
            <w:tcW w:w="5497" w:type="dxa"/>
          </w:tcPr>
          <w:p w:rsidRPr="00BC2BAD" w:rsidR="00162592" w:rsidP="00162592" w:rsidRDefault="00162592" w14:paraId="160C614C" w14:textId="6EBFA528">
            <w:r w:rsidRPr="00BC2BAD">
              <w:t>a notice to the Company to redeem Ordinary Shares in the form from time to time prescribed by the Company</w:t>
            </w:r>
          </w:p>
        </w:tc>
      </w:tr>
      <w:tr w:rsidRPr="00637905" w:rsidR="00162592" w:rsidTr="00CC36C3" w14:paraId="5672DEA1" w14:textId="77777777">
        <w:tc>
          <w:tcPr>
            <w:tcW w:w="3857" w:type="dxa"/>
          </w:tcPr>
          <w:p w:rsidRPr="00637905" w:rsidR="00162592" w:rsidP="00162592" w:rsidRDefault="00162592" w14:paraId="1FBE0F1A" w14:textId="77777777">
            <w:pPr>
              <w:rPr>
                <w:rFonts w:cs="Arial"/>
                <w:b/>
              </w:rPr>
            </w:pPr>
            <w:r w:rsidRPr="00637905">
              <w:rPr>
                <w:rFonts w:cs="Arial"/>
                <w:b/>
              </w:rPr>
              <w:t>Register</w:t>
            </w:r>
          </w:p>
        </w:tc>
        <w:tc>
          <w:tcPr>
            <w:tcW w:w="5497" w:type="dxa"/>
          </w:tcPr>
          <w:p w:rsidRPr="00637905" w:rsidR="00162592" w:rsidP="00162592" w:rsidRDefault="00162592" w14:paraId="59561510" w14:textId="5AD0E662">
            <w:pPr>
              <w:rPr>
                <w:rFonts w:cs="Arial"/>
              </w:rPr>
            </w:pPr>
            <w:r w:rsidRPr="00637905">
              <w:rPr>
                <w:rFonts w:cs="Arial"/>
              </w:rPr>
              <w:t xml:space="preserve">the register of Shareholders of the Company </w:t>
            </w:r>
          </w:p>
        </w:tc>
      </w:tr>
      <w:tr w:rsidRPr="00637905" w:rsidR="00162592" w:rsidTr="00CC36C3" w14:paraId="6A86A163" w14:textId="77777777">
        <w:tc>
          <w:tcPr>
            <w:tcW w:w="3857" w:type="dxa"/>
          </w:tcPr>
          <w:p w:rsidRPr="00637905" w:rsidR="00162592" w:rsidP="00162592" w:rsidRDefault="00162592" w14:paraId="0FD39BD6" w14:textId="77777777">
            <w:pPr>
              <w:rPr>
                <w:rFonts w:cs="Arial"/>
                <w:b/>
              </w:rPr>
            </w:pPr>
            <w:r w:rsidRPr="00637905">
              <w:rPr>
                <w:rFonts w:cs="Arial"/>
                <w:b/>
              </w:rPr>
              <w:t>Registrar</w:t>
            </w:r>
          </w:p>
        </w:tc>
        <w:tc>
          <w:tcPr>
            <w:tcW w:w="5497" w:type="dxa"/>
          </w:tcPr>
          <w:p w:rsidRPr="00170D56" w:rsidR="00162592" w:rsidP="00F32BF2" w:rsidRDefault="006B1EEB" w14:paraId="440E0FF2" w14:textId="4251E065">
            <w:pPr>
              <w:spacing w:after="0"/>
              <w:rPr>
                <w:rFonts w:cs="Arial"/>
                <w:szCs w:val="20"/>
              </w:rPr>
            </w:pPr>
            <w:r>
              <w:rPr>
                <w:rFonts w:cs="Arial"/>
                <w:szCs w:val="20"/>
              </w:rPr>
              <w:t>MUFG Corporate Markets</w:t>
            </w:r>
            <w:r w:rsidRPr="0080231E" w:rsidR="00162592">
              <w:rPr>
                <w:rFonts w:cs="Arial"/>
                <w:szCs w:val="20"/>
              </w:rPr>
              <w:t xml:space="preserve"> (Guernsey) Limited</w:t>
            </w:r>
          </w:p>
        </w:tc>
      </w:tr>
      <w:tr w:rsidRPr="00637905" w:rsidR="00162592" w:rsidTr="00CC36C3" w14:paraId="43256462" w14:textId="77777777">
        <w:tc>
          <w:tcPr>
            <w:tcW w:w="3857" w:type="dxa"/>
          </w:tcPr>
          <w:p w:rsidRPr="00637905" w:rsidR="00162592" w:rsidP="00162592" w:rsidRDefault="00162592" w14:paraId="49EA3113" w14:textId="77777777">
            <w:pPr>
              <w:rPr>
                <w:rFonts w:cs="Arial"/>
                <w:b/>
              </w:rPr>
            </w:pPr>
            <w:r w:rsidRPr="00637905">
              <w:rPr>
                <w:rFonts w:cs="Arial"/>
                <w:b/>
              </w:rPr>
              <w:lastRenderedPageBreak/>
              <w:t>Registrar Agreement</w:t>
            </w:r>
          </w:p>
        </w:tc>
        <w:tc>
          <w:tcPr>
            <w:tcW w:w="5497" w:type="dxa"/>
          </w:tcPr>
          <w:p w:rsidRPr="00637905" w:rsidR="00162592" w:rsidP="00162592" w:rsidRDefault="00162592" w14:paraId="38698523" w14:textId="6587A3F7">
            <w:pPr>
              <w:rPr>
                <w:rFonts w:cs="Arial"/>
              </w:rPr>
            </w:pPr>
            <w:r w:rsidRPr="00637905">
              <w:rPr>
                <w:rFonts w:cs="Arial"/>
              </w:rPr>
              <w:t>the registrar agreement between the Company and the Registrar</w:t>
            </w:r>
            <w:r>
              <w:rPr>
                <w:rFonts w:cs="Arial"/>
              </w:rPr>
              <w:t xml:space="preserve"> dated </w:t>
            </w:r>
            <w:r w:rsidR="00C615BB">
              <w:rPr>
                <w:rFonts w:cs="Arial"/>
              </w:rPr>
              <w:t>20</w:t>
            </w:r>
            <w:r>
              <w:rPr>
                <w:rFonts w:cs="Arial"/>
              </w:rPr>
              <w:t xml:space="preserve"> </w:t>
            </w:r>
            <w:r w:rsidR="001942D0">
              <w:rPr>
                <w:rFonts w:cs="Arial"/>
              </w:rPr>
              <w:t xml:space="preserve">February </w:t>
            </w:r>
            <w:r>
              <w:rPr>
                <w:rFonts w:cs="Arial"/>
              </w:rPr>
              <w:t>2025</w:t>
            </w:r>
            <w:r w:rsidRPr="00637905">
              <w:rPr>
                <w:rFonts w:cs="Arial"/>
              </w:rPr>
              <w:t xml:space="preserve">, a summary of which is set out in paragraph </w:t>
            </w:r>
            <w:r>
              <w:rPr>
                <w:rFonts w:cs="Arial"/>
              </w:rPr>
              <w:t>6.</w:t>
            </w:r>
            <w:r w:rsidR="0058738D">
              <w:rPr>
                <w:rFonts w:cs="Arial"/>
              </w:rPr>
              <w:t>5</w:t>
            </w:r>
            <w:r w:rsidRPr="00637905">
              <w:rPr>
                <w:rFonts w:cs="Arial"/>
              </w:rPr>
              <w:t xml:space="preserve"> of </w:t>
            </w:r>
            <w:r w:rsidRPr="00637905">
              <w:rPr>
                <w:rFonts w:cs="Arial"/>
              </w:rPr>
              <w:fldChar w:fldCharType="begin" w:fldLock="1"/>
            </w:r>
            <w:r w:rsidRPr="00637905">
              <w:rPr>
                <w:rFonts w:cs="Arial"/>
              </w:rPr>
              <w:instrText xml:space="preserve"> REF _Ref65762141 \n \h </w:instrText>
            </w:r>
            <w:r>
              <w:rPr>
                <w:rFonts w:cs="Arial"/>
              </w:rPr>
              <w:instrText xml:space="preserve"> \* MERGEFORMAT </w:instrText>
            </w:r>
            <w:r w:rsidRPr="00637905">
              <w:rPr>
                <w:rFonts w:cs="Arial"/>
              </w:rPr>
            </w:r>
            <w:r w:rsidRPr="00637905">
              <w:rPr>
                <w:rFonts w:cs="Arial"/>
              </w:rPr>
              <w:fldChar w:fldCharType="separate"/>
            </w:r>
            <w:r w:rsidR="00DA4048">
              <w:rPr>
                <w:rFonts w:cs="Arial"/>
              </w:rPr>
              <w:t>Part 6</w:t>
            </w:r>
            <w:r w:rsidRPr="00637905">
              <w:rPr>
                <w:rFonts w:cs="Arial"/>
              </w:rPr>
              <w:fldChar w:fldCharType="end"/>
            </w:r>
            <w:r w:rsidRPr="00637905">
              <w:rPr>
                <w:rFonts w:cs="Arial"/>
              </w:rPr>
              <w:t xml:space="preserve"> of this document</w:t>
            </w:r>
          </w:p>
        </w:tc>
      </w:tr>
      <w:tr w:rsidRPr="00637905" w:rsidR="00162592" w:rsidTr="00CC36C3" w14:paraId="24D79D62" w14:textId="77777777">
        <w:tc>
          <w:tcPr>
            <w:tcW w:w="3857" w:type="dxa"/>
          </w:tcPr>
          <w:p w:rsidRPr="00637905" w:rsidR="00162592" w:rsidP="00162592" w:rsidRDefault="00162592" w14:paraId="0C88E72F" w14:textId="77777777">
            <w:pPr>
              <w:rPr>
                <w:rFonts w:cs="Arial"/>
                <w:b/>
              </w:rPr>
            </w:pPr>
            <w:r w:rsidRPr="00637905">
              <w:rPr>
                <w:rFonts w:cs="Arial"/>
                <w:b/>
              </w:rPr>
              <w:t>Regulation S</w:t>
            </w:r>
          </w:p>
        </w:tc>
        <w:tc>
          <w:tcPr>
            <w:tcW w:w="5497" w:type="dxa"/>
          </w:tcPr>
          <w:p w:rsidRPr="00637905" w:rsidR="00162592" w:rsidP="00162592" w:rsidRDefault="00162592" w14:paraId="7B19B8E8" w14:textId="77777777">
            <w:pPr>
              <w:rPr>
                <w:rFonts w:cs="Arial"/>
              </w:rPr>
            </w:pPr>
            <w:r w:rsidRPr="00637905">
              <w:rPr>
                <w:rFonts w:cs="Arial"/>
              </w:rPr>
              <w:t>Regulation S promulgated under the U.S. Securities Act, as amended from time to time</w:t>
            </w:r>
          </w:p>
        </w:tc>
      </w:tr>
      <w:tr w:rsidRPr="00637905" w:rsidR="00162592" w:rsidTr="00CC36C3" w14:paraId="60B2567E" w14:textId="77777777">
        <w:tc>
          <w:tcPr>
            <w:tcW w:w="3857" w:type="dxa"/>
          </w:tcPr>
          <w:p w:rsidRPr="00637905" w:rsidR="00162592" w:rsidP="00162592" w:rsidRDefault="00162592" w14:paraId="7EBD913D" w14:textId="77777777">
            <w:pPr>
              <w:rPr>
                <w:rFonts w:cs="Arial"/>
                <w:b/>
              </w:rPr>
            </w:pPr>
            <w:r w:rsidRPr="00637905">
              <w:rPr>
                <w:rFonts w:cs="Arial"/>
                <w:b/>
              </w:rPr>
              <w:t>Regulatory Information Service</w:t>
            </w:r>
          </w:p>
        </w:tc>
        <w:tc>
          <w:tcPr>
            <w:tcW w:w="5497" w:type="dxa"/>
          </w:tcPr>
          <w:p w:rsidRPr="00637905" w:rsidR="00162592" w:rsidP="00162592" w:rsidRDefault="00162592" w14:paraId="4979CCCB" w14:textId="1725D3E2">
            <w:pPr>
              <w:rPr>
                <w:rFonts w:cs="Arial"/>
              </w:rPr>
            </w:pPr>
            <w:r w:rsidRPr="00637905">
              <w:rPr>
                <w:rFonts w:cs="Arial"/>
              </w:rPr>
              <w:t xml:space="preserve">a service authorised by the FCA to release regulatory announcements to </w:t>
            </w:r>
            <w:r w:rsidRPr="00637905">
              <w:rPr>
                <w:rFonts w:cs="Arial"/>
              </w:rPr>
              <w:fldChar w:fldCharType="begin">
                <w:fldData xml:space="preserve">dgAxAHwAMQAwADAANwA0AHwAdABoAGUAIABMAG8AbgBkAG8AbgB8AEEAbQBiAGkAZwAtADEAMAAw
ADcANAB8AHwA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the London Stock Exchange</w:t>
            </w:r>
          </w:p>
        </w:tc>
      </w:tr>
      <w:tr w:rsidRPr="00637905" w:rsidR="00162592" w:rsidTr="00CC36C3" w14:paraId="2469F586" w14:textId="77777777">
        <w:tc>
          <w:tcPr>
            <w:tcW w:w="3857" w:type="dxa"/>
          </w:tcPr>
          <w:p w:rsidRPr="00637905" w:rsidR="00162592" w:rsidP="00162592" w:rsidRDefault="00162592" w14:paraId="34AD1C4E" w14:textId="09E9F958">
            <w:pPr>
              <w:rPr>
                <w:rFonts w:cs="Arial"/>
                <w:b/>
              </w:rPr>
            </w:pPr>
            <w:r w:rsidRPr="00637905">
              <w:rPr>
                <w:rFonts w:cs="Arial"/>
                <w:b/>
              </w:rPr>
              <w:t>Relevant State</w:t>
            </w:r>
          </w:p>
        </w:tc>
        <w:tc>
          <w:tcPr>
            <w:tcW w:w="5497" w:type="dxa"/>
          </w:tcPr>
          <w:p w:rsidRPr="00637905" w:rsidR="00162592" w:rsidP="00162592" w:rsidRDefault="00162592" w14:paraId="7023B1D4" w14:textId="5443CC1C">
            <w:pPr>
              <w:rPr>
                <w:rFonts w:cs="Arial"/>
              </w:rPr>
            </w:pPr>
            <w:r w:rsidRPr="00637905">
              <w:rPr>
                <w:rFonts w:cs="Arial"/>
              </w:rPr>
              <w:t>each member state of the EU and the EEA EF</w:t>
            </w:r>
            <w:r>
              <w:rPr>
                <w:rFonts w:cs="Arial"/>
              </w:rPr>
              <w:t>TA States</w:t>
            </w:r>
          </w:p>
        </w:tc>
      </w:tr>
      <w:tr w:rsidRPr="00637905" w:rsidR="00162592" w:rsidTr="00CC36C3" w14:paraId="7DB1D2D7" w14:textId="77777777">
        <w:tc>
          <w:tcPr>
            <w:tcW w:w="3857" w:type="dxa"/>
          </w:tcPr>
          <w:p w:rsidRPr="00637905" w:rsidR="00162592" w:rsidP="00162592" w:rsidRDefault="00162592" w14:paraId="5D1B8EA7" w14:textId="77777777">
            <w:pPr>
              <w:rPr>
                <w:rFonts w:cs="Arial"/>
                <w:b/>
              </w:rPr>
            </w:pPr>
            <w:r w:rsidRPr="00637905">
              <w:rPr>
                <w:rFonts w:cs="Arial"/>
                <w:b/>
              </w:rPr>
              <w:t>SEDOL</w:t>
            </w:r>
          </w:p>
        </w:tc>
        <w:tc>
          <w:tcPr>
            <w:tcW w:w="5497" w:type="dxa"/>
          </w:tcPr>
          <w:p w:rsidRPr="00637905" w:rsidR="00162592" w:rsidP="00162592" w:rsidRDefault="00162592" w14:paraId="053C8473" w14:textId="77777777">
            <w:pPr>
              <w:rPr>
                <w:rFonts w:cs="Arial"/>
              </w:rPr>
            </w:pPr>
            <w:r w:rsidRPr="00637905">
              <w:rPr>
                <w:rFonts w:cs="Arial"/>
              </w:rPr>
              <w:t xml:space="preserve">the Stock Exchange Daily Official List </w:t>
            </w:r>
          </w:p>
        </w:tc>
      </w:tr>
      <w:tr w:rsidRPr="00637905" w:rsidR="00162592" w:rsidTr="00CC36C3" w14:paraId="06010313" w14:textId="77777777">
        <w:tc>
          <w:tcPr>
            <w:tcW w:w="3857" w:type="dxa"/>
          </w:tcPr>
          <w:p w:rsidRPr="00637905" w:rsidR="00162592" w:rsidP="00162592" w:rsidRDefault="00162592" w14:paraId="5A0D2855" w14:textId="39B3C7B0">
            <w:pPr>
              <w:rPr>
                <w:rFonts w:cs="Arial"/>
                <w:b/>
              </w:rPr>
            </w:pPr>
            <w:r>
              <w:rPr>
                <w:rFonts w:cs="Arial"/>
                <w:b/>
              </w:rPr>
              <w:t>SDRT</w:t>
            </w:r>
          </w:p>
        </w:tc>
        <w:tc>
          <w:tcPr>
            <w:tcW w:w="5497" w:type="dxa"/>
          </w:tcPr>
          <w:p w:rsidRPr="00637905" w:rsidR="00162592" w:rsidP="00162592" w:rsidRDefault="00162592" w14:paraId="45D13592" w14:textId="37DE5226">
            <w:pPr>
              <w:rPr>
                <w:rFonts w:cs="Arial"/>
              </w:rPr>
            </w:pPr>
            <w:r>
              <w:rPr>
                <w:rFonts w:cs="Arial"/>
              </w:rPr>
              <w:t>stamp duty reserve tax</w:t>
            </w:r>
          </w:p>
        </w:tc>
      </w:tr>
      <w:tr w:rsidRPr="00637905" w:rsidR="00162592" w:rsidTr="00CC36C3" w14:paraId="4C7EB756" w14:textId="77777777">
        <w:tc>
          <w:tcPr>
            <w:tcW w:w="3857" w:type="dxa"/>
          </w:tcPr>
          <w:p w:rsidRPr="00637905" w:rsidR="00162592" w:rsidP="00162592" w:rsidRDefault="00162592" w14:paraId="29F2829C" w14:textId="77777777">
            <w:pPr>
              <w:rPr>
                <w:rFonts w:cs="Arial"/>
                <w:b/>
              </w:rPr>
            </w:pPr>
            <w:r w:rsidRPr="00637905">
              <w:rPr>
                <w:rFonts w:cs="Arial"/>
                <w:b/>
              </w:rPr>
              <w:t>Shareholder</w:t>
            </w:r>
          </w:p>
        </w:tc>
        <w:tc>
          <w:tcPr>
            <w:tcW w:w="5497" w:type="dxa"/>
          </w:tcPr>
          <w:p w:rsidRPr="00637905" w:rsidR="00162592" w:rsidP="00162592" w:rsidRDefault="00162592" w14:paraId="578961ED" w14:textId="59640299">
            <w:pPr>
              <w:rPr>
                <w:rFonts w:cs="Arial"/>
              </w:rPr>
            </w:pPr>
            <w:r w:rsidRPr="00637905">
              <w:rPr>
                <w:rFonts w:cs="Arial"/>
              </w:rPr>
              <w:t xml:space="preserve">a holder of </w:t>
            </w:r>
            <w:r w:rsidR="00FC383D">
              <w:rPr>
                <w:rFonts w:cs="Arial"/>
              </w:rPr>
              <w:t xml:space="preserve">Ordinary </w:t>
            </w:r>
            <w:r w:rsidRPr="00637905">
              <w:rPr>
                <w:rFonts w:cs="Arial"/>
              </w:rPr>
              <w:t>Shares</w:t>
            </w:r>
          </w:p>
        </w:tc>
      </w:tr>
      <w:tr w:rsidRPr="00637905" w:rsidR="00162592" w:rsidTr="00CC36C3" w14:paraId="137C7F24" w14:textId="77777777">
        <w:tc>
          <w:tcPr>
            <w:tcW w:w="3857" w:type="dxa"/>
          </w:tcPr>
          <w:p w:rsidRPr="00637905" w:rsidR="00162592" w:rsidP="00162592" w:rsidRDefault="00162592" w14:paraId="344C29D9" w14:textId="161AB630">
            <w:pPr>
              <w:rPr>
                <w:rFonts w:cs="Arial"/>
                <w:b/>
              </w:rPr>
            </w:pPr>
            <w:r w:rsidRPr="00637905">
              <w:rPr>
                <w:rFonts w:cs="Arial"/>
                <w:b/>
              </w:rPr>
              <w:t>similar law</w:t>
            </w:r>
          </w:p>
        </w:tc>
        <w:tc>
          <w:tcPr>
            <w:tcW w:w="5497" w:type="dxa"/>
          </w:tcPr>
          <w:p w:rsidRPr="00637905" w:rsidR="00162592" w:rsidP="00162592" w:rsidRDefault="00162592" w14:paraId="68EE27DF" w14:textId="77777777">
            <w:pPr>
              <w:rPr>
                <w:rFonts w:cs="Arial"/>
              </w:rPr>
            </w:pPr>
            <w:r w:rsidRPr="00637905">
              <w:rPr>
                <w:rFonts w:cs="Arial"/>
              </w:rPr>
              <w:t xml:space="preserve">any U.S. federal, state, local or foreign law that is similar to section 406 of ERISA or section 4975 of the U.S. Tax Code </w:t>
            </w:r>
          </w:p>
        </w:tc>
      </w:tr>
      <w:tr w:rsidRPr="00637905" w:rsidR="00162592" w:rsidTr="00CC36C3" w14:paraId="0C074D4E" w14:textId="77777777">
        <w:tc>
          <w:tcPr>
            <w:tcW w:w="3857" w:type="dxa"/>
          </w:tcPr>
          <w:p w:rsidRPr="00637905" w:rsidR="00162592" w:rsidP="00162592" w:rsidRDefault="00162592" w14:paraId="1C4859A5" w14:textId="43FDB71F">
            <w:pPr>
              <w:rPr>
                <w:rFonts w:cs="Arial"/>
                <w:b/>
              </w:rPr>
            </w:pPr>
            <w:r>
              <w:rPr>
                <w:rFonts w:cs="Arial"/>
                <w:b/>
              </w:rPr>
              <w:t>Singer Capital Markets</w:t>
            </w:r>
          </w:p>
        </w:tc>
        <w:tc>
          <w:tcPr>
            <w:tcW w:w="5497" w:type="dxa"/>
          </w:tcPr>
          <w:p w:rsidRPr="00637905" w:rsidR="00162592" w:rsidP="00162592" w:rsidRDefault="00162592" w14:paraId="1EA3C69E" w14:textId="2B37BD0F">
            <w:pPr>
              <w:rPr>
                <w:rFonts w:cs="Arial"/>
              </w:rPr>
            </w:pPr>
            <w:r w:rsidRPr="00DB6A67">
              <w:rPr>
                <w:rFonts w:cs="Arial"/>
              </w:rPr>
              <w:t>Singer Capital Markets Securities Limited</w:t>
            </w:r>
          </w:p>
        </w:tc>
      </w:tr>
      <w:tr w:rsidRPr="00637905" w:rsidR="00162592" w:rsidTr="00CC36C3" w14:paraId="787BA438" w14:textId="77777777">
        <w:tc>
          <w:tcPr>
            <w:tcW w:w="3857" w:type="dxa"/>
          </w:tcPr>
          <w:p w:rsidRPr="00637905" w:rsidR="00162592" w:rsidP="00162592" w:rsidRDefault="00162592" w14:paraId="2A26357D" w14:textId="77777777">
            <w:pPr>
              <w:rPr>
                <w:rFonts w:cs="Arial"/>
                <w:b/>
              </w:rPr>
            </w:pPr>
            <w:r w:rsidRPr="00637905">
              <w:rPr>
                <w:rFonts w:cs="Arial"/>
                <w:b/>
              </w:rPr>
              <w:t>SIPP</w:t>
            </w:r>
          </w:p>
        </w:tc>
        <w:tc>
          <w:tcPr>
            <w:tcW w:w="5497" w:type="dxa"/>
          </w:tcPr>
          <w:p w:rsidRPr="00637905" w:rsidR="00162592" w:rsidP="00162592" w:rsidRDefault="00162592" w14:paraId="16DEB2BC" w14:textId="699233B0">
            <w:pPr>
              <w:rPr>
                <w:rFonts w:cs="Arial"/>
              </w:rPr>
            </w:pPr>
            <w:r w:rsidRPr="00637905">
              <w:rPr>
                <w:rFonts w:cs="Arial"/>
              </w:rPr>
              <w:t xml:space="preserve">a self-invested personal pension as defined in </w:t>
            </w:r>
            <w:r w:rsidRPr="00637905">
              <w:rPr>
                <w:rFonts w:cs="Arial"/>
              </w:rPr>
              <w:fldChar w:fldCharType="begin">
                <w:fldData xml:space="preserve">dgAxAHwAMQAwADAANwA1AHwAUgBlAGcAdQBsAGEAdABpAG8AbgAgADMAIABvAGYAIAB0AGgAZQAg
AFIAZQB0AGkAcgBlAG0AZQBuAHQAIABCAGUAbgBlAGYAaQB0AHMAIABTAGMAaABlAG0AZQBzACAA
KABSAGUAcwB0AHIAaQBjAHQAaQBvAG4AIABvAG4AIABEAGkAcwBjAHIAZQB0AGkAbwBuACAAdABv
ACAAQQBwAHAAcgBvAHYAZQApACAAKABQAGUAcgBtAGkAdAB0AGUAZAAgAEkAbgB2AGUAcwB0AG0A
ZQBuAHQAcwApACAAUgBlAGcAdQBsAGEAdABpAG8AbgBzACAAMgAwADAAMQB8AEEAbQBiAGkAZwAt
ADEAMAAwADcANQB8AHwA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Regulation 3 of the Retirement Benefits Schemes (Restriction on Discretion to Approve) (Permitted Investments) Regulations 2001 of the UK</w:t>
            </w:r>
          </w:p>
        </w:tc>
      </w:tr>
      <w:tr w:rsidRPr="00637905" w:rsidR="00162592" w:rsidTr="00CC36C3" w14:paraId="7280A182" w14:textId="77777777">
        <w:tc>
          <w:tcPr>
            <w:tcW w:w="3857" w:type="dxa"/>
          </w:tcPr>
          <w:p w:rsidRPr="00637905" w:rsidR="00162592" w:rsidP="00162592" w:rsidRDefault="00162592" w14:paraId="239446C8" w14:textId="56644911">
            <w:pPr>
              <w:rPr>
                <w:rFonts w:cs="Arial"/>
                <w:b/>
              </w:rPr>
            </w:pPr>
            <w:r w:rsidRPr="00637905">
              <w:rPr>
                <w:rFonts w:cs="Arial"/>
                <w:b/>
              </w:rPr>
              <w:t>Specialist Fund Segment</w:t>
            </w:r>
          </w:p>
        </w:tc>
        <w:tc>
          <w:tcPr>
            <w:tcW w:w="5497" w:type="dxa"/>
          </w:tcPr>
          <w:p w:rsidRPr="00637905" w:rsidR="00162592" w:rsidP="00162592" w:rsidRDefault="00162592" w14:paraId="0A6C297F" w14:textId="6321840D">
            <w:pPr>
              <w:rPr>
                <w:rFonts w:cs="Arial"/>
              </w:rPr>
            </w:pPr>
            <w:r w:rsidRPr="00637905">
              <w:rPr>
                <w:rFonts w:cs="Arial"/>
              </w:rPr>
              <w:t xml:space="preserve">the Specialist Fund Segment of </w:t>
            </w:r>
            <w:r w:rsidRPr="00637905">
              <w:rPr>
                <w:rFonts w:cs="Arial"/>
              </w:rPr>
              <w:fldChar w:fldCharType="begin">
                <w:fldData xml:space="preserve">dgAxAHwAMQAwADAANwA2AHwAdABoAGUAIABMAG8AbgBkAG8AbgB8AEEAbQBiAGkAZwAtADEAMAAw
ADcANgB8AHwA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 xml:space="preserve">the London Stock Exchange's </w:t>
            </w:r>
            <w:r>
              <w:rPr>
                <w:rFonts w:cs="Arial"/>
              </w:rPr>
              <w:t>M</w:t>
            </w:r>
            <w:r w:rsidRPr="00637905">
              <w:rPr>
                <w:rFonts w:cs="Arial"/>
              </w:rPr>
              <w:t xml:space="preserve">ain </w:t>
            </w:r>
            <w:r>
              <w:rPr>
                <w:rFonts w:cs="Arial"/>
              </w:rPr>
              <w:t>M</w:t>
            </w:r>
            <w:r w:rsidRPr="00637905">
              <w:rPr>
                <w:rFonts w:cs="Arial"/>
              </w:rPr>
              <w:t>arket</w:t>
            </w:r>
          </w:p>
        </w:tc>
      </w:tr>
      <w:tr w:rsidRPr="00637905" w:rsidR="00162592" w:rsidTr="00CC36C3" w14:paraId="16A913EB" w14:textId="77777777">
        <w:tc>
          <w:tcPr>
            <w:tcW w:w="3857" w:type="dxa"/>
          </w:tcPr>
          <w:p w:rsidRPr="00637905" w:rsidR="00162592" w:rsidP="00162592" w:rsidRDefault="00162592" w14:paraId="3A57F4F3" w14:textId="728D52F4">
            <w:pPr>
              <w:rPr>
                <w:rFonts w:cs="Arial"/>
                <w:b/>
              </w:rPr>
            </w:pPr>
            <w:r w:rsidRPr="00637905">
              <w:rPr>
                <w:rFonts w:cs="Arial"/>
                <w:b/>
              </w:rPr>
              <w:t>SSAS</w:t>
            </w:r>
          </w:p>
        </w:tc>
        <w:tc>
          <w:tcPr>
            <w:tcW w:w="5497" w:type="dxa"/>
          </w:tcPr>
          <w:p w:rsidRPr="00637905" w:rsidR="00162592" w:rsidP="00162592" w:rsidRDefault="00162592" w14:paraId="5B5CEAD0" w14:textId="6DD2A865">
            <w:pPr>
              <w:rPr>
                <w:rFonts w:cs="Arial"/>
              </w:rPr>
            </w:pPr>
            <w:r w:rsidRPr="00637905">
              <w:rPr>
                <w:rFonts w:cs="Arial"/>
              </w:rPr>
              <w:t xml:space="preserve">a </w:t>
            </w:r>
            <w:proofErr w:type="gramStart"/>
            <w:r w:rsidRPr="00637905">
              <w:rPr>
                <w:rFonts w:cs="Arial"/>
              </w:rPr>
              <w:t>small self-administered</w:t>
            </w:r>
            <w:proofErr w:type="gramEnd"/>
            <w:r w:rsidRPr="00637905">
              <w:rPr>
                <w:rFonts w:cs="Arial"/>
              </w:rPr>
              <w:t xml:space="preserve"> scheme as defined in </w:t>
            </w:r>
            <w:r w:rsidRPr="00637905">
              <w:rPr>
                <w:rFonts w:cs="Arial"/>
              </w:rPr>
              <w:fldChar w:fldCharType="begin">
                <w:fldData xml:space="preserve">dgAxAHwAMQAwADAANwA3AHwAUgBlAGcAdQBsAGEAdABpAG8AbgAgADIAIABvAGYAIAB0AGgAZQAg
AFIAZQB0AGkAcgBlAG0AZQBuAHQAIABCAGUAbgBlAGYAaQB0AHMAIABTAGMAaABlAG0AZQBzACAA
KABSAGUAcwB0AHIAaQBjAHQAaQBvAG4AIABvAG4AIABEAGkAcwBjAHIAZQB0AGkAbwBuACAAdABv
ACAAQQBwAHAAcgBvAHYAZQApACAAKABTAG0AYQBsAGwAIABTAGUAbABmAC0AQQBkAG0AaQBuAGkA
cwB0AGUAcgBlAGQAIABTAGMAaABlAG0AZQBzACkAIABSAGUAZwB1AGwAYQB0AGkAbwBuAHMAIAAx
ADkAOQAxAHwAQgBFAFMAVABCAEwAUwBFAEMAVABJAE8ATgA0ADYANgA2ADAAfAB8AA==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 xml:space="preserve"> the Retirement Benefits Schemes (Restriction on Discretion to Approve) (Small Self-Administered Schemes) Regulations 1991 of the UK</w:t>
            </w:r>
          </w:p>
        </w:tc>
      </w:tr>
      <w:tr w:rsidRPr="00637905" w:rsidR="00162592" w:rsidTr="00CC36C3" w14:paraId="69F02A79" w14:textId="77777777">
        <w:tc>
          <w:tcPr>
            <w:tcW w:w="3857" w:type="dxa"/>
          </w:tcPr>
          <w:p w:rsidRPr="00637905" w:rsidR="00162592" w:rsidP="00162592" w:rsidRDefault="00162592" w14:paraId="6F6DD67D" w14:textId="77777777">
            <w:pPr>
              <w:rPr>
                <w:rFonts w:cs="Arial"/>
                <w:b/>
              </w:rPr>
            </w:pPr>
            <w:r w:rsidRPr="00637905">
              <w:rPr>
                <w:rFonts w:cs="Arial"/>
                <w:b/>
              </w:rPr>
              <w:t xml:space="preserve">Sterling </w:t>
            </w:r>
            <w:r w:rsidRPr="00637905">
              <w:rPr>
                <w:rFonts w:cs="Arial"/>
              </w:rPr>
              <w:t xml:space="preserve">or </w:t>
            </w:r>
            <w:r w:rsidRPr="00637905">
              <w:rPr>
                <w:rFonts w:cs="Arial"/>
                <w:b/>
              </w:rPr>
              <w:t>GBP</w:t>
            </w:r>
            <w:r w:rsidRPr="00637905">
              <w:rPr>
                <w:rFonts w:cs="Arial"/>
              </w:rPr>
              <w:t xml:space="preserve"> or </w:t>
            </w:r>
            <w:r w:rsidRPr="00637905">
              <w:rPr>
                <w:rFonts w:cs="Arial"/>
                <w:b/>
              </w:rPr>
              <w:t xml:space="preserve">£ </w:t>
            </w:r>
            <w:r w:rsidRPr="00637905">
              <w:rPr>
                <w:rFonts w:cs="Arial"/>
              </w:rPr>
              <w:t>or</w:t>
            </w:r>
            <w:r w:rsidRPr="00637905">
              <w:rPr>
                <w:rFonts w:cs="Arial"/>
                <w:b/>
              </w:rPr>
              <w:t xml:space="preserve"> pence</w:t>
            </w:r>
          </w:p>
        </w:tc>
        <w:tc>
          <w:tcPr>
            <w:tcW w:w="5497" w:type="dxa"/>
          </w:tcPr>
          <w:p w:rsidRPr="00637905" w:rsidR="00162592" w:rsidP="00162592" w:rsidRDefault="00162592" w14:paraId="63CA7B7C" w14:textId="77777777">
            <w:pPr>
              <w:rPr>
                <w:rFonts w:cs="Arial"/>
              </w:rPr>
            </w:pPr>
            <w:r w:rsidRPr="00637905">
              <w:rPr>
                <w:rFonts w:cs="Arial"/>
              </w:rPr>
              <w:t>the lawful currency of the United Kingdom</w:t>
            </w:r>
          </w:p>
        </w:tc>
      </w:tr>
      <w:tr w:rsidRPr="00637905" w:rsidR="00162592" w:rsidTr="00CC36C3" w14:paraId="45003E48" w14:textId="77777777">
        <w:tc>
          <w:tcPr>
            <w:tcW w:w="3857" w:type="dxa"/>
          </w:tcPr>
          <w:p w:rsidRPr="00637905" w:rsidR="00162592" w:rsidP="00162592" w:rsidRDefault="00162592" w14:paraId="1E97A448" w14:textId="24A3B026">
            <w:pPr>
              <w:rPr>
                <w:rFonts w:cs="Arial"/>
                <w:b/>
              </w:rPr>
            </w:pPr>
            <w:r w:rsidRPr="00637905">
              <w:rPr>
                <w:rFonts w:cs="Arial"/>
                <w:b/>
              </w:rPr>
              <w:t xml:space="preserve">Subsequent Placing  </w:t>
            </w:r>
          </w:p>
        </w:tc>
        <w:tc>
          <w:tcPr>
            <w:tcW w:w="5497" w:type="dxa"/>
          </w:tcPr>
          <w:p w:rsidRPr="00637905" w:rsidR="00162592" w:rsidP="00162592" w:rsidRDefault="00162592" w14:paraId="3A8615D4" w14:textId="16D8EE91">
            <w:pPr>
              <w:rPr>
                <w:rFonts w:cs="Arial"/>
              </w:rPr>
            </w:pPr>
            <w:r w:rsidRPr="00637905">
              <w:rPr>
                <w:rFonts w:cs="Arial"/>
              </w:rPr>
              <w:t xml:space="preserve">any placing of </w:t>
            </w:r>
            <w:r>
              <w:rPr>
                <w:rFonts w:cs="Arial"/>
              </w:rPr>
              <w:t xml:space="preserve">Ordinary </w:t>
            </w:r>
            <w:r w:rsidRPr="00637905">
              <w:rPr>
                <w:rFonts w:cs="Arial"/>
              </w:rPr>
              <w:t xml:space="preserve">Shares pursuant to the Placing Programme described in this document </w:t>
            </w:r>
          </w:p>
        </w:tc>
      </w:tr>
      <w:tr w:rsidRPr="00637905" w:rsidR="00162592" w:rsidTr="00CC36C3" w14:paraId="4D1E5D3C" w14:textId="77777777">
        <w:tc>
          <w:tcPr>
            <w:tcW w:w="3857" w:type="dxa"/>
          </w:tcPr>
          <w:p w:rsidRPr="00637905" w:rsidR="00162592" w:rsidP="00162592" w:rsidRDefault="00162592" w14:paraId="08D06004" w14:textId="77777777">
            <w:pPr>
              <w:jc w:val="left"/>
              <w:rPr>
                <w:rFonts w:cs="Arial"/>
                <w:b/>
              </w:rPr>
            </w:pPr>
            <w:r w:rsidRPr="00637905">
              <w:rPr>
                <w:rFonts w:cs="Arial"/>
                <w:b/>
              </w:rPr>
              <w:t xml:space="preserve">Target Market Assessment </w:t>
            </w:r>
          </w:p>
        </w:tc>
        <w:tc>
          <w:tcPr>
            <w:tcW w:w="5497" w:type="dxa"/>
          </w:tcPr>
          <w:p w:rsidRPr="00637905" w:rsidR="00162592" w:rsidP="00162592" w:rsidRDefault="00162592" w14:paraId="3D003C84" w14:textId="215CD4C9">
            <w:pPr>
              <w:rPr>
                <w:rFonts w:cs="Arial"/>
              </w:rPr>
            </w:pPr>
            <w:r w:rsidRPr="00637905">
              <w:rPr>
                <w:rFonts w:cs="Arial"/>
              </w:rPr>
              <w:t xml:space="preserve">has the meaning defined on page </w:t>
            </w:r>
            <w:r w:rsidR="00D372D0">
              <w:rPr>
                <w:rFonts w:cs="Arial"/>
              </w:rPr>
              <w:t>21</w:t>
            </w:r>
            <w:r w:rsidRPr="00637905">
              <w:rPr>
                <w:rFonts w:cs="Arial"/>
              </w:rPr>
              <w:t xml:space="preserve"> of this document</w:t>
            </w:r>
          </w:p>
        </w:tc>
      </w:tr>
      <w:tr w:rsidRPr="00637905" w:rsidR="00381DAD" w:rsidTr="00CC36C3" w14:paraId="1C066BBC" w14:textId="77777777">
        <w:tc>
          <w:tcPr>
            <w:tcW w:w="3857" w:type="dxa"/>
          </w:tcPr>
          <w:p w:rsidRPr="00637905" w:rsidR="00381DAD" w:rsidP="00162592" w:rsidRDefault="00381DAD" w14:paraId="2F15F688" w14:textId="52A6B896">
            <w:pPr>
              <w:rPr>
                <w:b/>
              </w:rPr>
            </w:pPr>
            <w:r>
              <w:rPr>
                <w:b/>
              </w:rPr>
              <w:t>Total Return NAV per Share</w:t>
            </w:r>
          </w:p>
        </w:tc>
        <w:tc>
          <w:tcPr>
            <w:tcW w:w="5497" w:type="dxa"/>
          </w:tcPr>
          <w:p w:rsidRPr="00637905" w:rsidR="00381DAD" w:rsidP="00162592" w:rsidRDefault="00381DAD" w14:paraId="789F8D8E" w14:textId="3DEA1EB2">
            <w:r>
              <w:rPr>
                <w:rFonts w:cs="Arial"/>
              </w:rPr>
              <w:t xml:space="preserve">has the meaning defined in paragraph </w:t>
            </w:r>
            <w:r>
              <w:rPr>
                <w:rFonts w:cs="Arial"/>
                <w:bCs/>
                <w:iCs/>
              </w:rPr>
              <w:fldChar w:fldCharType="begin" w:fldLock="1"/>
            </w:r>
            <w:r>
              <w:rPr>
                <w:rFonts w:cs="Arial"/>
                <w:bCs/>
                <w:iCs/>
              </w:rPr>
              <w:instrText xml:space="preserve"> REF _Ref65762500 \r \h </w:instrText>
            </w:r>
            <w:r>
              <w:rPr>
                <w:rFonts w:cs="Arial"/>
                <w:bCs/>
                <w:iCs/>
              </w:rPr>
            </w:r>
            <w:r>
              <w:rPr>
                <w:rFonts w:cs="Arial"/>
                <w:bCs/>
                <w:iCs/>
              </w:rPr>
              <w:fldChar w:fldCharType="separate"/>
            </w:r>
            <w:r w:rsidR="00DA4048">
              <w:rPr>
                <w:rFonts w:cs="Arial"/>
                <w:bCs/>
                <w:iCs/>
              </w:rPr>
              <w:t>6.2</w:t>
            </w:r>
            <w:r>
              <w:rPr>
                <w:rFonts w:cs="Arial"/>
                <w:bCs/>
                <w:iCs/>
              </w:rPr>
              <w:fldChar w:fldCharType="end"/>
            </w:r>
            <w:r>
              <w:rPr>
                <w:rFonts w:cs="Arial"/>
                <w:bCs/>
                <w:iCs/>
              </w:rPr>
              <w:t xml:space="preserve"> </w:t>
            </w:r>
            <w:r>
              <w:rPr>
                <w:rFonts w:cs="Arial"/>
              </w:rPr>
              <w:t>of Part 6 of this document;</w:t>
            </w:r>
          </w:p>
        </w:tc>
      </w:tr>
      <w:tr w:rsidRPr="00637905" w:rsidR="00162592" w:rsidTr="00CC36C3" w14:paraId="2E5222D7" w14:textId="77777777">
        <w:tc>
          <w:tcPr>
            <w:tcW w:w="3857" w:type="dxa"/>
          </w:tcPr>
          <w:p w:rsidRPr="00637905" w:rsidR="00162592" w:rsidP="00162592" w:rsidRDefault="00162592" w14:paraId="5C6A3D3B" w14:textId="7DF8BD08">
            <w:pPr>
              <w:rPr>
                <w:rFonts w:cs="Arial"/>
                <w:b/>
              </w:rPr>
            </w:pPr>
            <w:r w:rsidRPr="00637905">
              <w:rPr>
                <w:b/>
              </w:rPr>
              <w:t>UK AIFM Regime</w:t>
            </w:r>
          </w:p>
        </w:tc>
        <w:tc>
          <w:tcPr>
            <w:tcW w:w="5497" w:type="dxa"/>
          </w:tcPr>
          <w:p w:rsidRPr="00637905" w:rsidR="00162592" w:rsidP="00162592" w:rsidRDefault="00162592" w14:paraId="72BBEBCE" w14:textId="0FA4B336">
            <w:pPr>
              <w:rPr>
                <w:rFonts w:cs="Arial"/>
              </w:rPr>
            </w:pPr>
            <w:r w:rsidRPr="00637905">
              <w:t xml:space="preserve">together, </w:t>
            </w:r>
            <w:r>
              <w:t xml:space="preserve">the AIFM Regulations </w:t>
            </w:r>
            <w:r w:rsidRPr="00637905">
              <w:t>and the Investment Funds Sourcebook forming part of the FCA Handbook</w:t>
            </w:r>
          </w:p>
        </w:tc>
      </w:tr>
      <w:tr w:rsidRPr="00637905" w:rsidR="007F0C92" w:rsidTr="00CC36C3" w14:paraId="7829EC9C" w14:textId="77777777">
        <w:tc>
          <w:tcPr>
            <w:tcW w:w="3857" w:type="dxa"/>
          </w:tcPr>
          <w:p w:rsidRPr="00637905" w:rsidR="007F0C92" w:rsidP="007F0C92" w:rsidRDefault="007F0C92" w14:paraId="7C3F948E" w14:textId="538070FE">
            <w:pPr>
              <w:rPr>
                <w:rFonts w:cs="Arial"/>
                <w:b/>
              </w:rPr>
            </w:pPr>
            <w:r>
              <w:rPr>
                <w:rFonts w:cs="Arial"/>
                <w:b/>
              </w:rPr>
              <w:t xml:space="preserve">UK </w:t>
            </w:r>
            <w:r w:rsidRPr="00637905">
              <w:rPr>
                <w:rFonts w:cs="Arial"/>
                <w:b/>
              </w:rPr>
              <w:t>Listing Rules</w:t>
            </w:r>
          </w:p>
        </w:tc>
        <w:tc>
          <w:tcPr>
            <w:tcW w:w="5497" w:type="dxa"/>
          </w:tcPr>
          <w:p w:rsidRPr="00637905" w:rsidR="007F0C92" w:rsidP="007F0C92" w:rsidRDefault="007F0C92" w14:paraId="2E331142" w14:textId="1F7E177B">
            <w:pPr>
              <w:rPr>
                <w:rFonts w:cs="Arial"/>
              </w:rPr>
            </w:pPr>
            <w:r w:rsidRPr="00637905">
              <w:rPr>
                <w:rFonts w:cs="Arial"/>
              </w:rPr>
              <w:t xml:space="preserve">the </w:t>
            </w:r>
            <w:r>
              <w:rPr>
                <w:rFonts w:cs="Arial"/>
              </w:rPr>
              <w:t xml:space="preserve">UK </w:t>
            </w:r>
            <w:r w:rsidRPr="00637905">
              <w:rPr>
                <w:rFonts w:cs="Arial"/>
              </w:rPr>
              <w:t xml:space="preserve">listing rules made by the FCA under </w:t>
            </w:r>
            <w:r w:rsidRPr="00637905">
              <w:rPr>
                <w:rFonts w:cs="Arial"/>
              </w:rPr>
              <w:fldChar w:fldCharType="begin">
                <w:fldData xml:space="preserve">dgAxAHwAMQAwADAANgA3AHwAcwBlAGMAdABpAG8AbgAgADcAMwBBACAAbwBmACAARgBTAE0AQQB8
AEIARQBTAFQAQgBMAFMARQBDAFQASQBPAE4ANQAxADcANQA1ADEAfAB8AA==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section 73A of FSMA, as amended from time to time</w:t>
            </w:r>
            <w:r>
              <w:rPr>
                <w:rFonts w:cs="Arial"/>
              </w:rPr>
              <w:t>;</w:t>
            </w:r>
          </w:p>
        </w:tc>
      </w:tr>
      <w:tr w:rsidRPr="00637905" w:rsidR="00162592" w:rsidTr="00CC36C3" w14:paraId="7A8DCEEE" w14:textId="77777777">
        <w:tc>
          <w:tcPr>
            <w:tcW w:w="3857" w:type="dxa"/>
          </w:tcPr>
          <w:p w:rsidRPr="00637905" w:rsidR="00162592" w:rsidP="00162592" w:rsidRDefault="00162592" w14:paraId="425EB1E1" w14:textId="77777777">
            <w:pPr>
              <w:rPr>
                <w:rFonts w:cs="Arial"/>
                <w:b/>
              </w:rPr>
            </w:pPr>
            <w:r w:rsidRPr="00637905">
              <w:rPr>
                <w:rFonts w:cs="Arial"/>
                <w:b/>
              </w:rPr>
              <w:t>U.S. Investment Company Act</w:t>
            </w:r>
          </w:p>
        </w:tc>
        <w:tc>
          <w:tcPr>
            <w:tcW w:w="5497" w:type="dxa"/>
          </w:tcPr>
          <w:p w:rsidRPr="00637905" w:rsidR="00162592" w:rsidP="00162592" w:rsidRDefault="00162592" w14:paraId="45DAEB9D" w14:textId="4D480DA3">
            <w:pPr>
              <w:rPr>
                <w:rFonts w:cs="Arial"/>
              </w:rPr>
            </w:pPr>
            <w:r w:rsidRPr="00637905">
              <w:rPr>
                <w:rFonts w:cs="Arial"/>
              </w:rPr>
              <w:fldChar w:fldCharType="begin">
                <w:fldData xml:space="preserve">dgAxAHwAMQAwADAANwA4AHwAVQAuAFMALgAgAEkAbgB2AGUAcwB0AG0AZQBuAHQAIABDAG8AbQBw
AGEAbgB5ACAAQQBjAHQAIABvAGYAIAAxADkANAAwAHwAQQBtAGIAaQBnAC0AMQAwADAANwA4AHwA
fAA=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U.S. Investment Company Act of 1940, as amended from time to time</w:t>
            </w:r>
          </w:p>
        </w:tc>
      </w:tr>
      <w:tr w:rsidRPr="00637905" w:rsidR="00162592" w:rsidTr="00CC36C3" w14:paraId="3566D39A" w14:textId="77777777">
        <w:tc>
          <w:tcPr>
            <w:tcW w:w="3857" w:type="dxa"/>
          </w:tcPr>
          <w:p w:rsidRPr="00637905" w:rsidR="00162592" w:rsidP="00162592" w:rsidRDefault="00162592" w14:paraId="2D488C0E" w14:textId="77777777">
            <w:pPr>
              <w:rPr>
                <w:rFonts w:cs="Arial"/>
                <w:b/>
              </w:rPr>
            </w:pPr>
            <w:r w:rsidRPr="00637905">
              <w:rPr>
                <w:rFonts w:cs="Arial"/>
                <w:b/>
              </w:rPr>
              <w:t>U.S. Person</w:t>
            </w:r>
          </w:p>
        </w:tc>
        <w:tc>
          <w:tcPr>
            <w:tcW w:w="5497" w:type="dxa"/>
          </w:tcPr>
          <w:p w:rsidRPr="00637905" w:rsidR="00162592" w:rsidP="00162592" w:rsidRDefault="00162592" w14:paraId="5331B7D9" w14:textId="77777777">
            <w:pPr>
              <w:rPr>
                <w:rFonts w:cs="Arial"/>
              </w:rPr>
            </w:pPr>
            <w:r w:rsidRPr="00637905">
              <w:rPr>
                <w:rFonts w:cs="Arial"/>
              </w:rPr>
              <w:t>any person who is a U.S. person within the meaning of Regulation S adopted under the U.S. Securities Act</w:t>
            </w:r>
          </w:p>
        </w:tc>
      </w:tr>
      <w:tr w:rsidRPr="00637905" w:rsidR="00162592" w:rsidTr="00CC36C3" w14:paraId="28DC7B8A" w14:textId="77777777">
        <w:tc>
          <w:tcPr>
            <w:tcW w:w="3857" w:type="dxa"/>
          </w:tcPr>
          <w:p w:rsidRPr="00637905" w:rsidR="00162592" w:rsidP="00162592" w:rsidRDefault="00162592" w14:paraId="44D097A2" w14:textId="77777777">
            <w:pPr>
              <w:rPr>
                <w:rFonts w:cs="Arial"/>
                <w:b/>
              </w:rPr>
            </w:pPr>
            <w:r w:rsidRPr="00637905">
              <w:rPr>
                <w:rFonts w:cs="Arial"/>
                <w:b/>
              </w:rPr>
              <w:t>U.S. Securities Act</w:t>
            </w:r>
          </w:p>
        </w:tc>
        <w:tc>
          <w:tcPr>
            <w:tcW w:w="5497" w:type="dxa"/>
          </w:tcPr>
          <w:p w:rsidRPr="00637905" w:rsidR="00162592" w:rsidP="00162592" w:rsidRDefault="00162592" w14:paraId="1155EFC8" w14:textId="787A99C6">
            <w:pPr>
              <w:rPr>
                <w:rFonts w:cs="Arial"/>
              </w:rPr>
            </w:pPr>
            <w:r w:rsidRPr="00637905">
              <w:rPr>
                <w:rFonts w:cs="Arial"/>
              </w:rPr>
              <w:fldChar w:fldCharType="begin">
                <w:fldData xml:space="preserve">dgAxAHwAMQAwADAANwA5AHwAVQAuAFMALgAgAFMAZQBjAHUAcgBpAHQAaQBlAHMAIABBAGMAdAAg
AG8AZgAgADEAOQAzADMAfABBAG0AYgBpAGcALQAxADAAMAA3ADkAfAB8AA==
</w:fldData>
              </w:fldChar>
            </w:r>
            <w:r w:rsidRPr="00637905">
              <w:rPr>
                <w:rFonts w:cs="Arial"/>
              </w:rPr>
              <w:instrText xml:space="preserve"> ADDIN CiteCheck Marker </w:instrText>
            </w:r>
            <w:r w:rsidRPr="00637905">
              <w:rPr>
                <w:rFonts w:cs="Arial"/>
              </w:rPr>
            </w:r>
            <w:r w:rsidRPr="00637905">
              <w:rPr>
                <w:rFonts w:cs="Arial"/>
              </w:rPr>
              <w:fldChar w:fldCharType="end"/>
            </w:r>
            <w:r w:rsidRPr="00637905">
              <w:rPr>
                <w:rFonts w:cs="Arial"/>
              </w:rPr>
              <w:t>U.S. Securities Act of 1933, as amended from time to time</w:t>
            </w:r>
          </w:p>
        </w:tc>
      </w:tr>
      <w:tr w:rsidRPr="00637905" w:rsidR="00162592" w:rsidTr="00CC36C3" w14:paraId="28853D88" w14:textId="77777777">
        <w:tc>
          <w:tcPr>
            <w:tcW w:w="3857" w:type="dxa"/>
          </w:tcPr>
          <w:p w:rsidRPr="00637905" w:rsidR="00162592" w:rsidP="00162592" w:rsidRDefault="00162592" w14:paraId="2D7C133C" w14:textId="77777777">
            <w:pPr>
              <w:rPr>
                <w:rFonts w:cs="Arial"/>
                <w:b/>
              </w:rPr>
            </w:pPr>
            <w:r w:rsidRPr="00637905">
              <w:rPr>
                <w:rFonts w:cs="Arial"/>
                <w:b/>
              </w:rPr>
              <w:lastRenderedPageBreak/>
              <w:t>U.S. Tax Code</w:t>
            </w:r>
          </w:p>
        </w:tc>
        <w:tc>
          <w:tcPr>
            <w:tcW w:w="5497" w:type="dxa"/>
          </w:tcPr>
          <w:p w:rsidRPr="00637905" w:rsidR="00162592" w:rsidP="00162592" w:rsidRDefault="00162592" w14:paraId="0BFA9DD2" w14:textId="77777777">
            <w:pPr>
              <w:rPr>
                <w:rFonts w:cs="Arial"/>
              </w:rPr>
            </w:pPr>
            <w:r w:rsidRPr="00637905">
              <w:rPr>
                <w:rFonts w:cs="Arial"/>
              </w:rPr>
              <w:t>the US Internal Revenue Code of 1986, as amended from time to time</w:t>
            </w:r>
          </w:p>
        </w:tc>
      </w:tr>
      <w:tr w:rsidRPr="00637905" w:rsidR="00162592" w:rsidTr="00CC36C3" w14:paraId="616D0B26" w14:textId="77777777">
        <w:tc>
          <w:tcPr>
            <w:tcW w:w="3857" w:type="dxa"/>
          </w:tcPr>
          <w:p w:rsidRPr="00637905" w:rsidR="00162592" w:rsidP="00162592" w:rsidRDefault="00162592" w14:paraId="1A9665BF" w14:textId="77777777">
            <w:pPr>
              <w:rPr>
                <w:rFonts w:cs="Arial"/>
                <w:b/>
              </w:rPr>
            </w:pPr>
            <w:r w:rsidRPr="00637905">
              <w:rPr>
                <w:rFonts w:cs="Arial"/>
                <w:b/>
              </w:rPr>
              <w:t>UK Corporate Governance Code</w:t>
            </w:r>
          </w:p>
        </w:tc>
        <w:tc>
          <w:tcPr>
            <w:tcW w:w="5497" w:type="dxa"/>
          </w:tcPr>
          <w:p w:rsidRPr="00637905" w:rsidR="00162592" w:rsidP="00162592" w:rsidRDefault="00162592" w14:paraId="16CA13FA" w14:textId="77777777">
            <w:pPr>
              <w:rPr>
                <w:rFonts w:cs="Arial"/>
              </w:rPr>
            </w:pPr>
            <w:r w:rsidRPr="00637905">
              <w:rPr>
                <w:rFonts w:cs="Arial"/>
              </w:rPr>
              <w:t>the UK Corporate Governance Code as published by the Financial Reporting Council from time-to-time</w:t>
            </w:r>
          </w:p>
        </w:tc>
      </w:tr>
      <w:tr w:rsidRPr="00637905" w:rsidR="00162592" w:rsidTr="00CC36C3" w14:paraId="36044175" w14:textId="77777777">
        <w:tc>
          <w:tcPr>
            <w:tcW w:w="3857" w:type="dxa"/>
          </w:tcPr>
          <w:p w:rsidRPr="00637905" w:rsidR="00162592" w:rsidP="00162592" w:rsidRDefault="00162592" w14:paraId="2F51ACE3" w14:textId="77777777">
            <w:pPr>
              <w:rPr>
                <w:rFonts w:cs="Arial"/>
                <w:b/>
              </w:rPr>
            </w:pPr>
            <w:r w:rsidRPr="00637905">
              <w:rPr>
                <w:rFonts w:cs="Arial"/>
                <w:b/>
              </w:rPr>
              <w:t xml:space="preserve">uncertificated </w:t>
            </w:r>
            <w:r w:rsidRPr="00637905">
              <w:rPr>
                <w:rFonts w:cs="Arial"/>
              </w:rPr>
              <w:t xml:space="preserve">or </w:t>
            </w:r>
            <w:r w:rsidRPr="00637905">
              <w:rPr>
                <w:rFonts w:cs="Arial"/>
                <w:b/>
              </w:rPr>
              <w:t>in uncertificated form</w:t>
            </w:r>
          </w:p>
        </w:tc>
        <w:tc>
          <w:tcPr>
            <w:tcW w:w="5497" w:type="dxa"/>
          </w:tcPr>
          <w:p w:rsidRPr="00637905" w:rsidR="00162592" w:rsidP="00162592" w:rsidRDefault="00162592" w14:paraId="6B625282" w14:textId="77777777">
            <w:pPr>
              <w:rPr>
                <w:rFonts w:cs="Arial"/>
              </w:rPr>
            </w:pPr>
            <w:r w:rsidRPr="00637905">
              <w:rPr>
                <w:rFonts w:cs="Arial"/>
              </w:rPr>
              <w:t>a share recorded on the Register as being held in uncertificated form in CREST and title to which, by virtue of the CREST Regulations, may be transferred by means of CREST</w:t>
            </w:r>
          </w:p>
        </w:tc>
      </w:tr>
      <w:tr w:rsidRPr="00637905" w:rsidR="00162592" w:rsidTr="00CC36C3" w14:paraId="49EABFC8" w14:textId="77777777">
        <w:tc>
          <w:tcPr>
            <w:tcW w:w="3857" w:type="dxa"/>
          </w:tcPr>
          <w:p w:rsidRPr="00637905" w:rsidR="00162592" w:rsidP="00162592" w:rsidRDefault="00162592" w14:paraId="5C5005A3" w14:textId="77777777">
            <w:pPr>
              <w:rPr>
                <w:rFonts w:cs="Arial"/>
                <w:b/>
              </w:rPr>
            </w:pPr>
            <w:r w:rsidRPr="00637905">
              <w:rPr>
                <w:rFonts w:cs="Arial"/>
                <w:b/>
              </w:rPr>
              <w:t>United Kingdom</w:t>
            </w:r>
            <w:r w:rsidRPr="00637905">
              <w:rPr>
                <w:rFonts w:cs="Arial"/>
              </w:rPr>
              <w:t xml:space="preserve"> or </w:t>
            </w:r>
            <w:r w:rsidRPr="00637905">
              <w:rPr>
                <w:rFonts w:cs="Arial"/>
                <w:b/>
              </w:rPr>
              <w:t>UK</w:t>
            </w:r>
          </w:p>
        </w:tc>
        <w:tc>
          <w:tcPr>
            <w:tcW w:w="5497" w:type="dxa"/>
          </w:tcPr>
          <w:p w:rsidRPr="00637905" w:rsidR="00162592" w:rsidP="00162592" w:rsidRDefault="00162592" w14:paraId="04F519C8" w14:textId="77777777">
            <w:pPr>
              <w:rPr>
                <w:rFonts w:cs="Arial"/>
              </w:rPr>
            </w:pPr>
            <w:r w:rsidRPr="00637905">
              <w:rPr>
                <w:rFonts w:cs="Arial"/>
              </w:rPr>
              <w:t>the United Kingdom of Great Britain and Northern Ireland</w:t>
            </w:r>
          </w:p>
        </w:tc>
      </w:tr>
      <w:tr w:rsidRPr="00637905" w:rsidR="00162592" w:rsidTr="00CC36C3" w14:paraId="3A4DED9D" w14:textId="77777777">
        <w:tc>
          <w:tcPr>
            <w:tcW w:w="3857" w:type="dxa"/>
          </w:tcPr>
          <w:p w:rsidRPr="00637905" w:rsidR="00162592" w:rsidDel="00E85032" w:rsidP="00162592" w:rsidRDefault="00162592" w14:paraId="4DCC495A" w14:textId="77777777">
            <w:pPr>
              <w:jc w:val="left"/>
              <w:rPr>
                <w:rFonts w:cs="Arial"/>
                <w:b/>
              </w:rPr>
            </w:pPr>
            <w:r w:rsidRPr="00637905">
              <w:rPr>
                <w:rFonts w:cs="Arial"/>
                <w:b/>
              </w:rPr>
              <w:t xml:space="preserve">United States of America, United States </w:t>
            </w:r>
            <w:r w:rsidRPr="00637905">
              <w:rPr>
                <w:rFonts w:cs="Arial"/>
              </w:rPr>
              <w:t>or</w:t>
            </w:r>
            <w:r w:rsidRPr="00637905">
              <w:rPr>
                <w:rFonts w:cs="Arial"/>
                <w:b/>
              </w:rPr>
              <w:t xml:space="preserve"> U.S.</w:t>
            </w:r>
          </w:p>
        </w:tc>
        <w:tc>
          <w:tcPr>
            <w:tcW w:w="5497" w:type="dxa"/>
          </w:tcPr>
          <w:p w:rsidRPr="00637905" w:rsidR="00162592" w:rsidP="00162592" w:rsidRDefault="00162592" w14:paraId="3126D88A" w14:textId="77777777">
            <w:pPr>
              <w:rPr>
                <w:rFonts w:cs="Arial"/>
              </w:rPr>
            </w:pPr>
            <w:r w:rsidRPr="00637905">
              <w:rPr>
                <w:rFonts w:cs="Arial"/>
              </w:rPr>
              <w:t>the United States of America, its territories and possessions, any state of the United States of America and the District of Columbia</w:t>
            </w:r>
          </w:p>
        </w:tc>
      </w:tr>
      <w:tr w:rsidRPr="00637905" w:rsidR="00646735" w:rsidTr="00CC36C3" w14:paraId="4FECE7F8" w14:textId="77777777">
        <w:tc>
          <w:tcPr>
            <w:tcW w:w="3857" w:type="dxa"/>
          </w:tcPr>
          <w:p w:rsidRPr="00637905" w:rsidR="00646735" w:rsidP="00646735" w:rsidRDefault="00646735" w14:paraId="134203F0" w14:textId="7C6BEC63">
            <w:pPr>
              <w:jc w:val="left"/>
              <w:rPr>
                <w:rFonts w:cs="Arial"/>
                <w:b/>
              </w:rPr>
            </w:pPr>
            <w:r>
              <w:rPr>
                <w:rFonts w:cs="Arial"/>
                <w:b/>
              </w:rPr>
              <w:t>US$</w:t>
            </w:r>
            <w:r w:rsidRPr="00637905">
              <w:rPr>
                <w:rFonts w:cs="Arial"/>
                <w:b/>
              </w:rPr>
              <w:t xml:space="preserve"> </w:t>
            </w:r>
            <w:r w:rsidRPr="00637905">
              <w:rPr>
                <w:rFonts w:cs="Arial"/>
              </w:rPr>
              <w:t xml:space="preserve">or </w:t>
            </w:r>
            <w:r w:rsidRPr="00646735">
              <w:rPr>
                <w:rFonts w:cs="Arial"/>
                <w:b/>
                <w:bCs/>
              </w:rPr>
              <w:t>USD</w:t>
            </w:r>
            <w:r w:rsidRPr="00637905">
              <w:rPr>
                <w:rFonts w:cs="Arial"/>
              </w:rPr>
              <w:t xml:space="preserve"> or </w:t>
            </w:r>
            <w:r w:rsidRPr="00646735">
              <w:rPr>
                <w:rFonts w:cs="Arial"/>
                <w:b/>
                <w:bCs/>
              </w:rPr>
              <w:t>$</w:t>
            </w:r>
            <w:r w:rsidRPr="00637905">
              <w:rPr>
                <w:rFonts w:cs="Arial"/>
                <w:b/>
              </w:rPr>
              <w:t xml:space="preserve"> </w:t>
            </w:r>
            <w:r w:rsidRPr="00637905">
              <w:rPr>
                <w:rFonts w:cs="Arial"/>
              </w:rPr>
              <w:t>or</w:t>
            </w:r>
            <w:r w:rsidRPr="00637905">
              <w:rPr>
                <w:rFonts w:cs="Arial"/>
                <w:b/>
              </w:rPr>
              <w:t xml:space="preserve"> </w:t>
            </w:r>
            <w:r>
              <w:rPr>
                <w:rFonts w:cs="Arial"/>
                <w:b/>
              </w:rPr>
              <w:t>cents</w:t>
            </w:r>
          </w:p>
        </w:tc>
        <w:tc>
          <w:tcPr>
            <w:tcW w:w="5497" w:type="dxa"/>
          </w:tcPr>
          <w:p w:rsidRPr="00637905" w:rsidR="00646735" w:rsidP="00646735" w:rsidRDefault="00646735" w14:paraId="669DD478" w14:textId="77645ADF">
            <w:pPr>
              <w:rPr>
                <w:rFonts w:cs="Arial"/>
              </w:rPr>
            </w:pPr>
            <w:r>
              <w:rPr>
                <w:rFonts w:cs="Arial"/>
              </w:rPr>
              <w:t xml:space="preserve">U.S. dollars, being </w:t>
            </w:r>
            <w:r w:rsidRPr="00637905">
              <w:rPr>
                <w:rFonts w:cs="Arial"/>
              </w:rPr>
              <w:t xml:space="preserve">the lawful currency of the United </w:t>
            </w:r>
            <w:r>
              <w:rPr>
                <w:rFonts w:cs="Arial"/>
              </w:rPr>
              <w:t>States</w:t>
            </w:r>
          </w:p>
        </w:tc>
      </w:tr>
      <w:tr w:rsidRPr="00637905" w:rsidR="00162592" w:rsidTr="00CC36C3" w14:paraId="04AC4D95" w14:textId="77777777">
        <w:tc>
          <w:tcPr>
            <w:tcW w:w="3857" w:type="dxa"/>
          </w:tcPr>
          <w:p w:rsidRPr="00637905" w:rsidR="00162592" w:rsidP="00162592" w:rsidRDefault="00162592" w14:paraId="21209809" w14:textId="3C7EA80A">
            <w:pPr>
              <w:jc w:val="left"/>
              <w:rPr>
                <w:rFonts w:cs="Arial"/>
                <w:b/>
              </w:rPr>
            </w:pPr>
            <w:r>
              <w:rPr>
                <w:rFonts w:cs="Arial"/>
                <w:b/>
              </w:rPr>
              <w:t>Valuation Point</w:t>
            </w:r>
          </w:p>
        </w:tc>
        <w:tc>
          <w:tcPr>
            <w:tcW w:w="5497" w:type="dxa"/>
          </w:tcPr>
          <w:p w:rsidRPr="00637905" w:rsidR="00162592" w:rsidP="00162592" w:rsidRDefault="00162592" w14:paraId="7A7564E3" w14:textId="62016152">
            <w:pPr>
              <w:rPr>
                <w:rFonts w:cs="Arial"/>
              </w:rPr>
            </w:pPr>
            <w:r w:rsidRPr="00BC2BAD">
              <w:t>close of business on the Business Day immediately preceding the relevant Redemption Point</w:t>
            </w:r>
          </w:p>
        </w:tc>
      </w:tr>
    </w:tbl>
    <w:p w:rsidRPr="00DE5D68" w:rsidR="008B14E2" w:rsidP="00C27D12" w:rsidRDefault="008B14E2" w14:paraId="23E8CEF2" w14:textId="77777777">
      <w:pPr>
        <w:rPr>
          <w:rFonts w:cs="Arial"/>
        </w:rPr>
        <w:sectPr w:rsidRPr="00DE5D68" w:rsidR="008B14E2" w:rsidSect="00706BDB">
          <w:headerReference w:type="even" r:id="rId25"/>
          <w:headerReference w:type="default" r:id="rId26"/>
          <w:headerReference w:type="first" r:id="rId27"/>
          <w:pgSz w:w="11906" w:h="16838" w:code="9"/>
          <w:pgMar w:top="1134" w:right="1134" w:bottom="1134" w:left="1418" w:header="680" w:footer="680" w:gutter="0"/>
          <w:paperSrc w:first="263" w:other="263"/>
          <w:cols w:space="0"/>
          <w:titlePg/>
          <w:docGrid w:linePitch="360"/>
        </w:sectPr>
      </w:pPr>
    </w:p>
    <w:bookmarkStart w:name="_Ref65764989" w:id="323"/>
    <w:p w:rsidRPr="00DE5D68" w:rsidR="00F21A84" w:rsidP="00D73005" w:rsidRDefault="007F17DA" w14:paraId="3557DA94" w14:textId="7CA8367B">
      <w:pPr>
        <w:pStyle w:val="Part"/>
        <w:rPr>
          <w:b/>
        </w:rPr>
      </w:pPr>
      <w:r w:rsidRPr="00DE5D68">
        <w:rPr>
          <w:b/>
        </w:rPr>
        <w:lastRenderedPageBreak/>
        <w:fldChar w:fldCharType="begin"/>
      </w:r>
      <w:r w:rsidRPr="00DE5D68">
        <w:instrText xml:space="preserve"> TC "</w:instrText>
      </w:r>
      <w:r w:rsidRPr="00DE5D68">
        <w:rPr>
          <w:b/>
        </w:rPr>
        <w:instrText xml:space="preserve"> </w:instrText>
      </w:r>
      <w:bookmarkStart w:name="_Toc78485980" w:id="324"/>
      <w:bookmarkStart w:name="_Toc190288038" w:id="325"/>
      <w:r w:rsidRPr="00DE5D68">
        <w:instrText xml:space="preserve">PART </w:instrText>
      </w:r>
      <w:r w:rsidR="0030744B">
        <w:instrText>8</w:instrText>
      </w:r>
      <w:r w:rsidRPr="00DE5D68" w:rsidR="007008BD">
        <w:instrText xml:space="preserve"> – TERMS AND CONDITIONS OF </w:instrText>
      </w:r>
      <w:r w:rsidR="00FA62DB">
        <w:instrText xml:space="preserve">THE INITIAL </w:instrText>
      </w:r>
      <w:r w:rsidRPr="00DE5D68">
        <w:instrText>PLACING</w:instrText>
      </w:r>
      <w:bookmarkEnd w:id="324"/>
      <w:bookmarkEnd w:id="325"/>
      <w:r w:rsidRPr="00DE5D68">
        <w:instrText xml:space="preserve"> </w:instrText>
      </w:r>
      <w:r w:rsidR="00FA62DB">
        <w:instrText>AND THE PLACING PROGRAMME</w:instrText>
      </w:r>
      <w:r w:rsidRPr="00DE5D68">
        <w:instrText xml:space="preserve">" \f C \l "1" </w:instrText>
      </w:r>
      <w:r w:rsidRPr="00DE5D68">
        <w:rPr>
          <w:b/>
        </w:rPr>
        <w:fldChar w:fldCharType="end"/>
      </w:r>
      <w:bookmarkEnd w:id="323"/>
    </w:p>
    <w:p w:rsidRPr="00DE5D68" w:rsidR="006C50CA" w:rsidP="00C27D12" w:rsidRDefault="004070BD" w14:paraId="0669303E" w14:textId="49A6990F">
      <w:pPr>
        <w:jc w:val="center"/>
        <w:rPr>
          <w:rFonts w:cs="Arial"/>
          <w:b/>
        </w:rPr>
      </w:pPr>
      <w:r w:rsidRPr="0094544D">
        <w:rPr>
          <w:rFonts w:cs="Arial"/>
          <w:b/>
        </w:rPr>
        <w:t xml:space="preserve">TERMS AND CONDITIONS OF </w:t>
      </w:r>
      <w:r w:rsidRPr="0094544D" w:rsidR="00E74BCE">
        <w:rPr>
          <w:rFonts w:cs="Arial"/>
          <w:b/>
        </w:rPr>
        <w:t>THE</w:t>
      </w:r>
      <w:r w:rsidRPr="0094544D" w:rsidR="00ED31ED">
        <w:rPr>
          <w:rFonts w:cs="Arial"/>
          <w:b/>
        </w:rPr>
        <w:t xml:space="preserve"> INITIAL</w:t>
      </w:r>
      <w:r w:rsidRPr="0094544D" w:rsidR="00E74BCE">
        <w:rPr>
          <w:rFonts w:cs="Arial"/>
          <w:b/>
        </w:rPr>
        <w:t xml:space="preserve"> </w:t>
      </w:r>
      <w:r w:rsidRPr="0094544D">
        <w:rPr>
          <w:rFonts w:cs="Arial"/>
          <w:b/>
        </w:rPr>
        <w:t>PLACING</w:t>
      </w:r>
      <w:r w:rsidRPr="0094544D" w:rsidR="00ED31ED">
        <w:rPr>
          <w:rFonts w:cs="Arial"/>
          <w:b/>
        </w:rPr>
        <w:t xml:space="preserve"> AND </w:t>
      </w:r>
      <w:r w:rsidR="00FA62DB">
        <w:rPr>
          <w:rFonts w:cs="Arial"/>
          <w:b/>
        </w:rPr>
        <w:t xml:space="preserve">THE </w:t>
      </w:r>
      <w:r w:rsidRPr="0094544D" w:rsidR="00ED31ED">
        <w:rPr>
          <w:rFonts w:cs="Arial"/>
          <w:b/>
        </w:rPr>
        <w:t>PLACING PROGRAMME</w:t>
      </w:r>
      <w:r w:rsidRPr="00DE5D68">
        <w:rPr>
          <w:rFonts w:cs="Arial"/>
          <w:b/>
        </w:rPr>
        <w:t xml:space="preserve"> </w:t>
      </w:r>
    </w:p>
    <w:p w:rsidRPr="00DE5D68" w:rsidR="006C50CA" w:rsidP="00565AD4" w:rsidRDefault="006C50CA" w14:paraId="0C6C7126" w14:textId="6E15E5F7">
      <w:pPr>
        <w:pStyle w:val="Heading1"/>
        <w:numPr>
          <w:ilvl w:val="0"/>
          <w:numId w:val="37"/>
        </w:numPr>
        <w:rPr>
          <w:rFonts w:cs="Arial"/>
          <w:caps w:val="0"/>
        </w:rPr>
      </w:pPr>
      <w:r w:rsidRPr="00DE5D68">
        <w:rPr>
          <w:rFonts w:cs="Arial"/>
          <w:caps w:val="0"/>
        </w:rPr>
        <w:t>INTRODUCTION</w:t>
      </w:r>
      <w:r w:rsidR="00C72BD9">
        <w:rPr>
          <w:rFonts w:cs="Arial"/>
          <w:caps w:val="0"/>
        </w:rPr>
        <w:t xml:space="preserve"> </w:t>
      </w:r>
    </w:p>
    <w:p w:rsidRPr="00DE5D68" w:rsidR="00DB5267" w:rsidP="007944C6" w:rsidRDefault="00DB5267" w14:paraId="373D823E" w14:textId="6E37FCD1">
      <w:pPr>
        <w:pStyle w:val="Heading2"/>
        <w:rPr>
          <w:rFonts w:cs="Arial"/>
        </w:rPr>
      </w:pPr>
      <w:r w:rsidRPr="00DE5D68">
        <w:rPr>
          <w:rFonts w:cs="Arial"/>
        </w:rPr>
        <w:t xml:space="preserve">Each </w:t>
      </w:r>
      <w:proofErr w:type="spellStart"/>
      <w:r w:rsidRPr="00DE5D68">
        <w:rPr>
          <w:rFonts w:cs="Arial"/>
        </w:rPr>
        <w:t>Placee</w:t>
      </w:r>
      <w:proofErr w:type="spellEnd"/>
      <w:r w:rsidRPr="00DE5D68">
        <w:rPr>
          <w:rFonts w:cs="Arial"/>
        </w:rPr>
        <w:t xml:space="preserve"> which confirms its agreement (whether orally or in writing) to </w:t>
      </w:r>
      <w:r w:rsidR="00DD0C05">
        <w:rPr>
          <w:rFonts w:cs="Arial"/>
        </w:rPr>
        <w:t>Singer Capital Markets</w:t>
      </w:r>
      <w:r w:rsidRPr="00DE5D68" w:rsidR="00631C3F">
        <w:rPr>
          <w:rFonts w:cs="Arial"/>
        </w:rPr>
        <w:t xml:space="preserve"> </w:t>
      </w:r>
      <w:r w:rsidRPr="00DE5D68" w:rsidR="007008BD">
        <w:rPr>
          <w:rFonts w:cs="Arial"/>
        </w:rPr>
        <w:t>to subsc</w:t>
      </w:r>
      <w:r w:rsidRPr="00DE5D68" w:rsidR="00FA60EF">
        <w:rPr>
          <w:rFonts w:cs="Arial"/>
        </w:rPr>
        <w:t xml:space="preserve">ribe for </w:t>
      </w:r>
      <w:r w:rsidR="0094544D">
        <w:rPr>
          <w:rFonts w:cs="Arial"/>
        </w:rPr>
        <w:t xml:space="preserve">Ordinary </w:t>
      </w:r>
      <w:r w:rsidRPr="00DE5D68" w:rsidR="00E532DA">
        <w:rPr>
          <w:rFonts w:cs="Arial"/>
        </w:rPr>
        <w:t>Shares</w:t>
      </w:r>
      <w:r w:rsidRPr="00DE5D68" w:rsidR="00FA60EF">
        <w:rPr>
          <w:rFonts w:cs="Arial"/>
        </w:rPr>
        <w:t xml:space="preserve"> under </w:t>
      </w:r>
      <w:r w:rsidRPr="00DE5D68" w:rsidR="007008BD">
        <w:rPr>
          <w:rFonts w:cs="Arial"/>
        </w:rPr>
        <w:t xml:space="preserve">the </w:t>
      </w:r>
      <w:r w:rsidRPr="00DE5D68" w:rsidR="00ED31ED">
        <w:rPr>
          <w:rFonts w:cs="Arial"/>
        </w:rPr>
        <w:t xml:space="preserve">Initial </w:t>
      </w:r>
      <w:r w:rsidRPr="00DE5D68">
        <w:rPr>
          <w:rFonts w:cs="Arial"/>
        </w:rPr>
        <w:t>Placing</w:t>
      </w:r>
      <w:r w:rsidRPr="00DE5D68" w:rsidR="00ED31ED">
        <w:rPr>
          <w:rFonts w:cs="Arial"/>
        </w:rPr>
        <w:t xml:space="preserve"> or any Subsequent Placing</w:t>
      </w:r>
      <w:r w:rsidRPr="00DE5D68">
        <w:rPr>
          <w:rFonts w:cs="Arial"/>
        </w:rPr>
        <w:t xml:space="preserve"> will be bound by these terms and conditions and will be deemed to have accepted them.</w:t>
      </w:r>
    </w:p>
    <w:p w:rsidRPr="00DE5D68" w:rsidR="00DB5267" w:rsidP="007944C6" w:rsidRDefault="00DD0C05" w14:paraId="4DBA4A48" w14:textId="38EBEB06">
      <w:pPr>
        <w:pStyle w:val="Heading2"/>
        <w:rPr>
          <w:rFonts w:cs="Arial"/>
        </w:rPr>
      </w:pPr>
      <w:r>
        <w:rPr>
          <w:rFonts w:cs="Arial"/>
        </w:rPr>
        <w:t>Singer Capital Markets</w:t>
      </w:r>
      <w:r w:rsidRPr="00DE5D68" w:rsidR="00631C3F">
        <w:rPr>
          <w:rFonts w:cs="Arial"/>
        </w:rPr>
        <w:t xml:space="preserve"> </w:t>
      </w:r>
      <w:r w:rsidRPr="00DE5D68" w:rsidR="00DB5267">
        <w:rPr>
          <w:rFonts w:cs="Arial"/>
        </w:rPr>
        <w:t xml:space="preserve">may require any </w:t>
      </w:r>
      <w:proofErr w:type="spellStart"/>
      <w:r w:rsidRPr="00DE5D68" w:rsidR="00DB5267">
        <w:rPr>
          <w:rFonts w:cs="Arial"/>
        </w:rPr>
        <w:t>Placee</w:t>
      </w:r>
      <w:proofErr w:type="spellEnd"/>
      <w:r w:rsidRPr="00DE5D68" w:rsidR="00DB5267">
        <w:rPr>
          <w:rFonts w:cs="Arial"/>
        </w:rPr>
        <w:t xml:space="preserve"> to agree to such further terms and/or conditions and/or give such additional warranties and/or representations as it (in its absolute discretion) sees fit and may require any such </w:t>
      </w:r>
      <w:proofErr w:type="spellStart"/>
      <w:r w:rsidRPr="00DE5D68" w:rsidR="00DB5267">
        <w:rPr>
          <w:rFonts w:cs="Arial"/>
        </w:rPr>
        <w:t>Placee</w:t>
      </w:r>
      <w:proofErr w:type="spellEnd"/>
      <w:r w:rsidRPr="00DE5D68" w:rsidR="00DB5267">
        <w:rPr>
          <w:rFonts w:cs="Arial"/>
        </w:rPr>
        <w:t xml:space="preserve"> to execute a separate placing letter</w:t>
      </w:r>
      <w:r w:rsidRPr="00DE5D68" w:rsidR="00C12D8F">
        <w:rPr>
          <w:rFonts w:cs="Arial"/>
        </w:rPr>
        <w:t xml:space="preserve"> ("</w:t>
      </w:r>
      <w:r w:rsidRPr="00DE5D68" w:rsidR="00C12D8F">
        <w:rPr>
          <w:rFonts w:cs="Arial"/>
          <w:b/>
        </w:rPr>
        <w:t>Placing Letter</w:t>
      </w:r>
      <w:r w:rsidRPr="00DE5D68" w:rsidR="00C12D8F">
        <w:rPr>
          <w:rFonts w:cs="Arial"/>
        </w:rPr>
        <w:t>")</w:t>
      </w:r>
      <w:r w:rsidRPr="00DE5D68" w:rsidR="00DB5267">
        <w:rPr>
          <w:rFonts w:cs="Arial"/>
        </w:rPr>
        <w:t>.</w:t>
      </w:r>
    </w:p>
    <w:p w:rsidRPr="00DE5D68" w:rsidR="006C50CA" w:rsidP="003D1033" w:rsidRDefault="006C50CA" w14:paraId="7EC08A1D" w14:textId="749771CA">
      <w:pPr>
        <w:pStyle w:val="Heading1"/>
        <w:tabs>
          <w:tab w:val="clear" w:pos="1134"/>
          <w:tab w:val="num" w:pos="709"/>
        </w:tabs>
        <w:rPr>
          <w:rFonts w:cs="Arial"/>
          <w:caps w:val="0"/>
        </w:rPr>
      </w:pPr>
      <w:r w:rsidRPr="00DE5D68">
        <w:rPr>
          <w:rFonts w:cs="Arial"/>
          <w:caps w:val="0"/>
        </w:rPr>
        <w:t>AGREEMENT TO SUBSCRIBE FOR</w:t>
      </w:r>
      <w:r w:rsidRPr="00DE5D68" w:rsidR="007008BD">
        <w:rPr>
          <w:rFonts w:cs="Arial"/>
          <w:caps w:val="0"/>
        </w:rPr>
        <w:t xml:space="preserve"> </w:t>
      </w:r>
      <w:r w:rsidR="0094544D">
        <w:rPr>
          <w:rFonts w:cs="Arial"/>
          <w:caps w:val="0"/>
        </w:rPr>
        <w:t xml:space="preserve">ORDINARY </w:t>
      </w:r>
      <w:r w:rsidRPr="00DE5D68" w:rsidR="00E532DA">
        <w:rPr>
          <w:rFonts w:cs="Arial"/>
          <w:caps w:val="0"/>
        </w:rPr>
        <w:t>SHARES</w:t>
      </w:r>
    </w:p>
    <w:p w:rsidRPr="00DE5D68" w:rsidR="00ED31ED" w:rsidP="007944C6" w:rsidRDefault="00DB5267" w14:paraId="1EC38796" w14:textId="2A78F8FA">
      <w:pPr>
        <w:pStyle w:val="Heading2"/>
        <w:rPr>
          <w:rFonts w:cs="Arial"/>
        </w:rPr>
      </w:pPr>
      <w:r w:rsidRPr="00DE5D68">
        <w:rPr>
          <w:rFonts w:cs="Arial"/>
        </w:rPr>
        <w:t>Conditional on, amongst other things: (</w:t>
      </w:r>
      <w:proofErr w:type="spellStart"/>
      <w:r w:rsidRPr="00DE5D68">
        <w:rPr>
          <w:rFonts w:cs="Arial"/>
        </w:rPr>
        <w:t>i</w:t>
      </w:r>
      <w:proofErr w:type="spellEnd"/>
      <w:r w:rsidRPr="00DE5D68">
        <w:rPr>
          <w:rFonts w:cs="Arial"/>
        </w:rPr>
        <w:t>)</w:t>
      </w:r>
      <w:r w:rsidRPr="00DE5D68" w:rsidR="00ED31ED">
        <w:rPr>
          <w:rFonts w:cs="Arial"/>
        </w:rPr>
        <w:t xml:space="preserve"> in respect of the Initial Placing only,</w:t>
      </w:r>
      <w:r w:rsidRPr="00DE5D68">
        <w:rPr>
          <w:rFonts w:cs="Arial"/>
        </w:rPr>
        <w:t xml:space="preserve"> </w:t>
      </w:r>
      <w:r w:rsidRPr="00DE5D68" w:rsidR="00ED31ED">
        <w:rPr>
          <w:rFonts w:cs="Arial"/>
        </w:rPr>
        <w:t xml:space="preserve">Initial </w:t>
      </w:r>
      <w:r w:rsidRPr="00DE5D68">
        <w:rPr>
          <w:rFonts w:cs="Arial"/>
        </w:rPr>
        <w:t>Admission occurring and becoming effective by 8</w:t>
      </w:r>
      <w:r w:rsidRPr="00DE5D68" w:rsidR="00ED31ED">
        <w:rPr>
          <w:rFonts w:cs="Arial"/>
        </w:rPr>
        <w:t xml:space="preserve">.00 a.m. on or prior to </w:t>
      </w:r>
      <w:r w:rsidR="0055680D">
        <w:rPr>
          <w:rFonts w:cs="Arial"/>
        </w:rPr>
        <w:t>2</w:t>
      </w:r>
      <w:r w:rsidR="00C615BB">
        <w:rPr>
          <w:rFonts w:cs="Arial"/>
        </w:rPr>
        <w:t>5</w:t>
      </w:r>
      <w:r w:rsidRPr="00DE5D68" w:rsidR="00ED31ED">
        <w:rPr>
          <w:rFonts w:cs="Arial"/>
        </w:rPr>
        <w:t xml:space="preserve"> </w:t>
      </w:r>
      <w:r w:rsidR="001942D0">
        <w:rPr>
          <w:rFonts w:cs="Arial"/>
        </w:rPr>
        <w:t xml:space="preserve">February </w:t>
      </w:r>
      <w:r w:rsidR="0094544D">
        <w:rPr>
          <w:rFonts w:cs="Arial"/>
        </w:rPr>
        <w:t>202</w:t>
      </w:r>
      <w:r w:rsidR="005666F9">
        <w:rPr>
          <w:rFonts w:cs="Arial"/>
        </w:rPr>
        <w:t>5</w:t>
      </w:r>
      <w:r w:rsidRPr="00DE5D68" w:rsidR="00ED31ED">
        <w:rPr>
          <w:rFonts w:cs="Arial"/>
        </w:rPr>
        <w:t xml:space="preserve"> </w:t>
      </w:r>
      <w:r w:rsidRPr="00DE5D68">
        <w:rPr>
          <w:rFonts w:cs="Arial"/>
        </w:rPr>
        <w:t xml:space="preserve">(or such later time and/or date, not being later than </w:t>
      </w:r>
      <w:r w:rsidR="007A1FC2">
        <w:rPr>
          <w:rFonts w:cs="Arial"/>
        </w:rPr>
        <w:t>31 March</w:t>
      </w:r>
      <w:r w:rsidR="001942D0">
        <w:rPr>
          <w:rFonts w:cs="Arial"/>
        </w:rPr>
        <w:t xml:space="preserve"> </w:t>
      </w:r>
      <w:r w:rsidR="0094544D">
        <w:rPr>
          <w:rFonts w:cs="Arial"/>
        </w:rPr>
        <w:t>202</w:t>
      </w:r>
      <w:r w:rsidR="005666F9">
        <w:rPr>
          <w:rFonts w:cs="Arial"/>
        </w:rPr>
        <w:t>5</w:t>
      </w:r>
      <w:r w:rsidRPr="00DE5D68">
        <w:rPr>
          <w:rFonts w:cs="Arial"/>
        </w:rPr>
        <w:t xml:space="preserve">, as specified by </w:t>
      </w:r>
      <w:r w:rsidR="00DD0C05">
        <w:rPr>
          <w:rFonts w:cs="Arial"/>
        </w:rPr>
        <w:t>Singer Capital Markets</w:t>
      </w:r>
      <w:r w:rsidRPr="00DE5D68">
        <w:rPr>
          <w:rFonts w:cs="Arial"/>
        </w:rPr>
        <w:t xml:space="preserve">); </w:t>
      </w:r>
      <w:r w:rsidRPr="00DE5D68" w:rsidR="000C651E">
        <w:rPr>
          <w:rFonts w:cs="Arial"/>
        </w:rPr>
        <w:t>(i</w:t>
      </w:r>
      <w:r w:rsidRPr="00DE5D68">
        <w:rPr>
          <w:rFonts w:cs="Arial"/>
        </w:rPr>
        <w:t xml:space="preserve">i) </w:t>
      </w:r>
      <w:r w:rsidRPr="00DE5D68" w:rsidR="00ED31ED">
        <w:rPr>
          <w:rFonts w:cs="Arial"/>
        </w:rPr>
        <w:t xml:space="preserve">in respect of a Subsequent Placing only, Admission of the </w:t>
      </w:r>
      <w:r w:rsidR="0094544D">
        <w:rPr>
          <w:rFonts w:cs="Arial"/>
        </w:rPr>
        <w:t xml:space="preserve">Ordinary </w:t>
      </w:r>
      <w:r w:rsidRPr="00DE5D68" w:rsidR="00E532DA">
        <w:rPr>
          <w:rFonts w:cs="Arial"/>
        </w:rPr>
        <w:t>Shares</w:t>
      </w:r>
      <w:r w:rsidRPr="00DE5D68" w:rsidR="00ED31ED">
        <w:rPr>
          <w:rFonts w:cs="Arial"/>
        </w:rPr>
        <w:t xml:space="preserve"> issued pursuant to the relevant Subsequent Placing occurring and becoming effective by 8.00 a.m. on or prior to the date agreed by the Company and </w:t>
      </w:r>
      <w:r w:rsidR="00DD0C05">
        <w:rPr>
          <w:rFonts w:cs="Arial"/>
        </w:rPr>
        <w:t>Singer Capital Markets</w:t>
      </w:r>
      <w:r w:rsidRPr="00DE5D68" w:rsidR="00ED31ED">
        <w:rPr>
          <w:rFonts w:cs="Arial"/>
        </w:rPr>
        <w:t xml:space="preserve"> in respect of that Subsequent Placing, not being later than </w:t>
      </w:r>
      <w:r w:rsidR="00D372D0">
        <w:rPr>
          <w:rFonts w:cs="Arial"/>
        </w:rPr>
        <w:t>1</w:t>
      </w:r>
      <w:r w:rsidR="00C615BB">
        <w:rPr>
          <w:rFonts w:cs="Arial"/>
        </w:rPr>
        <w:t>9</w:t>
      </w:r>
      <w:r w:rsidRPr="00DE5D68" w:rsidR="00ED31ED">
        <w:rPr>
          <w:rFonts w:cs="Arial"/>
        </w:rPr>
        <w:t xml:space="preserve"> </w:t>
      </w:r>
      <w:r w:rsidR="001942D0">
        <w:rPr>
          <w:rFonts w:cs="Arial"/>
        </w:rPr>
        <w:t xml:space="preserve">February </w:t>
      </w:r>
      <w:r w:rsidR="0094544D">
        <w:rPr>
          <w:rFonts w:cs="Arial"/>
        </w:rPr>
        <w:t>202</w:t>
      </w:r>
      <w:r w:rsidR="00874545">
        <w:rPr>
          <w:rFonts w:cs="Arial"/>
        </w:rPr>
        <w:t>6</w:t>
      </w:r>
      <w:r w:rsidRPr="00DE5D68" w:rsidR="00ED31ED">
        <w:rPr>
          <w:rFonts w:cs="Arial"/>
        </w:rPr>
        <w:t>; (iii) in the case of the Initial Placing, the Min</w:t>
      </w:r>
      <w:r w:rsidRPr="00DE5D68" w:rsidR="00792D2F">
        <w:rPr>
          <w:rFonts w:cs="Arial"/>
        </w:rPr>
        <w:t>imum Gross Proceeds (being £</w:t>
      </w:r>
      <w:r w:rsidR="00893EA6">
        <w:rPr>
          <w:rStyle w:val="Level3asHeadingtext"/>
          <w:rFonts w:cs="Arial"/>
          <w:b w:val="0"/>
        </w:rPr>
        <w:t>54</w:t>
      </w:r>
      <w:r w:rsidRPr="00DE5D68" w:rsidR="00ED31ED">
        <w:rPr>
          <w:rFonts w:cs="Arial"/>
        </w:rPr>
        <w:t xml:space="preserve"> million) (or such lesser amount as the Company and </w:t>
      </w:r>
      <w:r w:rsidR="00DD0C05">
        <w:rPr>
          <w:rFonts w:cs="Arial"/>
        </w:rPr>
        <w:t>Singer Capital Markets</w:t>
      </w:r>
      <w:r w:rsidRPr="00DE5D68" w:rsidR="00ED31ED">
        <w:rPr>
          <w:rFonts w:cs="Arial"/>
        </w:rPr>
        <w:t xml:space="preserve"> may agree) being rai</w:t>
      </w:r>
      <w:r w:rsidR="0094544D">
        <w:rPr>
          <w:rFonts w:cs="Arial"/>
        </w:rPr>
        <w:t xml:space="preserve">sed; (iv) the </w:t>
      </w:r>
      <w:r w:rsidR="00020807">
        <w:rPr>
          <w:rFonts w:cs="Arial"/>
        </w:rPr>
        <w:t>Placing Agreement</w:t>
      </w:r>
      <w:r w:rsidRPr="00DE5D68" w:rsidR="00ED31ED">
        <w:rPr>
          <w:rFonts w:cs="Arial"/>
        </w:rPr>
        <w:t xml:space="preserve"> becoming otherwise unconditional in all respects in respect of the Initial Placing or the relevant Subsequent Placing, as applicable and, not having been terminated on or before the date of the Initial Placing or the relevant </w:t>
      </w:r>
      <w:r w:rsidR="00640CB6">
        <w:rPr>
          <w:rFonts w:cs="Arial"/>
        </w:rPr>
        <w:fldChar w:fldCharType="begin">
          <w:fldData xml:space="preserve">dgAxAHwAMQAwADAAOAAwAHwAUwB1AGIAcwBlAHEAdQBlAG4AdAAgAFAAbABhAGMAaQBuAGcAOwAg
AGEAbgBkACAAKAB2ACkAIABMAGkAYgBlAHIAdQBtAHwAQQBtAGIAaQBnAC0AMQAwADAAOAAwAHwA
fAA=
</w:fldData>
        </w:fldChar>
      </w:r>
      <w:r w:rsidR="00640CB6">
        <w:rPr>
          <w:rFonts w:cs="Arial"/>
        </w:rPr>
        <w:instrText xml:space="preserve"> ADDIN CiteCheck Marker </w:instrText>
      </w:r>
      <w:r w:rsidR="00640CB6">
        <w:rPr>
          <w:rFonts w:cs="Arial"/>
        </w:rPr>
      </w:r>
      <w:r w:rsidR="00640CB6">
        <w:rPr>
          <w:rFonts w:cs="Arial"/>
        </w:rPr>
        <w:fldChar w:fldCharType="end"/>
      </w:r>
      <w:r w:rsidRPr="00DE5D68" w:rsidR="00ED31ED">
        <w:rPr>
          <w:rFonts w:cs="Arial"/>
        </w:rPr>
        <w:t xml:space="preserve">Subsequent Placing; and (v) </w:t>
      </w:r>
      <w:r w:rsidR="00DD0C05">
        <w:rPr>
          <w:rFonts w:cs="Arial"/>
        </w:rPr>
        <w:t>Singer Capital Markets</w:t>
      </w:r>
      <w:r w:rsidRPr="00DE5D68" w:rsidR="00ED31ED">
        <w:rPr>
          <w:rFonts w:cs="Arial"/>
        </w:rPr>
        <w:t xml:space="preserve"> confirming to the </w:t>
      </w:r>
      <w:proofErr w:type="spellStart"/>
      <w:r w:rsidRPr="00DE5D68" w:rsidR="00ED31ED">
        <w:rPr>
          <w:rFonts w:cs="Arial"/>
        </w:rPr>
        <w:t>Placees</w:t>
      </w:r>
      <w:proofErr w:type="spellEnd"/>
      <w:r w:rsidRPr="00DE5D68" w:rsidR="00ED31ED">
        <w:rPr>
          <w:rFonts w:cs="Arial"/>
        </w:rPr>
        <w:t xml:space="preserve"> their allocation of </w:t>
      </w:r>
      <w:r w:rsidR="0094544D">
        <w:rPr>
          <w:rFonts w:cs="Arial"/>
        </w:rPr>
        <w:t xml:space="preserve">Ordinary </w:t>
      </w:r>
      <w:r w:rsidRPr="00DE5D68" w:rsidR="00E532DA">
        <w:rPr>
          <w:rFonts w:cs="Arial"/>
        </w:rPr>
        <w:t>Shares</w:t>
      </w:r>
      <w:r w:rsidRPr="00DE5D68" w:rsidR="00ED31ED">
        <w:rPr>
          <w:rFonts w:cs="Arial"/>
        </w:rPr>
        <w:t xml:space="preserve">, a </w:t>
      </w:r>
      <w:proofErr w:type="spellStart"/>
      <w:r w:rsidRPr="00DE5D68" w:rsidR="00ED31ED">
        <w:rPr>
          <w:rFonts w:cs="Arial"/>
        </w:rPr>
        <w:t>Placee</w:t>
      </w:r>
      <w:proofErr w:type="spellEnd"/>
      <w:r w:rsidRPr="00DE5D68" w:rsidR="00ED31ED">
        <w:rPr>
          <w:rFonts w:cs="Arial"/>
        </w:rPr>
        <w:t xml:space="preserve"> agrees to become a Shareholder of the Company and agrees to subscribe for those </w:t>
      </w:r>
      <w:r w:rsidR="0094544D">
        <w:rPr>
          <w:rFonts w:cs="Arial"/>
        </w:rPr>
        <w:t xml:space="preserve">Ordinary </w:t>
      </w:r>
      <w:r w:rsidRPr="00DE5D68" w:rsidR="00E532DA">
        <w:rPr>
          <w:rFonts w:cs="Arial"/>
        </w:rPr>
        <w:t>Shares</w:t>
      </w:r>
      <w:r w:rsidRPr="00DE5D68" w:rsidR="00ED31ED">
        <w:rPr>
          <w:rFonts w:cs="Arial"/>
        </w:rPr>
        <w:t xml:space="preserve"> allocated to it by </w:t>
      </w:r>
      <w:r w:rsidR="00DD0C05">
        <w:rPr>
          <w:rFonts w:cs="Arial"/>
        </w:rPr>
        <w:t>Singer Capital Markets</w:t>
      </w:r>
      <w:r w:rsidRPr="00DE5D68" w:rsidR="00ED31ED">
        <w:rPr>
          <w:rFonts w:cs="Arial"/>
        </w:rPr>
        <w:t xml:space="preserve"> at the Issue Price or applicable Placing Programme Price. To the fullest extent permitted by law, each </w:t>
      </w:r>
      <w:proofErr w:type="spellStart"/>
      <w:r w:rsidRPr="00DE5D68" w:rsidR="00ED31ED">
        <w:rPr>
          <w:rFonts w:cs="Arial"/>
        </w:rPr>
        <w:t>Placee</w:t>
      </w:r>
      <w:proofErr w:type="spellEnd"/>
      <w:r w:rsidRPr="00DE5D68" w:rsidR="00ED31ED">
        <w:rPr>
          <w:rFonts w:cs="Arial"/>
        </w:rPr>
        <w:t xml:space="preserve"> acknowledges and agrees that it will not be entitled to exercise any remedy of </w:t>
      </w:r>
      <w:r w:rsidRPr="00DE5D68" w:rsidR="003D57CD">
        <w:rPr>
          <w:rFonts w:cs="Arial"/>
        </w:rPr>
        <w:t>rescission</w:t>
      </w:r>
      <w:r w:rsidRPr="00DE5D68" w:rsidR="00ED31ED">
        <w:rPr>
          <w:rFonts w:cs="Arial"/>
        </w:rPr>
        <w:t xml:space="preserve"> at any time. This does not affect any other rights the </w:t>
      </w:r>
      <w:proofErr w:type="spellStart"/>
      <w:r w:rsidRPr="00DE5D68" w:rsidR="00ED31ED">
        <w:rPr>
          <w:rFonts w:cs="Arial"/>
        </w:rPr>
        <w:t>Placee</w:t>
      </w:r>
      <w:proofErr w:type="spellEnd"/>
      <w:r w:rsidRPr="00DE5D68" w:rsidR="00ED31ED">
        <w:rPr>
          <w:rFonts w:cs="Arial"/>
        </w:rPr>
        <w:t xml:space="preserve"> may have. </w:t>
      </w:r>
    </w:p>
    <w:p w:rsidRPr="00DE5D68" w:rsidR="00DB5267" w:rsidP="007944C6" w:rsidRDefault="00DB5267" w14:paraId="234CC527" w14:textId="174AB269">
      <w:pPr>
        <w:pStyle w:val="Heading2"/>
        <w:rPr>
          <w:rFonts w:cs="Arial"/>
        </w:rPr>
      </w:pPr>
      <w:r w:rsidRPr="00DE5D68">
        <w:rPr>
          <w:rFonts w:cs="Arial"/>
        </w:rPr>
        <w:t>Applications under the</w:t>
      </w:r>
      <w:r w:rsidRPr="00DE5D68" w:rsidR="003D57CD">
        <w:rPr>
          <w:rFonts w:cs="Arial"/>
        </w:rPr>
        <w:t xml:space="preserve"> Initial</w:t>
      </w:r>
      <w:r w:rsidRPr="00DE5D68">
        <w:rPr>
          <w:rFonts w:cs="Arial"/>
        </w:rPr>
        <w:t xml:space="preserve"> Placing </w:t>
      </w:r>
      <w:r w:rsidRPr="00DE5D68" w:rsidR="003D57CD">
        <w:rPr>
          <w:rFonts w:cs="Arial"/>
        </w:rPr>
        <w:t xml:space="preserve">and any Subsequent Placing </w:t>
      </w:r>
      <w:r w:rsidRPr="00DE5D68">
        <w:rPr>
          <w:rFonts w:cs="Arial"/>
        </w:rPr>
        <w:t xml:space="preserve">must be for a minimum subscription amount of </w:t>
      </w:r>
      <w:r w:rsidRPr="00DE5D68" w:rsidR="003D57CD">
        <w:rPr>
          <w:rFonts w:cs="Arial"/>
        </w:rPr>
        <w:t>£</w:t>
      </w:r>
      <w:r w:rsidR="005666F9">
        <w:rPr>
          <w:rFonts w:cs="Arial"/>
        </w:rPr>
        <w:t>1,000</w:t>
      </w:r>
      <w:r w:rsidRPr="00DE5D68" w:rsidR="000361D4">
        <w:rPr>
          <w:rFonts w:cs="Arial"/>
        </w:rPr>
        <w:t>.</w:t>
      </w:r>
    </w:p>
    <w:p w:rsidRPr="00DE5D68" w:rsidR="00DB5267" w:rsidP="007944C6" w:rsidRDefault="00DB5267" w14:paraId="53342C9A" w14:textId="27AB3772">
      <w:pPr>
        <w:pStyle w:val="Heading2"/>
        <w:rPr>
          <w:rFonts w:cs="Arial"/>
        </w:rPr>
      </w:pPr>
      <w:r w:rsidRPr="00DE5D68">
        <w:rPr>
          <w:rFonts w:cs="Arial"/>
        </w:rPr>
        <w:t xml:space="preserve">Any commitment to acquire </w:t>
      </w:r>
      <w:r w:rsidR="0094544D">
        <w:rPr>
          <w:rFonts w:cs="Arial"/>
        </w:rPr>
        <w:t xml:space="preserve">Ordinary </w:t>
      </w:r>
      <w:r w:rsidRPr="00DE5D68" w:rsidR="00E532DA">
        <w:rPr>
          <w:rFonts w:cs="Arial"/>
        </w:rPr>
        <w:t>Shares</w:t>
      </w:r>
      <w:r w:rsidRPr="00DE5D68" w:rsidR="000C651E">
        <w:rPr>
          <w:rFonts w:cs="Arial"/>
        </w:rPr>
        <w:t xml:space="preserve"> under the </w:t>
      </w:r>
      <w:r w:rsidRPr="00DE5D68" w:rsidR="003D57CD">
        <w:rPr>
          <w:rFonts w:cs="Arial"/>
        </w:rPr>
        <w:t xml:space="preserve">Initial </w:t>
      </w:r>
      <w:r w:rsidRPr="00DE5D68">
        <w:rPr>
          <w:rFonts w:cs="Arial"/>
        </w:rPr>
        <w:t>Placing</w:t>
      </w:r>
      <w:r w:rsidRPr="00DE5D68" w:rsidR="003D57CD">
        <w:rPr>
          <w:rFonts w:cs="Arial"/>
        </w:rPr>
        <w:t xml:space="preserve"> and/or any Subsequent Placing</w:t>
      </w:r>
      <w:r w:rsidRPr="00DE5D68">
        <w:rPr>
          <w:rFonts w:cs="Arial"/>
        </w:rPr>
        <w:t xml:space="preserve"> agreed orally with </w:t>
      </w:r>
      <w:r w:rsidR="00DD0C05">
        <w:rPr>
          <w:rFonts w:cs="Arial"/>
        </w:rPr>
        <w:t>Singer Capital Markets</w:t>
      </w:r>
      <w:r w:rsidRPr="00DE5D68">
        <w:rPr>
          <w:rFonts w:cs="Arial"/>
        </w:rPr>
        <w:t xml:space="preserve">, as agent for the Company, will constitute an irrevocable, legally binding commitment upon that person (who at that point will become a </w:t>
      </w:r>
      <w:proofErr w:type="spellStart"/>
      <w:r w:rsidRPr="00DE5D68">
        <w:rPr>
          <w:rFonts w:cs="Arial"/>
        </w:rPr>
        <w:t>Placee</w:t>
      </w:r>
      <w:proofErr w:type="spellEnd"/>
      <w:r w:rsidRPr="00DE5D68">
        <w:rPr>
          <w:rFonts w:cs="Arial"/>
        </w:rPr>
        <w:t xml:space="preserve">) in favour of the Company and </w:t>
      </w:r>
      <w:r w:rsidR="00DD0C05">
        <w:rPr>
          <w:rFonts w:cs="Arial"/>
        </w:rPr>
        <w:t>Singer Capital Markets</w:t>
      </w:r>
      <w:r w:rsidRPr="00DE5D68">
        <w:rPr>
          <w:rFonts w:cs="Arial"/>
        </w:rPr>
        <w:t xml:space="preserve">, to subscribe for the number of </w:t>
      </w:r>
      <w:r w:rsidR="0094544D">
        <w:rPr>
          <w:rFonts w:cs="Arial"/>
        </w:rPr>
        <w:t xml:space="preserve">Ordinary </w:t>
      </w:r>
      <w:r w:rsidRPr="00DE5D68" w:rsidR="00E532DA">
        <w:rPr>
          <w:rFonts w:cs="Arial"/>
        </w:rPr>
        <w:t>Shares</w:t>
      </w:r>
      <w:r w:rsidRPr="00DE5D68">
        <w:rPr>
          <w:rFonts w:cs="Arial"/>
        </w:rPr>
        <w:t xml:space="preserve"> allocated to it on the terms and subject to the conditions set out in this </w:t>
      </w:r>
      <w:r w:rsidR="00637905">
        <w:rPr>
          <w:rFonts w:cs="Arial"/>
        </w:rPr>
        <w:fldChar w:fldCharType="begin" w:fldLock="1"/>
      </w:r>
      <w:r w:rsidR="00637905">
        <w:rPr>
          <w:rFonts w:cs="Arial"/>
        </w:rPr>
        <w:instrText xml:space="preserve"> REF _Ref65764989 \n \h </w:instrText>
      </w:r>
      <w:r w:rsidR="00637905">
        <w:rPr>
          <w:rFonts w:cs="Arial"/>
        </w:rPr>
      </w:r>
      <w:r w:rsidR="00637905">
        <w:rPr>
          <w:rFonts w:cs="Arial"/>
        </w:rPr>
        <w:fldChar w:fldCharType="separate"/>
      </w:r>
      <w:r w:rsidR="00DA4048">
        <w:rPr>
          <w:rFonts w:cs="Arial"/>
        </w:rPr>
        <w:t>Part 8</w:t>
      </w:r>
      <w:r w:rsidR="00637905">
        <w:rPr>
          <w:rFonts w:cs="Arial"/>
        </w:rPr>
        <w:fldChar w:fldCharType="end"/>
      </w:r>
      <w:r w:rsidRPr="00DE5D68" w:rsidR="00C7483A">
        <w:rPr>
          <w:rFonts w:cs="Arial"/>
        </w:rPr>
        <w:t xml:space="preserve"> </w:t>
      </w:r>
      <w:r w:rsidRPr="00DE5D68">
        <w:rPr>
          <w:rFonts w:cs="Arial"/>
        </w:rPr>
        <w:t>and</w:t>
      </w:r>
      <w:r w:rsidRPr="00DE5D68" w:rsidR="00C12D8F">
        <w:rPr>
          <w:rFonts w:cs="Arial"/>
        </w:rPr>
        <w:t xml:space="preserve"> </w:t>
      </w:r>
      <w:r w:rsidRPr="00DE5D68" w:rsidR="00261074">
        <w:rPr>
          <w:rFonts w:cs="Arial"/>
        </w:rPr>
        <w:t>the contract note or oral or email placing confirmation as applicable (for the purpo</w:t>
      </w:r>
      <w:r w:rsidRPr="00DE5D68" w:rsidR="005D33A8">
        <w:rPr>
          <w:rFonts w:cs="Arial"/>
        </w:rPr>
        <w:t xml:space="preserve">se of this Part </w:t>
      </w:r>
      <w:r w:rsidR="0094544D">
        <w:rPr>
          <w:rFonts w:cs="Arial"/>
        </w:rPr>
        <w:t>8</w:t>
      </w:r>
      <w:r w:rsidRPr="00DE5D68" w:rsidR="00261074">
        <w:rPr>
          <w:rFonts w:cs="Arial"/>
        </w:rPr>
        <w:t>, the "</w:t>
      </w:r>
      <w:r w:rsidRPr="00DE5D68" w:rsidR="00261074">
        <w:rPr>
          <w:rFonts w:cs="Arial"/>
          <w:b/>
        </w:rPr>
        <w:t>Contract Note</w:t>
      </w:r>
      <w:r w:rsidRPr="00DE5D68" w:rsidR="00261074">
        <w:rPr>
          <w:rFonts w:cs="Arial"/>
        </w:rPr>
        <w:t>" or the "</w:t>
      </w:r>
      <w:r w:rsidRPr="00DE5D68" w:rsidR="00261074">
        <w:rPr>
          <w:rFonts w:cs="Arial"/>
          <w:b/>
        </w:rPr>
        <w:t>Placing Confirmation</w:t>
      </w:r>
      <w:r w:rsidRPr="00DE5D68" w:rsidR="00261074">
        <w:rPr>
          <w:rFonts w:cs="Arial"/>
        </w:rPr>
        <w:t xml:space="preserve">") </w:t>
      </w:r>
      <w:r w:rsidRPr="00DE5D68">
        <w:rPr>
          <w:rFonts w:cs="Arial"/>
        </w:rPr>
        <w:t xml:space="preserve">and in accordance with the Articles. Except with the consent of </w:t>
      </w:r>
      <w:r w:rsidR="00DD0C05">
        <w:rPr>
          <w:rFonts w:cs="Arial"/>
        </w:rPr>
        <w:t>Singer Capital Markets</w:t>
      </w:r>
      <w:r w:rsidRPr="00DE5D68">
        <w:rPr>
          <w:rFonts w:cs="Arial"/>
        </w:rPr>
        <w:t>, such oral commitment will not be capable of variation or revocation after the time at which it is made.</w:t>
      </w:r>
      <w:r w:rsidRPr="00DE5D68" w:rsidR="003D57CD">
        <w:rPr>
          <w:rFonts w:cs="Arial"/>
        </w:rPr>
        <w:t xml:space="preserve"> </w:t>
      </w:r>
    </w:p>
    <w:p w:rsidRPr="00DE5D68" w:rsidR="00DB5267" w:rsidP="007944C6" w:rsidRDefault="00DB5267" w14:paraId="139FFC12" w14:textId="709EE636">
      <w:pPr>
        <w:pStyle w:val="Heading2"/>
        <w:rPr>
          <w:rFonts w:cs="Arial"/>
        </w:rPr>
      </w:pPr>
      <w:r w:rsidRPr="00DE5D68">
        <w:rPr>
          <w:rFonts w:cs="Arial"/>
        </w:rPr>
        <w:t xml:space="preserve">Each </w:t>
      </w:r>
      <w:proofErr w:type="spellStart"/>
      <w:r w:rsidRPr="00DE5D68">
        <w:rPr>
          <w:rFonts w:cs="Arial"/>
        </w:rPr>
        <w:t>Placee’s</w:t>
      </w:r>
      <w:proofErr w:type="spellEnd"/>
      <w:r w:rsidRPr="00DE5D68">
        <w:rPr>
          <w:rFonts w:cs="Arial"/>
        </w:rPr>
        <w:t xml:space="preserve"> allocation of </w:t>
      </w:r>
      <w:r w:rsidR="0094544D">
        <w:rPr>
          <w:rFonts w:cs="Arial"/>
        </w:rPr>
        <w:t xml:space="preserve">Ordinary </w:t>
      </w:r>
      <w:r w:rsidRPr="00DE5D68" w:rsidR="00E532DA">
        <w:rPr>
          <w:rFonts w:cs="Arial"/>
        </w:rPr>
        <w:t>Shares</w:t>
      </w:r>
      <w:r w:rsidRPr="00DE5D68" w:rsidR="000C651E">
        <w:rPr>
          <w:rFonts w:cs="Arial"/>
        </w:rPr>
        <w:t xml:space="preserve"> under the </w:t>
      </w:r>
      <w:r w:rsidRPr="00DE5D68" w:rsidR="003D57CD">
        <w:rPr>
          <w:rFonts w:cs="Arial"/>
        </w:rPr>
        <w:t xml:space="preserve">Initial </w:t>
      </w:r>
      <w:r w:rsidRPr="00DE5D68">
        <w:rPr>
          <w:rFonts w:cs="Arial"/>
        </w:rPr>
        <w:t>Placing</w:t>
      </w:r>
      <w:r w:rsidRPr="00DE5D68" w:rsidR="003D57CD">
        <w:rPr>
          <w:rFonts w:cs="Arial"/>
        </w:rPr>
        <w:t xml:space="preserve"> and/or any Subsequent Placing</w:t>
      </w:r>
      <w:r w:rsidRPr="00DE5D68">
        <w:rPr>
          <w:rFonts w:cs="Arial"/>
        </w:rPr>
        <w:t xml:space="preserve"> will be evidenced by a Contract Note confirming: (</w:t>
      </w:r>
      <w:proofErr w:type="spellStart"/>
      <w:r w:rsidRPr="00DE5D68">
        <w:rPr>
          <w:rFonts w:cs="Arial"/>
        </w:rPr>
        <w:t>i</w:t>
      </w:r>
      <w:proofErr w:type="spellEnd"/>
      <w:r w:rsidRPr="00DE5D68">
        <w:rPr>
          <w:rFonts w:cs="Arial"/>
        </w:rPr>
        <w:t xml:space="preserve">) the number of </w:t>
      </w:r>
      <w:r w:rsidR="0094544D">
        <w:rPr>
          <w:rFonts w:cs="Arial"/>
        </w:rPr>
        <w:t xml:space="preserve">Ordinary </w:t>
      </w:r>
      <w:r w:rsidRPr="00DE5D68" w:rsidR="00E532DA">
        <w:rPr>
          <w:rFonts w:cs="Arial"/>
        </w:rPr>
        <w:t>Shares</w:t>
      </w:r>
      <w:r w:rsidRPr="00DE5D68">
        <w:rPr>
          <w:rFonts w:cs="Arial"/>
        </w:rPr>
        <w:t xml:space="preserve"> that such </w:t>
      </w:r>
      <w:proofErr w:type="spellStart"/>
      <w:r w:rsidRPr="00DE5D68">
        <w:rPr>
          <w:rFonts w:cs="Arial"/>
        </w:rPr>
        <w:t>Placee</w:t>
      </w:r>
      <w:proofErr w:type="spellEnd"/>
      <w:r w:rsidRPr="00DE5D68">
        <w:rPr>
          <w:rFonts w:cs="Arial"/>
        </w:rPr>
        <w:t xml:space="preserve"> has agreed to acquire; (ii) the aggregate amount that such </w:t>
      </w:r>
      <w:proofErr w:type="spellStart"/>
      <w:r w:rsidRPr="00DE5D68">
        <w:rPr>
          <w:rFonts w:cs="Arial"/>
        </w:rPr>
        <w:t>Placee</w:t>
      </w:r>
      <w:proofErr w:type="spellEnd"/>
      <w:r w:rsidRPr="00DE5D68">
        <w:rPr>
          <w:rFonts w:cs="Arial"/>
        </w:rPr>
        <w:t xml:space="preserve"> will be required to pay for such </w:t>
      </w:r>
      <w:r w:rsidR="0094544D">
        <w:rPr>
          <w:rFonts w:cs="Arial"/>
        </w:rPr>
        <w:t xml:space="preserve">Ordinary </w:t>
      </w:r>
      <w:r w:rsidRPr="00DE5D68" w:rsidR="00E532DA">
        <w:rPr>
          <w:rFonts w:cs="Arial"/>
        </w:rPr>
        <w:t>Shares</w:t>
      </w:r>
      <w:r w:rsidRPr="00DE5D68">
        <w:rPr>
          <w:rFonts w:cs="Arial"/>
        </w:rPr>
        <w:t>; and (ii</w:t>
      </w:r>
      <w:r w:rsidRPr="00DE5D68" w:rsidR="00FA60EF">
        <w:rPr>
          <w:rFonts w:cs="Arial"/>
        </w:rPr>
        <w:t>i</w:t>
      </w:r>
      <w:r w:rsidRPr="00DE5D68">
        <w:rPr>
          <w:rFonts w:cs="Arial"/>
        </w:rPr>
        <w:t xml:space="preserve">) settlement instructions to pay </w:t>
      </w:r>
      <w:r w:rsidR="00DD0C05">
        <w:rPr>
          <w:rFonts w:cs="Arial"/>
        </w:rPr>
        <w:t>Singer Capital Markets</w:t>
      </w:r>
      <w:r w:rsidRPr="00DE5D68">
        <w:rPr>
          <w:rFonts w:cs="Arial"/>
        </w:rPr>
        <w:t xml:space="preserve">, as agent for the Company. The provisions as set out in this </w:t>
      </w:r>
      <w:r w:rsidR="002473F7">
        <w:rPr>
          <w:rFonts w:cs="Arial"/>
        </w:rPr>
        <w:fldChar w:fldCharType="begin" w:fldLock="1"/>
      </w:r>
      <w:r w:rsidR="002473F7">
        <w:rPr>
          <w:rFonts w:cs="Arial"/>
        </w:rPr>
        <w:instrText xml:space="preserve"> REF _Ref65764989 \n \h </w:instrText>
      </w:r>
      <w:r w:rsidR="002473F7">
        <w:rPr>
          <w:rFonts w:cs="Arial"/>
        </w:rPr>
      </w:r>
      <w:r w:rsidR="002473F7">
        <w:rPr>
          <w:rFonts w:cs="Arial"/>
        </w:rPr>
        <w:fldChar w:fldCharType="separate"/>
      </w:r>
      <w:r w:rsidR="00DA4048">
        <w:rPr>
          <w:rFonts w:cs="Arial"/>
        </w:rPr>
        <w:t>Part 8</w:t>
      </w:r>
      <w:r w:rsidR="002473F7">
        <w:rPr>
          <w:rFonts w:cs="Arial"/>
        </w:rPr>
        <w:fldChar w:fldCharType="end"/>
      </w:r>
      <w:r w:rsidRPr="00DE5D68" w:rsidR="005D33A8">
        <w:rPr>
          <w:rFonts w:cs="Arial"/>
        </w:rPr>
        <w:t xml:space="preserve"> </w:t>
      </w:r>
      <w:r w:rsidRPr="00DE5D68">
        <w:rPr>
          <w:rFonts w:cs="Arial"/>
        </w:rPr>
        <w:t>will be deemed to be incorporated into that Contract Note.</w:t>
      </w:r>
    </w:p>
    <w:p w:rsidRPr="00DE5D68" w:rsidR="00DB5267" w:rsidP="007944C6" w:rsidRDefault="00DB5267" w14:paraId="7B95F622" w14:textId="2E5ED5E0">
      <w:pPr>
        <w:pStyle w:val="Heading2"/>
        <w:rPr>
          <w:rFonts w:cs="Arial"/>
        </w:rPr>
      </w:pPr>
      <w:r w:rsidRPr="00DE5D68">
        <w:rPr>
          <w:rFonts w:cs="Arial"/>
        </w:rPr>
        <w:t xml:space="preserve">If the Minimum Gross Proceeds </w:t>
      </w:r>
      <w:r w:rsidRPr="00DE5D68" w:rsidR="008A2E11">
        <w:rPr>
          <w:rFonts w:cs="Arial"/>
        </w:rPr>
        <w:t xml:space="preserve">(or such lesser amount as the Company and </w:t>
      </w:r>
      <w:r w:rsidR="00DD0C05">
        <w:rPr>
          <w:rFonts w:cs="Arial"/>
        </w:rPr>
        <w:t>Singer Capital Markets</w:t>
      </w:r>
      <w:r w:rsidRPr="00DE5D68" w:rsidR="00631C3F">
        <w:rPr>
          <w:rFonts w:cs="Arial"/>
        </w:rPr>
        <w:t xml:space="preserve"> </w:t>
      </w:r>
      <w:r w:rsidRPr="00DE5D68" w:rsidR="008A2E11">
        <w:rPr>
          <w:rFonts w:cs="Arial"/>
        </w:rPr>
        <w:t xml:space="preserve">may agree) </w:t>
      </w:r>
      <w:r w:rsidRPr="00DE5D68">
        <w:rPr>
          <w:rFonts w:cs="Arial"/>
        </w:rPr>
        <w:t>are not raised, the</w:t>
      </w:r>
      <w:r w:rsidRPr="00DE5D68" w:rsidR="003D57CD">
        <w:rPr>
          <w:rFonts w:cs="Arial"/>
        </w:rPr>
        <w:t xml:space="preserve"> Initial</w:t>
      </w:r>
      <w:r w:rsidRPr="00DE5D68">
        <w:rPr>
          <w:rFonts w:cs="Arial"/>
        </w:rPr>
        <w:t xml:space="preserve"> Placing will lapse and all proceeds will be returned to </w:t>
      </w:r>
      <w:proofErr w:type="spellStart"/>
      <w:r w:rsidRPr="00DE5D68">
        <w:rPr>
          <w:rFonts w:cs="Arial"/>
        </w:rPr>
        <w:t>Placees</w:t>
      </w:r>
      <w:proofErr w:type="spellEnd"/>
      <w:r w:rsidRPr="00DE5D68">
        <w:rPr>
          <w:rFonts w:cs="Arial"/>
        </w:rPr>
        <w:t xml:space="preserve"> without interest and at the </w:t>
      </w:r>
      <w:proofErr w:type="spellStart"/>
      <w:r w:rsidRPr="00DE5D68">
        <w:rPr>
          <w:rFonts w:cs="Arial"/>
        </w:rPr>
        <w:t>Placee’s</w:t>
      </w:r>
      <w:proofErr w:type="spellEnd"/>
      <w:r w:rsidRPr="00DE5D68">
        <w:rPr>
          <w:rFonts w:cs="Arial"/>
        </w:rPr>
        <w:t xml:space="preserve"> risk.</w:t>
      </w:r>
    </w:p>
    <w:p w:rsidRPr="00DE5D68" w:rsidR="006C50CA" w:rsidP="003D1033" w:rsidRDefault="006C50CA" w14:paraId="43106E03" w14:textId="42F0C1AB">
      <w:pPr>
        <w:pStyle w:val="Heading1"/>
        <w:tabs>
          <w:tab w:val="clear" w:pos="1134"/>
          <w:tab w:val="num" w:pos="709"/>
        </w:tabs>
        <w:rPr>
          <w:rFonts w:cs="Arial"/>
          <w:caps w:val="0"/>
        </w:rPr>
      </w:pPr>
      <w:r w:rsidRPr="00DE5D68">
        <w:rPr>
          <w:rFonts w:cs="Arial"/>
          <w:caps w:val="0"/>
        </w:rPr>
        <w:lastRenderedPageBreak/>
        <w:t xml:space="preserve">PAYMENT FOR </w:t>
      </w:r>
      <w:r w:rsidR="0094544D">
        <w:rPr>
          <w:rFonts w:cs="Arial"/>
          <w:caps w:val="0"/>
        </w:rPr>
        <w:t xml:space="preserve">ORDINARY </w:t>
      </w:r>
      <w:r w:rsidRPr="00DE5D68" w:rsidR="00E532DA">
        <w:rPr>
          <w:rFonts w:cs="Arial"/>
          <w:caps w:val="0"/>
        </w:rPr>
        <w:t>SHARES</w:t>
      </w:r>
    </w:p>
    <w:p w:rsidRPr="00DE5D68" w:rsidR="00DB5267" w:rsidP="007944C6" w:rsidRDefault="00DB5267" w14:paraId="68594613" w14:textId="6E7AC6F6">
      <w:pPr>
        <w:pStyle w:val="Heading2"/>
        <w:rPr>
          <w:rFonts w:cs="Arial"/>
        </w:rPr>
      </w:pPr>
      <w:bookmarkStart w:name="_Ref503954794" w:id="326"/>
      <w:r w:rsidRPr="00DE5D68">
        <w:rPr>
          <w:rFonts w:cs="Arial"/>
        </w:rPr>
        <w:t xml:space="preserve">Each </w:t>
      </w:r>
      <w:proofErr w:type="spellStart"/>
      <w:r w:rsidRPr="00DE5D68">
        <w:rPr>
          <w:rFonts w:cs="Arial"/>
        </w:rPr>
        <w:t>Placee</w:t>
      </w:r>
      <w:proofErr w:type="spellEnd"/>
      <w:r w:rsidRPr="00DE5D68">
        <w:rPr>
          <w:rFonts w:cs="Arial"/>
        </w:rPr>
        <w:t xml:space="preserve"> undertakes to pay the Issue Price</w:t>
      </w:r>
      <w:r w:rsidRPr="00DE5D68" w:rsidR="003D57CD">
        <w:rPr>
          <w:rFonts w:cs="Arial"/>
        </w:rPr>
        <w:t xml:space="preserve"> or Placing Programme Price (as applicable)</w:t>
      </w:r>
      <w:r w:rsidRPr="00DE5D68">
        <w:rPr>
          <w:rFonts w:cs="Arial"/>
        </w:rPr>
        <w:t xml:space="preserve"> for the </w:t>
      </w:r>
      <w:r w:rsidR="0094544D">
        <w:rPr>
          <w:rFonts w:cs="Arial"/>
        </w:rPr>
        <w:t xml:space="preserve">Ordinary </w:t>
      </w:r>
      <w:r w:rsidRPr="00DE5D68" w:rsidR="00E532DA">
        <w:rPr>
          <w:rFonts w:cs="Arial"/>
        </w:rPr>
        <w:t>Shares</w:t>
      </w:r>
      <w:r w:rsidRPr="00DE5D68">
        <w:rPr>
          <w:rFonts w:cs="Arial"/>
        </w:rPr>
        <w:t xml:space="preserve"> issued to the </w:t>
      </w:r>
      <w:proofErr w:type="spellStart"/>
      <w:r w:rsidRPr="00DE5D68">
        <w:rPr>
          <w:rFonts w:cs="Arial"/>
        </w:rPr>
        <w:t>Placee</w:t>
      </w:r>
      <w:proofErr w:type="spellEnd"/>
      <w:r w:rsidRPr="00DE5D68">
        <w:rPr>
          <w:rFonts w:cs="Arial"/>
        </w:rPr>
        <w:t xml:space="preserve"> in the manner and by the time directed by </w:t>
      </w:r>
      <w:r w:rsidR="00DD0C05">
        <w:rPr>
          <w:rFonts w:cs="Arial"/>
        </w:rPr>
        <w:t>Singer Capital Markets</w:t>
      </w:r>
      <w:r w:rsidRPr="00DE5D68">
        <w:rPr>
          <w:rFonts w:cs="Arial"/>
        </w:rPr>
        <w:t xml:space="preserve">. In the event of any failure by any </w:t>
      </w:r>
      <w:proofErr w:type="spellStart"/>
      <w:r w:rsidRPr="00DE5D68">
        <w:rPr>
          <w:rFonts w:cs="Arial"/>
        </w:rPr>
        <w:t>Placee</w:t>
      </w:r>
      <w:proofErr w:type="spellEnd"/>
      <w:r w:rsidRPr="00DE5D68">
        <w:rPr>
          <w:rFonts w:cs="Arial"/>
        </w:rPr>
        <w:t xml:space="preserve"> to pay as so directed and/or by the time required by </w:t>
      </w:r>
      <w:r w:rsidR="00DD0C05">
        <w:rPr>
          <w:rFonts w:cs="Arial"/>
        </w:rPr>
        <w:t>Singer Capital Markets</w:t>
      </w:r>
      <w:r w:rsidRPr="00DE5D68">
        <w:rPr>
          <w:rFonts w:cs="Arial"/>
        </w:rPr>
        <w:t xml:space="preserve">, the relevant </w:t>
      </w:r>
      <w:proofErr w:type="spellStart"/>
      <w:r w:rsidRPr="00DE5D68">
        <w:rPr>
          <w:rFonts w:cs="Arial"/>
        </w:rPr>
        <w:t>Placee’s</w:t>
      </w:r>
      <w:proofErr w:type="spellEnd"/>
      <w:r w:rsidRPr="00DE5D68">
        <w:rPr>
          <w:rFonts w:cs="Arial"/>
        </w:rPr>
        <w:t xml:space="preserve"> application for </w:t>
      </w:r>
      <w:r w:rsidR="0094544D">
        <w:rPr>
          <w:rFonts w:cs="Arial"/>
        </w:rPr>
        <w:t xml:space="preserve">Ordinary </w:t>
      </w:r>
      <w:r w:rsidRPr="00DE5D68" w:rsidR="00E532DA">
        <w:rPr>
          <w:rFonts w:cs="Arial"/>
        </w:rPr>
        <w:t>Shares</w:t>
      </w:r>
      <w:r w:rsidRPr="00DE5D68">
        <w:rPr>
          <w:rFonts w:cs="Arial"/>
        </w:rPr>
        <w:t xml:space="preserve"> may, at the discretion of </w:t>
      </w:r>
      <w:r w:rsidR="00DD0C05">
        <w:rPr>
          <w:rFonts w:cs="Arial"/>
        </w:rPr>
        <w:t>Singer Capital Markets</w:t>
      </w:r>
      <w:r w:rsidRPr="00DE5D68">
        <w:rPr>
          <w:rFonts w:cs="Arial"/>
        </w:rPr>
        <w:t>, either be accepted or rejected and, in the former case, paragraph ‎</w:t>
      </w:r>
      <w:r w:rsidR="00577D1F">
        <w:rPr>
          <w:rFonts w:cs="Arial"/>
        </w:rPr>
        <w:fldChar w:fldCharType="begin" w:fldLock="1"/>
      </w:r>
      <w:r w:rsidR="00577D1F">
        <w:rPr>
          <w:rFonts w:cs="Arial"/>
        </w:rPr>
        <w:instrText xml:space="preserve"> REF _Ref503954704 \n \h </w:instrText>
      </w:r>
      <w:r w:rsidR="00577D1F">
        <w:rPr>
          <w:rFonts w:cs="Arial"/>
        </w:rPr>
      </w:r>
      <w:r w:rsidR="00577D1F">
        <w:rPr>
          <w:rFonts w:cs="Arial"/>
        </w:rPr>
        <w:fldChar w:fldCharType="separate"/>
      </w:r>
      <w:r w:rsidR="00DA4048">
        <w:rPr>
          <w:rFonts w:cs="Arial"/>
        </w:rPr>
        <w:t>3.2</w:t>
      </w:r>
      <w:r w:rsidR="00577D1F">
        <w:rPr>
          <w:rFonts w:cs="Arial"/>
        </w:rPr>
        <w:fldChar w:fldCharType="end"/>
      </w:r>
      <w:r w:rsidRPr="00DE5D68" w:rsidR="00DB746A">
        <w:rPr>
          <w:rFonts w:cs="Arial"/>
        </w:rPr>
        <w:t xml:space="preserve"> </w:t>
      </w:r>
      <w:r w:rsidRPr="00DE5D68">
        <w:rPr>
          <w:rFonts w:cs="Arial"/>
        </w:rPr>
        <w:t>below shall apply.</w:t>
      </w:r>
      <w:bookmarkEnd w:id="326"/>
      <w:r w:rsidR="00457A03">
        <w:rPr>
          <w:rFonts w:cs="Arial"/>
        </w:rPr>
        <w:t xml:space="preserve"> </w:t>
      </w:r>
    </w:p>
    <w:p w:rsidRPr="00DE5D68" w:rsidR="00DB5267" w:rsidP="007944C6" w:rsidRDefault="00DB5267" w14:paraId="43E230B4" w14:textId="057F943A">
      <w:pPr>
        <w:pStyle w:val="Heading2"/>
        <w:rPr>
          <w:rFonts w:cs="Arial"/>
        </w:rPr>
      </w:pPr>
      <w:bookmarkStart w:name="_Ref503954704" w:id="327"/>
      <w:r w:rsidRPr="00DE5D68">
        <w:rPr>
          <w:rFonts w:cs="Arial"/>
        </w:rPr>
        <w:t xml:space="preserve">Each </w:t>
      </w:r>
      <w:proofErr w:type="spellStart"/>
      <w:r w:rsidRPr="00DE5D68">
        <w:rPr>
          <w:rFonts w:cs="Arial"/>
        </w:rPr>
        <w:t>Placee</w:t>
      </w:r>
      <w:proofErr w:type="spellEnd"/>
      <w:r w:rsidRPr="00DE5D68">
        <w:rPr>
          <w:rFonts w:cs="Arial"/>
        </w:rPr>
        <w:t xml:space="preserve"> is deemed to agree that if it does not comply with its obligation to pay the </w:t>
      </w:r>
      <w:r w:rsidRPr="00DE5D68" w:rsidR="003D57CD">
        <w:rPr>
          <w:rFonts w:cs="Arial"/>
        </w:rPr>
        <w:t xml:space="preserve">relevant </w:t>
      </w:r>
      <w:r w:rsidRPr="00DE5D68">
        <w:rPr>
          <w:rFonts w:cs="Arial"/>
        </w:rPr>
        <w:t>Issue Price</w:t>
      </w:r>
      <w:r w:rsidRPr="00DE5D68" w:rsidR="003D57CD">
        <w:rPr>
          <w:rFonts w:cs="Arial"/>
        </w:rPr>
        <w:t xml:space="preserve"> or Placing Programme</w:t>
      </w:r>
      <w:r w:rsidRPr="00DE5D68">
        <w:rPr>
          <w:rFonts w:cs="Arial"/>
        </w:rPr>
        <w:t xml:space="preserve"> for the </w:t>
      </w:r>
      <w:r w:rsidR="0094544D">
        <w:rPr>
          <w:rFonts w:cs="Arial"/>
        </w:rPr>
        <w:t xml:space="preserve">Ordinary </w:t>
      </w:r>
      <w:r w:rsidRPr="00DE5D68" w:rsidR="00E532DA">
        <w:rPr>
          <w:rFonts w:cs="Arial"/>
        </w:rPr>
        <w:t>Shares</w:t>
      </w:r>
      <w:r w:rsidRPr="00DE5D68">
        <w:rPr>
          <w:rFonts w:cs="Arial"/>
        </w:rPr>
        <w:t xml:space="preserve"> allocated to it in accordance with paragraph ‎</w:t>
      </w:r>
      <w:r w:rsidR="00577D1F">
        <w:rPr>
          <w:rFonts w:cs="Arial"/>
        </w:rPr>
        <w:fldChar w:fldCharType="begin" w:fldLock="1"/>
      </w:r>
      <w:r w:rsidR="00577D1F">
        <w:rPr>
          <w:rFonts w:cs="Arial"/>
        </w:rPr>
        <w:instrText xml:space="preserve"> REF _Ref503954794 \n \h </w:instrText>
      </w:r>
      <w:r w:rsidR="00577D1F">
        <w:rPr>
          <w:rFonts w:cs="Arial"/>
        </w:rPr>
      </w:r>
      <w:r w:rsidR="00577D1F">
        <w:rPr>
          <w:rFonts w:cs="Arial"/>
        </w:rPr>
        <w:fldChar w:fldCharType="separate"/>
      </w:r>
      <w:r w:rsidR="00DA4048">
        <w:rPr>
          <w:rFonts w:cs="Arial"/>
        </w:rPr>
        <w:t>3.1</w:t>
      </w:r>
      <w:r w:rsidR="00577D1F">
        <w:rPr>
          <w:rFonts w:cs="Arial"/>
        </w:rPr>
        <w:fldChar w:fldCharType="end"/>
      </w:r>
      <w:r w:rsidRPr="00DE5D68">
        <w:rPr>
          <w:rFonts w:cs="Arial"/>
        </w:rPr>
        <w:t xml:space="preserve"> of these terms and conditions and </w:t>
      </w:r>
      <w:r w:rsidR="00DD0C05">
        <w:rPr>
          <w:rFonts w:cs="Arial"/>
        </w:rPr>
        <w:t>Singer Capital Markets</w:t>
      </w:r>
      <w:r w:rsidRPr="00DE5D68" w:rsidR="00631C3F">
        <w:rPr>
          <w:rFonts w:cs="Arial"/>
        </w:rPr>
        <w:t xml:space="preserve"> </w:t>
      </w:r>
      <w:r w:rsidRPr="00DE5D68">
        <w:rPr>
          <w:rFonts w:cs="Arial"/>
        </w:rPr>
        <w:t xml:space="preserve">elects to accept that </w:t>
      </w:r>
      <w:proofErr w:type="spellStart"/>
      <w:r w:rsidRPr="00DE5D68">
        <w:rPr>
          <w:rFonts w:cs="Arial"/>
        </w:rPr>
        <w:t>Placee’s</w:t>
      </w:r>
      <w:proofErr w:type="spellEnd"/>
      <w:r w:rsidRPr="00DE5D68">
        <w:rPr>
          <w:rFonts w:cs="Arial"/>
        </w:rPr>
        <w:t xml:space="preserve"> application, </w:t>
      </w:r>
      <w:r w:rsidR="00DD0C05">
        <w:rPr>
          <w:rFonts w:cs="Arial"/>
        </w:rPr>
        <w:t>Singer Capital Markets</w:t>
      </w:r>
      <w:r w:rsidRPr="00DE5D68" w:rsidR="00631C3F">
        <w:rPr>
          <w:rFonts w:cs="Arial"/>
        </w:rPr>
        <w:t xml:space="preserve"> </w:t>
      </w:r>
      <w:r w:rsidRPr="00DE5D68">
        <w:rPr>
          <w:rFonts w:cs="Arial"/>
        </w:rPr>
        <w:t xml:space="preserve">may sell all or any of the </w:t>
      </w:r>
      <w:r w:rsidR="0094544D">
        <w:rPr>
          <w:rFonts w:cs="Arial"/>
        </w:rPr>
        <w:t>Ordinary</w:t>
      </w:r>
      <w:r w:rsidRPr="00DE5D68" w:rsidR="0094544D">
        <w:rPr>
          <w:rFonts w:cs="Arial"/>
        </w:rPr>
        <w:t xml:space="preserve"> </w:t>
      </w:r>
      <w:r w:rsidRPr="00DE5D68" w:rsidR="00E532DA">
        <w:rPr>
          <w:rFonts w:cs="Arial"/>
        </w:rPr>
        <w:t>Shares</w:t>
      </w:r>
      <w:r w:rsidRPr="00DE5D68">
        <w:rPr>
          <w:rFonts w:cs="Arial"/>
        </w:rPr>
        <w:t xml:space="preserve"> allocated to the </w:t>
      </w:r>
      <w:proofErr w:type="spellStart"/>
      <w:r w:rsidRPr="00DE5D68">
        <w:rPr>
          <w:rFonts w:cs="Arial"/>
        </w:rPr>
        <w:t>Placee</w:t>
      </w:r>
      <w:proofErr w:type="spellEnd"/>
      <w:r w:rsidRPr="00DE5D68">
        <w:rPr>
          <w:rFonts w:cs="Arial"/>
        </w:rPr>
        <w:t xml:space="preserve"> on such </w:t>
      </w:r>
      <w:proofErr w:type="spellStart"/>
      <w:r w:rsidRPr="00DE5D68">
        <w:rPr>
          <w:rFonts w:cs="Arial"/>
        </w:rPr>
        <w:t>Placee’s</w:t>
      </w:r>
      <w:proofErr w:type="spellEnd"/>
      <w:r w:rsidRPr="00DE5D68">
        <w:rPr>
          <w:rFonts w:cs="Arial"/>
        </w:rPr>
        <w:t xml:space="preserve"> behalf and retain from the proceeds an amount equal to the aggregate amount owed by the </w:t>
      </w:r>
      <w:proofErr w:type="spellStart"/>
      <w:r w:rsidRPr="00DE5D68">
        <w:rPr>
          <w:rFonts w:cs="Arial"/>
        </w:rPr>
        <w:t>Placee</w:t>
      </w:r>
      <w:proofErr w:type="spellEnd"/>
      <w:r w:rsidRPr="00DE5D68">
        <w:rPr>
          <w:rFonts w:cs="Arial"/>
        </w:rPr>
        <w:t xml:space="preserve"> plus any interest due. The </w:t>
      </w:r>
      <w:proofErr w:type="spellStart"/>
      <w:r w:rsidRPr="00DE5D68">
        <w:rPr>
          <w:rFonts w:cs="Arial"/>
        </w:rPr>
        <w:t>Placee</w:t>
      </w:r>
      <w:proofErr w:type="spellEnd"/>
      <w:r w:rsidRPr="00DE5D68">
        <w:rPr>
          <w:rFonts w:cs="Arial"/>
        </w:rPr>
        <w:t xml:space="preserve"> will, however, remain liable for any shortfall below the aggregate amount owed by such </w:t>
      </w:r>
      <w:proofErr w:type="spellStart"/>
      <w:r w:rsidRPr="00DE5D68">
        <w:rPr>
          <w:rFonts w:cs="Arial"/>
        </w:rPr>
        <w:t>Placee</w:t>
      </w:r>
      <w:proofErr w:type="spellEnd"/>
      <w:r w:rsidRPr="00DE5D68">
        <w:rPr>
          <w:rFonts w:cs="Arial"/>
        </w:rPr>
        <w:t xml:space="preserve"> and it may be required to bear any tax or other charges (together with any interest or penalties) which may arise upon the sale of such </w:t>
      </w:r>
      <w:r w:rsidR="0094544D">
        <w:rPr>
          <w:rFonts w:cs="Arial"/>
        </w:rPr>
        <w:t>Ordinary</w:t>
      </w:r>
      <w:r w:rsidRPr="00DE5D68" w:rsidR="0094544D">
        <w:rPr>
          <w:rFonts w:cs="Arial"/>
        </w:rPr>
        <w:t xml:space="preserve"> </w:t>
      </w:r>
      <w:r w:rsidRPr="00DE5D68" w:rsidR="00E532DA">
        <w:rPr>
          <w:rFonts w:cs="Arial"/>
        </w:rPr>
        <w:t>Shares</w:t>
      </w:r>
      <w:r w:rsidRPr="00DE5D68">
        <w:rPr>
          <w:rFonts w:cs="Arial"/>
        </w:rPr>
        <w:t xml:space="preserve"> on such </w:t>
      </w:r>
      <w:proofErr w:type="spellStart"/>
      <w:r w:rsidRPr="00DE5D68">
        <w:rPr>
          <w:rFonts w:cs="Arial"/>
        </w:rPr>
        <w:t>Placee’s</w:t>
      </w:r>
      <w:proofErr w:type="spellEnd"/>
      <w:r w:rsidRPr="00DE5D68">
        <w:rPr>
          <w:rFonts w:cs="Arial"/>
        </w:rPr>
        <w:t xml:space="preserve"> behalf.</w:t>
      </w:r>
      <w:bookmarkEnd w:id="327"/>
    </w:p>
    <w:p w:rsidRPr="00DE5D68" w:rsidR="006C50CA" w:rsidP="007944C6" w:rsidRDefault="00DB5267" w14:paraId="78E4A2C3" w14:textId="3BD40712">
      <w:pPr>
        <w:pStyle w:val="Heading2"/>
        <w:rPr>
          <w:rFonts w:cs="Arial"/>
        </w:rPr>
      </w:pPr>
      <w:r w:rsidRPr="00DE5D68">
        <w:rPr>
          <w:rFonts w:cs="Arial"/>
        </w:rPr>
        <w:t xml:space="preserve">Settlement of transactions in the </w:t>
      </w:r>
      <w:r w:rsidR="0094544D">
        <w:rPr>
          <w:rFonts w:cs="Arial"/>
        </w:rPr>
        <w:t>Ordinary</w:t>
      </w:r>
      <w:r w:rsidRPr="00DE5D68" w:rsidR="0094544D">
        <w:rPr>
          <w:rFonts w:cs="Arial"/>
        </w:rPr>
        <w:t xml:space="preserve"> </w:t>
      </w:r>
      <w:r w:rsidRPr="00DE5D68" w:rsidR="00E532DA">
        <w:rPr>
          <w:rFonts w:cs="Arial"/>
        </w:rPr>
        <w:t>Shares</w:t>
      </w:r>
      <w:r w:rsidRPr="00DE5D68">
        <w:rPr>
          <w:rFonts w:cs="Arial"/>
        </w:rPr>
        <w:t xml:space="preserve"> following</w:t>
      </w:r>
      <w:r w:rsidRPr="00DE5D68" w:rsidR="003D57CD">
        <w:rPr>
          <w:rFonts w:cs="Arial"/>
        </w:rPr>
        <w:t xml:space="preserve"> Initial</w:t>
      </w:r>
      <w:r w:rsidRPr="00DE5D68">
        <w:rPr>
          <w:rFonts w:cs="Arial"/>
        </w:rPr>
        <w:t xml:space="preserve"> Admission</w:t>
      </w:r>
      <w:r w:rsidR="00CA424F">
        <w:rPr>
          <w:rFonts w:cs="Arial"/>
        </w:rPr>
        <w:t xml:space="preserve"> and any Admission </w:t>
      </w:r>
      <w:r w:rsidRPr="00DE5D68">
        <w:rPr>
          <w:rFonts w:cs="Arial"/>
        </w:rPr>
        <w:t xml:space="preserve">will take place in CREST but </w:t>
      </w:r>
      <w:r w:rsidR="00DD0C05">
        <w:rPr>
          <w:rFonts w:cs="Arial"/>
        </w:rPr>
        <w:t>Singer Capital Markets</w:t>
      </w:r>
      <w:r w:rsidRPr="00DE5D68" w:rsidR="00631C3F">
        <w:rPr>
          <w:rFonts w:cs="Arial"/>
        </w:rPr>
        <w:t xml:space="preserve"> </w:t>
      </w:r>
      <w:r w:rsidRPr="00DE5D68">
        <w:rPr>
          <w:rFonts w:cs="Arial"/>
        </w:rPr>
        <w:t xml:space="preserve">reserves the right in its absolute discretion to require settlement in certificated form if, in its opinion, delivery or settlement is not possible or practicable within the CREST system within the timescales previously notified to the </w:t>
      </w:r>
      <w:proofErr w:type="spellStart"/>
      <w:r w:rsidRPr="00DE5D68">
        <w:rPr>
          <w:rFonts w:cs="Arial"/>
        </w:rPr>
        <w:t>Placee</w:t>
      </w:r>
      <w:proofErr w:type="spellEnd"/>
      <w:r w:rsidRPr="00DE5D68">
        <w:rPr>
          <w:rFonts w:cs="Arial"/>
        </w:rPr>
        <w:t xml:space="preserve"> (whether orally, in the Contract Note or otherwise) or would not be consistent with the regulatory requirements in any </w:t>
      </w:r>
      <w:proofErr w:type="spellStart"/>
      <w:r w:rsidRPr="00DE5D68">
        <w:rPr>
          <w:rFonts w:cs="Arial"/>
        </w:rPr>
        <w:t>Placee’s</w:t>
      </w:r>
      <w:proofErr w:type="spellEnd"/>
      <w:r w:rsidRPr="00DE5D68">
        <w:rPr>
          <w:rFonts w:cs="Arial"/>
        </w:rPr>
        <w:t xml:space="preserve"> jurisdiction.</w:t>
      </w:r>
    </w:p>
    <w:p w:rsidRPr="00DE5D68" w:rsidR="006C50CA" w:rsidP="003D1033" w:rsidRDefault="006C50CA" w14:paraId="76450A7F" w14:textId="2156511F">
      <w:pPr>
        <w:pStyle w:val="Heading1"/>
        <w:tabs>
          <w:tab w:val="clear" w:pos="1134"/>
          <w:tab w:val="num" w:pos="709"/>
        </w:tabs>
        <w:rPr>
          <w:rFonts w:cs="Arial"/>
          <w:caps w:val="0"/>
        </w:rPr>
      </w:pPr>
      <w:r w:rsidRPr="00DE5D68">
        <w:rPr>
          <w:rFonts w:cs="Arial"/>
          <w:caps w:val="0"/>
        </w:rPr>
        <w:t>REPRESENTATIONS AND WARRANTIES</w:t>
      </w:r>
    </w:p>
    <w:p w:rsidRPr="00DE5D68" w:rsidR="00DB5267" w:rsidP="00C27D12" w:rsidRDefault="00DB5267" w14:paraId="51B0AD7C" w14:textId="4EB0148E">
      <w:pPr>
        <w:pStyle w:val="Heading2"/>
        <w:numPr>
          <w:ilvl w:val="0"/>
          <w:numId w:val="0"/>
        </w:numPr>
        <w:ind w:left="709"/>
        <w:rPr>
          <w:rFonts w:cs="Arial"/>
        </w:rPr>
      </w:pPr>
      <w:r w:rsidRPr="00DE5D68">
        <w:rPr>
          <w:rFonts w:cs="Arial"/>
        </w:rPr>
        <w:t xml:space="preserve">By agreeing to subscribe for </w:t>
      </w:r>
      <w:r w:rsidR="006873BD">
        <w:rPr>
          <w:rFonts w:cs="Arial"/>
        </w:rPr>
        <w:t>Ordinary</w:t>
      </w:r>
      <w:r w:rsidRPr="00DE5D68" w:rsidR="006873BD">
        <w:rPr>
          <w:rFonts w:cs="Arial"/>
        </w:rPr>
        <w:t xml:space="preserve"> </w:t>
      </w:r>
      <w:r w:rsidRPr="00DE5D68" w:rsidR="00E532DA">
        <w:rPr>
          <w:rFonts w:cs="Arial"/>
        </w:rPr>
        <w:t>Shares</w:t>
      </w:r>
      <w:r w:rsidRPr="00DE5D68">
        <w:rPr>
          <w:rFonts w:cs="Arial"/>
        </w:rPr>
        <w:t xml:space="preserve"> under </w:t>
      </w:r>
      <w:r w:rsidRPr="00DE5D68" w:rsidR="000C651E">
        <w:rPr>
          <w:rFonts w:cs="Arial"/>
        </w:rPr>
        <w:t xml:space="preserve">the </w:t>
      </w:r>
      <w:r w:rsidRPr="00DE5D68" w:rsidR="003D57CD">
        <w:rPr>
          <w:rFonts w:cs="Arial"/>
        </w:rPr>
        <w:t xml:space="preserve">Initial </w:t>
      </w:r>
      <w:r w:rsidRPr="00DE5D68">
        <w:rPr>
          <w:rFonts w:cs="Arial"/>
        </w:rPr>
        <w:t>Placing</w:t>
      </w:r>
      <w:r w:rsidRPr="00DE5D68" w:rsidR="003D57CD">
        <w:rPr>
          <w:rFonts w:cs="Arial"/>
        </w:rPr>
        <w:t xml:space="preserve"> or a Subsequent Placing</w:t>
      </w:r>
      <w:r w:rsidRPr="00DE5D68">
        <w:rPr>
          <w:rFonts w:cs="Arial"/>
        </w:rPr>
        <w:t xml:space="preserve">, each </w:t>
      </w:r>
      <w:proofErr w:type="spellStart"/>
      <w:r w:rsidRPr="00DE5D68">
        <w:rPr>
          <w:rFonts w:cs="Arial"/>
        </w:rPr>
        <w:t>Placee</w:t>
      </w:r>
      <w:proofErr w:type="spellEnd"/>
      <w:r w:rsidRPr="00DE5D68">
        <w:rPr>
          <w:rFonts w:cs="Arial"/>
        </w:rPr>
        <w:t xml:space="preserve"> which enters into a commitment to subscribe for </w:t>
      </w:r>
      <w:r w:rsidR="006873BD">
        <w:rPr>
          <w:rFonts w:cs="Arial"/>
        </w:rPr>
        <w:t>Ordinary</w:t>
      </w:r>
      <w:r w:rsidRPr="00DE5D68" w:rsidR="006873BD">
        <w:rPr>
          <w:rFonts w:cs="Arial"/>
        </w:rPr>
        <w:t xml:space="preserve"> </w:t>
      </w:r>
      <w:r w:rsidRPr="00DE5D68" w:rsidR="00E532DA">
        <w:rPr>
          <w:rFonts w:cs="Arial"/>
        </w:rPr>
        <w:t>Shares</w:t>
      </w:r>
      <w:r w:rsidRPr="00DE5D68">
        <w:rPr>
          <w:rFonts w:cs="Arial"/>
        </w:rPr>
        <w:t xml:space="preserve"> will (for itself and for any person(s) procured by it to subscribe for </w:t>
      </w:r>
      <w:r w:rsidR="006873BD">
        <w:rPr>
          <w:rFonts w:cs="Arial"/>
        </w:rPr>
        <w:t>Ordinary</w:t>
      </w:r>
      <w:r w:rsidRPr="00DE5D68" w:rsidR="006873BD">
        <w:rPr>
          <w:rFonts w:cs="Arial"/>
        </w:rPr>
        <w:t xml:space="preserve"> </w:t>
      </w:r>
      <w:r w:rsidRPr="00DE5D68" w:rsidR="00E532DA">
        <w:rPr>
          <w:rFonts w:cs="Arial"/>
        </w:rPr>
        <w:t>Shares</w:t>
      </w:r>
      <w:r w:rsidRPr="00DE5D68">
        <w:rPr>
          <w:rFonts w:cs="Arial"/>
        </w:rPr>
        <w:t xml:space="preserve"> and any nominee(s) for any such person(s)) be deemed to undertake, represent and warrant to each of the Company, </w:t>
      </w:r>
      <w:r w:rsidR="006873BD">
        <w:rPr>
          <w:rFonts w:cs="Arial"/>
        </w:rPr>
        <w:t>Singer Capital Markets</w:t>
      </w:r>
      <w:r w:rsidRPr="00DE5D68">
        <w:rPr>
          <w:rFonts w:cs="Arial"/>
        </w:rPr>
        <w:t xml:space="preserve">, the </w:t>
      </w:r>
      <w:r w:rsidRPr="00DE5D68" w:rsidR="003C76F6">
        <w:rPr>
          <w:rFonts w:cs="Arial"/>
        </w:rPr>
        <w:t xml:space="preserve">Investment </w:t>
      </w:r>
      <w:r w:rsidRPr="00DE5D68">
        <w:rPr>
          <w:rFonts w:cs="Arial"/>
        </w:rPr>
        <w:t>Manager</w:t>
      </w:r>
      <w:r w:rsidRPr="00DE5D68" w:rsidR="00A86616">
        <w:rPr>
          <w:rFonts w:cs="Arial"/>
        </w:rPr>
        <w:t xml:space="preserve"> </w:t>
      </w:r>
      <w:r w:rsidRPr="00DE5D68">
        <w:rPr>
          <w:rFonts w:cs="Arial"/>
        </w:rPr>
        <w:t>and the Registrar that:</w:t>
      </w:r>
      <w:r w:rsidRPr="00DE5D68" w:rsidR="000C651E">
        <w:rPr>
          <w:rFonts w:cs="Arial"/>
        </w:rPr>
        <w:t xml:space="preserve"> </w:t>
      </w:r>
    </w:p>
    <w:p w:rsidRPr="00DE5D68" w:rsidR="00DB5267" w:rsidP="007944C6" w:rsidRDefault="00DB5267" w14:paraId="01FC57ED" w14:textId="5F896EEB">
      <w:pPr>
        <w:pStyle w:val="Heading2"/>
        <w:rPr>
          <w:rFonts w:cs="Arial"/>
        </w:rPr>
      </w:pPr>
      <w:r w:rsidRPr="00DE5D68">
        <w:rPr>
          <w:rFonts w:cs="Arial"/>
        </w:rPr>
        <w:t xml:space="preserve">in agreeing to subscribe for </w:t>
      </w:r>
      <w:r w:rsidR="006873BD">
        <w:rPr>
          <w:rFonts w:cs="Arial"/>
        </w:rPr>
        <w:t>Ordinary</w:t>
      </w:r>
      <w:r w:rsidRPr="00DE5D68" w:rsidR="006873BD">
        <w:rPr>
          <w:rFonts w:cs="Arial"/>
        </w:rPr>
        <w:t xml:space="preserve"> </w:t>
      </w:r>
      <w:r w:rsidRPr="00DE5D68" w:rsidR="00E532DA">
        <w:rPr>
          <w:rFonts w:cs="Arial"/>
        </w:rPr>
        <w:t>Shares</w:t>
      </w:r>
      <w:r w:rsidRPr="00DE5D68" w:rsidR="000C651E">
        <w:rPr>
          <w:rFonts w:cs="Arial"/>
        </w:rPr>
        <w:t xml:space="preserve"> under the</w:t>
      </w:r>
      <w:r w:rsidRPr="00DE5D68" w:rsidR="00EA2510">
        <w:rPr>
          <w:rFonts w:cs="Arial"/>
        </w:rPr>
        <w:t xml:space="preserve"> Initial</w:t>
      </w:r>
      <w:r w:rsidRPr="00DE5D68" w:rsidR="000C651E">
        <w:rPr>
          <w:rFonts w:cs="Arial"/>
        </w:rPr>
        <w:t xml:space="preserve"> </w:t>
      </w:r>
      <w:r w:rsidRPr="00DE5D68">
        <w:rPr>
          <w:rFonts w:cs="Arial"/>
        </w:rPr>
        <w:t>Placing</w:t>
      </w:r>
      <w:r w:rsidRPr="00DE5D68" w:rsidR="00EA2510">
        <w:rPr>
          <w:rFonts w:cs="Arial"/>
        </w:rPr>
        <w:t xml:space="preserve"> or a Subsequent Placing</w:t>
      </w:r>
      <w:r w:rsidRPr="00DE5D68">
        <w:rPr>
          <w:rFonts w:cs="Arial"/>
        </w:rPr>
        <w:t xml:space="preserve">, it is relying solely on this document and any supplementary prospectus issued by the Company and not on any other information given, or representation or statement made at any time by any person concerning the Company, the </w:t>
      </w:r>
      <w:r w:rsidR="006873BD">
        <w:rPr>
          <w:rFonts w:cs="Arial"/>
        </w:rPr>
        <w:t>Ordinary</w:t>
      </w:r>
      <w:r w:rsidRPr="00DE5D68" w:rsidR="006873BD">
        <w:rPr>
          <w:rFonts w:cs="Arial"/>
        </w:rPr>
        <w:t xml:space="preserve"> </w:t>
      </w:r>
      <w:r w:rsidRPr="00DE5D68" w:rsidR="00E532DA">
        <w:rPr>
          <w:rFonts w:cs="Arial"/>
        </w:rPr>
        <w:t>Shares</w:t>
      </w:r>
      <w:r w:rsidRPr="00DE5D68" w:rsidR="00EA2510">
        <w:rPr>
          <w:rFonts w:cs="Arial"/>
        </w:rPr>
        <w:t>,</w:t>
      </w:r>
      <w:r w:rsidRPr="00DE5D68">
        <w:rPr>
          <w:rFonts w:cs="Arial"/>
        </w:rPr>
        <w:t xml:space="preserve"> the</w:t>
      </w:r>
      <w:r w:rsidRPr="00DE5D68" w:rsidR="00EA2510">
        <w:rPr>
          <w:rFonts w:cs="Arial"/>
        </w:rPr>
        <w:t xml:space="preserve"> Initial </w:t>
      </w:r>
      <w:r w:rsidRPr="00DE5D68">
        <w:rPr>
          <w:rFonts w:cs="Arial"/>
        </w:rPr>
        <w:t>Placing</w:t>
      </w:r>
      <w:r w:rsidRPr="00DE5D68" w:rsidR="00EA2510">
        <w:rPr>
          <w:rFonts w:cs="Arial"/>
        </w:rPr>
        <w:t xml:space="preserve"> or any Subsequent Placing</w:t>
      </w:r>
      <w:r w:rsidRPr="00DE5D68">
        <w:rPr>
          <w:rFonts w:cs="Arial"/>
        </w:rPr>
        <w:t xml:space="preserve">. It agrees that none of the Company, </w:t>
      </w:r>
      <w:r w:rsidR="006873BD">
        <w:rPr>
          <w:rFonts w:cs="Arial"/>
        </w:rPr>
        <w:t>Singer Capital Markets</w:t>
      </w:r>
      <w:r w:rsidRPr="00DE5D68">
        <w:rPr>
          <w:rFonts w:cs="Arial"/>
        </w:rPr>
        <w:t xml:space="preserve">, the </w:t>
      </w:r>
      <w:r w:rsidRPr="00DE5D68" w:rsidR="003C76F6">
        <w:rPr>
          <w:rFonts w:cs="Arial"/>
        </w:rPr>
        <w:t>Investment</w:t>
      </w:r>
      <w:r w:rsidRPr="00DE5D68" w:rsidR="00A86616">
        <w:rPr>
          <w:rFonts w:cs="Arial"/>
        </w:rPr>
        <w:t xml:space="preserve"> Manager</w:t>
      </w:r>
      <w:r w:rsidRPr="00DE5D68">
        <w:rPr>
          <w:rFonts w:cs="Arial"/>
        </w:rPr>
        <w:t xml:space="preserve"> or the Registrar, nor any of their respective officers, agents, employees or affiliates, will have any liability for any other information or representation. It irrevocably and unconditionally waives any rights it may have in respect of any other information or representation;</w:t>
      </w:r>
    </w:p>
    <w:p w:rsidRPr="00DE5D68" w:rsidR="00DB5267" w:rsidP="007944C6" w:rsidRDefault="00DB5267" w14:paraId="48C5C576" w14:textId="3E041CC2">
      <w:pPr>
        <w:pStyle w:val="Heading2"/>
        <w:rPr>
          <w:rFonts w:cs="Arial"/>
        </w:rPr>
      </w:pPr>
      <w:r w:rsidRPr="00DE5D68">
        <w:rPr>
          <w:rFonts w:cs="Arial"/>
        </w:rPr>
        <w:t xml:space="preserve">if the laws of any territory or jurisdiction outside the United Kingdom are applicable to its agreement to subscribe for </w:t>
      </w:r>
      <w:r w:rsidR="006873BD">
        <w:rPr>
          <w:rFonts w:cs="Arial"/>
        </w:rPr>
        <w:t>Ordinary</w:t>
      </w:r>
      <w:r w:rsidRPr="00DE5D68" w:rsidR="006873BD">
        <w:rPr>
          <w:rFonts w:cs="Arial"/>
        </w:rPr>
        <w:t xml:space="preserve"> </w:t>
      </w:r>
      <w:r w:rsidRPr="00DE5D68" w:rsidR="00E532DA">
        <w:rPr>
          <w:rFonts w:cs="Arial"/>
        </w:rPr>
        <w:t>Shares</w:t>
      </w:r>
      <w:r w:rsidRPr="00DE5D68">
        <w:rPr>
          <w:rFonts w:cs="Arial"/>
        </w:rPr>
        <w:t xml:space="preserve"> under the </w:t>
      </w:r>
      <w:r w:rsidRPr="00DE5D68" w:rsidR="00EA2510">
        <w:rPr>
          <w:rFonts w:cs="Arial"/>
        </w:rPr>
        <w:t xml:space="preserve">Initial </w:t>
      </w:r>
      <w:r w:rsidRPr="00DE5D68">
        <w:rPr>
          <w:rFonts w:cs="Arial"/>
        </w:rPr>
        <w:t>Placing</w:t>
      </w:r>
      <w:r w:rsidRPr="00DE5D68" w:rsidR="00EA2510">
        <w:rPr>
          <w:rFonts w:cs="Arial"/>
        </w:rPr>
        <w:t xml:space="preserve"> or a Subsequent Placing</w:t>
      </w:r>
      <w:r w:rsidRPr="00DE5D68">
        <w:rPr>
          <w:rFonts w:cs="Arial"/>
        </w:rPr>
        <w:t>, it warrants that it has complied with all such laws, obtained all governmental and other consents which may be required, complied with all requisite formalities and paid any issue, transfer or other taxes due in connection with its application in any</w:t>
      </w:r>
      <w:r w:rsidRPr="00DE5D68" w:rsidR="00B3374F">
        <w:rPr>
          <w:rFonts w:cs="Arial"/>
        </w:rPr>
        <w:t xml:space="preserve"> such</w:t>
      </w:r>
      <w:r w:rsidRPr="00DE5D68">
        <w:rPr>
          <w:rFonts w:cs="Arial"/>
        </w:rPr>
        <w:t xml:space="preserve"> territory </w:t>
      </w:r>
      <w:r w:rsidRPr="00DE5D68" w:rsidR="00B3374F">
        <w:rPr>
          <w:rFonts w:cs="Arial"/>
        </w:rPr>
        <w:t xml:space="preserve">or jurisdiction </w:t>
      </w:r>
      <w:r w:rsidRPr="00DE5D68">
        <w:rPr>
          <w:rFonts w:cs="Arial"/>
        </w:rPr>
        <w:t xml:space="preserve">and that it has not taken any action or omitted to take any action which will result in the Company, </w:t>
      </w:r>
      <w:r w:rsidR="006873BD">
        <w:rPr>
          <w:rFonts w:cs="Arial"/>
        </w:rPr>
        <w:t>Singer Capital Markets</w:t>
      </w:r>
      <w:r w:rsidRPr="00DE5D68">
        <w:rPr>
          <w:rFonts w:cs="Arial"/>
        </w:rPr>
        <w:t xml:space="preserve">, the </w:t>
      </w:r>
      <w:r w:rsidRPr="00DE5D68" w:rsidR="003C76F6">
        <w:rPr>
          <w:rFonts w:cs="Arial"/>
        </w:rPr>
        <w:t>Investment</w:t>
      </w:r>
      <w:r w:rsidRPr="00DE5D68">
        <w:rPr>
          <w:rFonts w:cs="Arial"/>
        </w:rPr>
        <w:t xml:space="preserve"> Manager or the Registrar or any of their respective officers, agents, employees or affiliates acting in breach of the regulatory or legal requirements, directly or indirectly, of any territory or jurisdiction outside the United Kingdom in connection with the </w:t>
      </w:r>
      <w:r w:rsidRPr="00DE5D68" w:rsidR="00EA2510">
        <w:rPr>
          <w:rFonts w:cs="Arial"/>
        </w:rPr>
        <w:t xml:space="preserve">Initial </w:t>
      </w:r>
      <w:r w:rsidRPr="00DE5D68">
        <w:rPr>
          <w:rFonts w:cs="Arial"/>
        </w:rPr>
        <w:t>Placing</w:t>
      </w:r>
      <w:r w:rsidRPr="00DE5D68" w:rsidR="00EA2510">
        <w:rPr>
          <w:rFonts w:cs="Arial"/>
        </w:rPr>
        <w:t xml:space="preserve"> and/or Subsequent Placing</w:t>
      </w:r>
      <w:r w:rsidRPr="00DE5D68">
        <w:rPr>
          <w:rFonts w:cs="Arial"/>
        </w:rPr>
        <w:t>;</w:t>
      </w:r>
    </w:p>
    <w:p w:rsidRPr="00DE5D68" w:rsidR="00DB5267" w:rsidP="007944C6" w:rsidRDefault="00DB5267" w14:paraId="663519B5" w14:textId="1B853D78">
      <w:pPr>
        <w:pStyle w:val="Heading2"/>
        <w:rPr>
          <w:rFonts w:cs="Arial"/>
        </w:rPr>
      </w:pPr>
      <w:bookmarkStart w:name="_Ref19260613" w:id="328"/>
      <w:r w:rsidRPr="00DE5D68">
        <w:rPr>
          <w:rFonts w:cs="Arial"/>
        </w:rPr>
        <w:t xml:space="preserve">it has carefully read and understands this document in its entirety and acknowledges that it is acquiring </w:t>
      </w:r>
      <w:r w:rsidR="006873BD">
        <w:rPr>
          <w:rFonts w:cs="Arial"/>
        </w:rPr>
        <w:t>Ordinary</w:t>
      </w:r>
      <w:r w:rsidRPr="00DE5D68" w:rsidR="006873BD">
        <w:rPr>
          <w:rFonts w:cs="Arial"/>
        </w:rPr>
        <w:t xml:space="preserve"> </w:t>
      </w:r>
      <w:r w:rsidRPr="00DE5D68" w:rsidR="00E532DA">
        <w:rPr>
          <w:rFonts w:cs="Arial"/>
        </w:rPr>
        <w:t>Shares</w:t>
      </w:r>
      <w:r w:rsidRPr="00DE5D68">
        <w:rPr>
          <w:rFonts w:cs="Arial"/>
        </w:rPr>
        <w:t xml:space="preserve"> on the terms and subject to the conditions set out in this </w:t>
      </w:r>
      <w:r w:rsidR="002473F7">
        <w:rPr>
          <w:rFonts w:cs="Arial"/>
        </w:rPr>
        <w:fldChar w:fldCharType="begin" w:fldLock="1"/>
      </w:r>
      <w:r w:rsidR="002473F7">
        <w:rPr>
          <w:rFonts w:cs="Arial"/>
        </w:rPr>
        <w:instrText xml:space="preserve"> REF _Ref65764989 \n \h </w:instrText>
      </w:r>
      <w:r w:rsidR="002473F7">
        <w:rPr>
          <w:rFonts w:cs="Arial"/>
        </w:rPr>
      </w:r>
      <w:r w:rsidR="002473F7">
        <w:rPr>
          <w:rFonts w:cs="Arial"/>
        </w:rPr>
        <w:fldChar w:fldCharType="separate"/>
      </w:r>
      <w:r w:rsidR="00DA4048">
        <w:rPr>
          <w:rFonts w:cs="Arial"/>
        </w:rPr>
        <w:t>Part 8</w:t>
      </w:r>
      <w:r w:rsidR="002473F7">
        <w:rPr>
          <w:rFonts w:cs="Arial"/>
        </w:rPr>
        <w:fldChar w:fldCharType="end"/>
      </w:r>
      <w:r w:rsidRPr="00DE5D68" w:rsidR="00C7483A">
        <w:rPr>
          <w:rFonts w:cs="Arial"/>
        </w:rPr>
        <w:t xml:space="preserve"> </w:t>
      </w:r>
      <w:r w:rsidRPr="00DE5D68">
        <w:rPr>
          <w:rFonts w:cs="Arial"/>
        </w:rPr>
        <w:t>and</w:t>
      </w:r>
      <w:r w:rsidRPr="00DE5D68" w:rsidR="00B3374F">
        <w:rPr>
          <w:rFonts w:cs="Arial"/>
        </w:rPr>
        <w:t>,</w:t>
      </w:r>
      <w:r w:rsidRPr="00DE5D68">
        <w:rPr>
          <w:rFonts w:cs="Arial"/>
        </w:rPr>
        <w:t xml:space="preserve"> </w:t>
      </w:r>
      <w:r w:rsidRPr="00DE5D68" w:rsidR="00B3374F">
        <w:rPr>
          <w:rFonts w:cs="Arial"/>
        </w:rPr>
        <w:t xml:space="preserve">as applicable, in the </w:t>
      </w:r>
      <w:r w:rsidRPr="00DE5D68" w:rsidR="00261074">
        <w:rPr>
          <w:rFonts w:cs="Arial"/>
        </w:rPr>
        <w:t xml:space="preserve">Contract Note or Placing Confirmation </w:t>
      </w:r>
      <w:r w:rsidRPr="00DE5D68" w:rsidR="00C12D8F">
        <w:rPr>
          <w:rFonts w:cs="Arial"/>
        </w:rPr>
        <w:t>and</w:t>
      </w:r>
      <w:r w:rsidRPr="00DE5D68">
        <w:rPr>
          <w:rFonts w:cs="Arial"/>
        </w:rPr>
        <w:t xml:space="preserve"> the Artic</w:t>
      </w:r>
      <w:r w:rsidRPr="00DE5D68" w:rsidR="000C651E">
        <w:rPr>
          <w:rFonts w:cs="Arial"/>
        </w:rPr>
        <w:t xml:space="preserve">les as in force at the date of </w:t>
      </w:r>
      <w:r w:rsidRPr="00DE5D68" w:rsidR="00EA2510">
        <w:rPr>
          <w:rFonts w:cs="Arial"/>
        </w:rPr>
        <w:t xml:space="preserve">Initial </w:t>
      </w:r>
      <w:r w:rsidRPr="00DE5D68">
        <w:rPr>
          <w:rFonts w:cs="Arial"/>
        </w:rPr>
        <w:t>Admission</w:t>
      </w:r>
      <w:r w:rsidRPr="00DE5D68" w:rsidR="00EA2510">
        <w:rPr>
          <w:rFonts w:cs="Arial"/>
        </w:rPr>
        <w:t xml:space="preserve"> or the </w:t>
      </w:r>
      <w:r w:rsidR="00CA424F">
        <w:rPr>
          <w:rFonts w:cs="Arial"/>
        </w:rPr>
        <w:t>relevant Admission</w:t>
      </w:r>
      <w:r w:rsidRPr="00DE5D68" w:rsidR="00EA2510">
        <w:rPr>
          <w:rFonts w:cs="Arial"/>
        </w:rPr>
        <w:t xml:space="preserve"> (as applicable)</w:t>
      </w:r>
      <w:r w:rsidRPr="00DE5D68">
        <w:rPr>
          <w:rFonts w:cs="Arial"/>
        </w:rPr>
        <w:t>;</w:t>
      </w:r>
      <w:bookmarkEnd w:id="328"/>
      <w:r w:rsidRPr="00DE5D68" w:rsidR="000C651E">
        <w:rPr>
          <w:rFonts w:cs="Arial"/>
        </w:rPr>
        <w:t xml:space="preserve"> </w:t>
      </w:r>
      <w:r w:rsidRPr="00DE5D68" w:rsidR="00EA2510">
        <w:rPr>
          <w:rFonts w:cs="Arial"/>
        </w:rPr>
        <w:t xml:space="preserve"> </w:t>
      </w:r>
    </w:p>
    <w:p w:rsidRPr="00DE5D68" w:rsidR="00DB5267" w:rsidP="007944C6" w:rsidRDefault="00DB5267" w14:paraId="1E281D6E" w14:textId="15637B8B">
      <w:pPr>
        <w:pStyle w:val="Heading2"/>
        <w:rPr>
          <w:rFonts w:cs="Arial"/>
        </w:rPr>
      </w:pPr>
      <w:r w:rsidRPr="00DE5D68">
        <w:rPr>
          <w:rFonts w:cs="Arial"/>
        </w:rPr>
        <w:t xml:space="preserve">the price payable per </w:t>
      </w:r>
      <w:r w:rsidRPr="00DE5D68" w:rsidR="000C651E">
        <w:rPr>
          <w:rFonts w:cs="Arial"/>
        </w:rPr>
        <w:t xml:space="preserve">Ordinary </w:t>
      </w:r>
      <w:r w:rsidRPr="00DE5D68">
        <w:rPr>
          <w:rFonts w:cs="Arial"/>
        </w:rPr>
        <w:t xml:space="preserve">Share is payable to </w:t>
      </w:r>
      <w:r w:rsidR="00DD0C05">
        <w:rPr>
          <w:rFonts w:cs="Arial"/>
        </w:rPr>
        <w:t>Singer Capital Markets</w:t>
      </w:r>
      <w:r w:rsidRPr="00DE5D68" w:rsidR="00631C3F">
        <w:rPr>
          <w:rFonts w:cs="Arial"/>
        </w:rPr>
        <w:t xml:space="preserve"> </w:t>
      </w:r>
      <w:r w:rsidRPr="00DE5D68">
        <w:rPr>
          <w:rFonts w:cs="Arial"/>
        </w:rPr>
        <w:t>on behalf of the Company in accordance with the terms of these terms and conditions and in the Contract Note;</w:t>
      </w:r>
      <w:r w:rsidRPr="00DE5D68" w:rsidR="000C651E">
        <w:rPr>
          <w:rFonts w:cs="Arial"/>
        </w:rPr>
        <w:t xml:space="preserve">  </w:t>
      </w:r>
    </w:p>
    <w:p w:rsidRPr="00DE5D68" w:rsidR="00DB5267" w:rsidP="007944C6" w:rsidRDefault="007210D9" w14:paraId="03FDD54A" w14:textId="61274071">
      <w:pPr>
        <w:pStyle w:val="Heading2"/>
        <w:rPr>
          <w:rFonts w:cs="Arial"/>
        </w:rPr>
      </w:pPr>
      <w:r>
        <w:rPr>
          <w:rFonts w:cs="Arial"/>
        </w:rPr>
        <w:lastRenderedPageBreak/>
        <w:t xml:space="preserve">if it is subscribing for Ordinary Shares in cash, </w:t>
      </w:r>
      <w:r w:rsidRPr="00DE5D68" w:rsidR="00DB5267">
        <w:rPr>
          <w:rFonts w:cs="Arial"/>
        </w:rPr>
        <w:t>it has the funds available to pay</w:t>
      </w:r>
      <w:r w:rsidR="006979C1">
        <w:rPr>
          <w:rFonts w:cs="Arial"/>
        </w:rPr>
        <w:t>, in full,</w:t>
      </w:r>
      <w:r w:rsidRPr="00DE5D68" w:rsidR="00DB5267">
        <w:rPr>
          <w:rFonts w:cs="Arial"/>
        </w:rPr>
        <w:t xml:space="preserve"> for the </w:t>
      </w:r>
      <w:r w:rsidR="006873BD">
        <w:rPr>
          <w:rFonts w:cs="Arial"/>
        </w:rPr>
        <w:t>Ordinary</w:t>
      </w:r>
      <w:r w:rsidRPr="00DE5D68" w:rsidR="006873BD">
        <w:rPr>
          <w:rFonts w:cs="Arial"/>
        </w:rPr>
        <w:t xml:space="preserve"> </w:t>
      </w:r>
      <w:r w:rsidRPr="00DE5D68" w:rsidR="00E532DA">
        <w:rPr>
          <w:rFonts w:cs="Arial"/>
        </w:rPr>
        <w:t>Shares</w:t>
      </w:r>
      <w:r w:rsidRPr="00DE5D68" w:rsidR="00DB5267">
        <w:rPr>
          <w:rFonts w:cs="Arial"/>
        </w:rPr>
        <w:t xml:space="preserve"> for which it has agreed to subscribe and it will pay the total subscription amount in accordance with the terms set out in these terms and conditions and as set out in the Contract Note on the due time and date;</w:t>
      </w:r>
      <w:r w:rsidRPr="00DE5D68" w:rsidR="000C651E">
        <w:rPr>
          <w:rFonts w:cs="Arial"/>
        </w:rPr>
        <w:t xml:space="preserve"> </w:t>
      </w:r>
    </w:p>
    <w:p w:rsidRPr="00DE5D68" w:rsidR="00DB5267" w:rsidP="007944C6" w:rsidRDefault="00DB5267" w14:paraId="3BEC2092" w14:textId="1A93401E">
      <w:pPr>
        <w:pStyle w:val="Heading2"/>
        <w:rPr>
          <w:rFonts w:cs="Arial"/>
        </w:rPr>
      </w:pPr>
      <w:r w:rsidRPr="00DE5D68">
        <w:rPr>
          <w:rFonts w:cs="Arial"/>
        </w:rPr>
        <w:t xml:space="preserve">it has not relied on </w:t>
      </w:r>
      <w:r w:rsidR="006873BD">
        <w:rPr>
          <w:rFonts w:cs="Arial"/>
        </w:rPr>
        <w:t>Singer Capital Markets</w:t>
      </w:r>
      <w:r w:rsidRPr="00DE5D68" w:rsidR="00631C3F">
        <w:rPr>
          <w:rFonts w:cs="Arial"/>
        </w:rPr>
        <w:t xml:space="preserve"> </w:t>
      </w:r>
      <w:r w:rsidRPr="00DE5D68">
        <w:rPr>
          <w:rFonts w:cs="Arial"/>
        </w:rPr>
        <w:t xml:space="preserve">or any person affiliated with </w:t>
      </w:r>
      <w:r w:rsidR="006873BD">
        <w:rPr>
          <w:rFonts w:cs="Arial"/>
        </w:rPr>
        <w:t>Singer Capital Markets</w:t>
      </w:r>
      <w:r w:rsidRPr="00DE5D68" w:rsidR="00631C3F">
        <w:rPr>
          <w:rFonts w:cs="Arial"/>
        </w:rPr>
        <w:t xml:space="preserve"> </w:t>
      </w:r>
      <w:r w:rsidRPr="00DE5D68">
        <w:rPr>
          <w:rFonts w:cs="Arial"/>
        </w:rPr>
        <w:t>in connection with any investigation of the accuracy of any information contained in this document;</w:t>
      </w:r>
    </w:p>
    <w:p w:rsidRPr="00DE5D68" w:rsidR="00DB5267" w:rsidP="007944C6" w:rsidRDefault="00DB5267" w14:paraId="6CAA4CB7" w14:textId="12B27CCA">
      <w:pPr>
        <w:pStyle w:val="Heading2"/>
        <w:rPr>
          <w:rFonts w:cs="Arial"/>
        </w:rPr>
      </w:pPr>
      <w:r w:rsidRPr="00DE5D68">
        <w:rPr>
          <w:rFonts w:cs="Arial"/>
        </w:rPr>
        <w:t>it acknowledges that the content of this document is exclusively the responsibilit</w:t>
      </w:r>
      <w:r w:rsidRPr="00DE5D68" w:rsidR="00EA2510">
        <w:rPr>
          <w:rFonts w:cs="Arial"/>
        </w:rPr>
        <w:t xml:space="preserve">y of the Company, the Directors, the Investment Manager </w:t>
      </w:r>
      <w:r w:rsidRPr="00DE5D68">
        <w:rPr>
          <w:rFonts w:cs="Arial"/>
        </w:rPr>
        <w:t xml:space="preserve">and neither </w:t>
      </w:r>
      <w:r w:rsidR="006873BD">
        <w:rPr>
          <w:rFonts w:cs="Arial"/>
        </w:rPr>
        <w:t>Singer Capital Markets</w:t>
      </w:r>
      <w:r w:rsidRPr="00DE5D68" w:rsidR="00631C3F">
        <w:rPr>
          <w:rFonts w:cs="Arial"/>
        </w:rPr>
        <w:t xml:space="preserve"> </w:t>
      </w:r>
      <w:r w:rsidRPr="00DE5D68">
        <w:rPr>
          <w:rFonts w:cs="Arial"/>
        </w:rPr>
        <w:t>nor any person acting on its behalf nor any of its affiliates are responsible for or shall have any liability for any information, representation or statement contained in this document or any information published by or on behalf of the Company and will not be liable for any decision by a</w:t>
      </w:r>
      <w:r w:rsidRPr="00DE5D68" w:rsidR="000C651E">
        <w:rPr>
          <w:rFonts w:cs="Arial"/>
        </w:rPr>
        <w:t xml:space="preserve"> </w:t>
      </w:r>
      <w:proofErr w:type="spellStart"/>
      <w:r w:rsidRPr="00DE5D68" w:rsidR="000C651E">
        <w:rPr>
          <w:rFonts w:cs="Arial"/>
        </w:rPr>
        <w:t>Placee</w:t>
      </w:r>
      <w:proofErr w:type="spellEnd"/>
      <w:r w:rsidRPr="00DE5D68" w:rsidR="000C651E">
        <w:rPr>
          <w:rFonts w:cs="Arial"/>
        </w:rPr>
        <w:t xml:space="preserve"> to participate in the </w:t>
      </w:r>
      <w:r w:rsidRPr="00DE5D68" w:rsidR="00EA2510">
        <w:rPr>
          <w:rFonts w:cs="Arial"/>
        </w:rPr>
        <w:t xml:space="preserve">Initial </w:t>
      </w:r>
      <w:r w:rsidRPr="00DE5D68">
        <w:rPr>
          <w:rFonts w:cs="Arial"/>
        </w:rPr>
        <w:t>Placing</w:t>
      </w:r>
      <w:r w:rsidRPr="00DE5D68" w:rsidR="00EA2510">
        <w:rPr>
          <w:rFonts w:cs="Arial"/>
        </w:rPr>
        <w:t xml:space="preserve"> or any Subsequent Placing</w:t>
      </w:r>
      <w:r w:rsidRPr="00DE5D68">
        <w:rPr>
          <w:rFonts w:cs="Arial"/>
        </w:rPr>
        <w:t xml:space="preserve"> based on any information, representation or statement contained in this document or otherwise;</w:t>
      </w:r>
    </w:p>
    <w:p w:rsidRPr="00DE5D68" w:rsidR="00DB5267" w:rsidP="007944C6" w:rsidRDefault="00DB5267" w14:paraId="5C4DF3DA" w14:textId="4D79C038">
      <w:pPr>
        <w:pStyle w:val="Heading2"/>
        <w:rPr>
          <w:rFonts w:cs="Arial"/>
        </w:rPr>
      </w:pPr>
      <w:r w:rsidRPr="00DE5D68">
        <w:rPr>
          <w:rFonts w:cs="Arial"/>
        </w:rPr>
        <w:t>it acknowledges that no person is authorised in connection with the</w:t>
      </w:r>
      <w:r w:rsidRPr="00DE5D68" w:rsidR="00EA2510">
        <w:rPr>
          <w:rFonts w:cs="Arial"/>
        </w:rPr>
        <w:t xml:space="preserve"> Initial</w:t>
      </w:r>
      <w:r w:rsidRPr="00DE5D68">
        <w:rPr>
          <w:rFonts w:cs="Arial"/>
        </w:rPr>
        <w:t xml:space="preserve"> Placing</w:t>
      </w:r>
      <w:r w:rsidRPr="00DE5D68" w:rsidR="00EA2510">
        <w:rPr>
          <w:rFonts w:cs="Arial"/>
        </w:rPr>
        <w:t xml:space="preserve"> or any Subsequent Placing</w:t>
      </w:r>
      <w:r w:rsidRPr="00DE5D68">
        <w:rPr>
          <w:rFonts w:cs="Arial"/>
        </w:rPr>
        <w:t xml:space="preserve"> to give any information or make any representation other than as contained in this document and, if given or made, any information or representation must not be relied upon as having been authorised by </w:t>
      </w:r>
      <w:r w:rsidR="006873BD">
        <w:rPr>
          <w:rFonts w:cs="Arial"/>
        </w:rPr>
        <w:t>Singer Capital Markets</w:t>
      </w:r>
      <w:r w:rsidRPr="00DE5D68">
        <w:rPr>
          <w:rFonts w:cs="Arial"/>
        </w:rPr>
        <w:t>, the Company</w:t>
      </w:r>
      <w:r w:rsidRPr="00DE5D68" w:rsidR="00A86616">
        <w:rPr>
          <w:rFonts w:cs="Arial"/>
        </w:rPr>
        <w:t xml:space="preserve"> or</w:t>
      </w:r>
      <w:r w:rsidRPr="00DE5D68" w:rsidR="00D02A46">
        <w:rPr>
          <w:rFonts w:cs="Arial"/>
        </w:rPr>
        <w:t xml:space="preserve"> the Investment Manager</w:t>
      </w:r>
      <w:r w:rsidRPr="00DE5D68">
        <w:rPr>
          <w:rFonts w:cs="Arial"/>
        </w:rPr>
        <w:t>;</w:t>
      </w:r>
    </w:p>
    <w:p w:rsidRPr="00DE5D68" w:rsidR="00B3374F" w:rsidP="007944C6" w:rsidRDefault="00DB5267" w14:paraId="5C47588B" w14:textId="61735364">
      <w:pPr>
        <w:pStyle w:val="Heading2"/>
        <w:rPr>
          <w:rFonts w:cs="Arial"/>
        </w:rPr>
      </w:pPr>
      <w:r w:rsidRPr="00DE5D68">
        <w:rPr>
          <w:rFonts w:cs="Arial"/>
        </w:rPr>
        <w:t xml:space="preserve">it is not applying as, nor is it applying as nominee or agent for, a person who is or may be liable to notify and account for tax under the </w:t>
      </w:r>
      <w:r w:rsidR="00640CB6">
        <w:rPr>
          <w:rFonts w:cs="Arial"/>
        </w:rPr>
        <w:fldChar w:fldCharType="begin">
          <w:fldData xml:space="preserve">dgAxAHwAMQAwADAAOAAxAHwAUwB0AGEAbQBwACAARAB1AHQAeQAgAFIAZQBzAGUAcgB2AGUAIABU
AGEAeAAgAFIAZQBnAHUAbABhAHQAaQBvAG4AcwAgADEAOQA4ADYAfABCAEUAUwBUAEIATABUAEkA
VABMAEUANAA5ADkAOAA5ADYAfAB8AA==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 xml:space="preserve">Stamp Duty Reserve Tax Regulations 1986 at any of the increased rates referred to in section 67, 70, 93 or 96 (depository receipts and clearance services) of the </w:t>
      </w:r>
      <w:r w:rsidR="00640CB6">
        <w:rPr>
          <w:rFonts w:cs="Arial"/>
        </w:rPr>
        <w:fldChar w:fldCharType="begin">
          <w:fldData xml:space="preserve">dgAxAHwAMQAwADAAOAAyAHwARgBpAG4AYQBuAGMAZQAgAEEAYwB0ACAAMQA5ADgANgB8AEIARQBT
AFQAQgBMAFQASQBUAEwARQAxADEAMQAyADAANAB8AHwA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Finance Act 1986;</w:t>
      </w:r>
    </w:p>
    <w:p w:rsidRPr="00DE5D68" w:rsidR="00B3374F" w:rsidP="007944C6" w:rsidRDefault="00B3374F" w14:paraId="04DDB07F" w14:textId="06B5637E">
      <w:pPr>
        <w:pStyle w:val="Heading2"/>
        <w:rPr>
          <w:rFonts w:cs="Arial"/>
        </w:rPr>
      </w:pPr>
      <w:r w:rsidRPr="00DE5D68">
        <w:rPr>
          <w:rFonts w:cs="Arial"/>
        </w:rPr>
        <w:t xml:space="preserve">its commitment to acquire </w:t>
      </w:r>
      <w:r w:rsidR="006873BD">
        <w:rPr>
          <w:rFonts w:cs="Arial"/>
        </w:rPr>
        <w:t xml:space="preserve">Ordinary </w:t>
      </w:r>
      <w:r w:rsidRPr="00DE5D68" w:rsidR="00E532DA">
        <w:rPr>
          <w:rFonts w:cs="Arial"/>
        </w:rPr>
        <w:t>Shares</w:t>
      </w:r>
      <w:r w:rsidRPr="00DE5D68">
        <w:rPr>
          <w:rFonts w:cs="Arial"/>
        </w:rPr>
        <w:t xml:space="preserve"> under the </w:t>
      </w:r>
      <w:r w:rsidRPr="00DE5D68" w:rsidR="00D02A46">
        <w:rPr>
          <w:rFonts w:cs="Arial"/>
        </w:rPr>
        <w:t xml:space="preserve">Initial </w:t>
      </w:r>
      <w:r w:rsidRPr="00DE5D68">
        <w:rPr>
          <w:rFonts w:cs="Arial"/>
        </w:rPr>
        <w:t>Placing</w:t>
      </w:r>
      <w:r w:rsidRPr="00DE5D68" w:rsidR="00D02A46">
        <w:rPr>
          <w:rFonts w:cs="Arial"/>
        </w:rPr>
        <w:t xml:space="preserve"> and/or any Subsequent Placing</w:t>
      </w:r>
      <w:r w:rsidRPr="00DE5D68">
        <w:rPr>
          <w:rFonts w:cs="Arial"/>
        </w:rPr>
        <w:t xml:space="preserve"> will be agreed orally or in writing (which shall include by email) with </w:t>
      </w:r>
      <w:r w:rsidR="00DD0C05">
        <w:rPr>
          <w:rFonts w:cs="Arial"/>
        </w:rPr>
        <w:t>Singer Capital Markets</w:t>
      </w:r>
      <w:r w:rsidRPr="00DE5D68" w:rsidR="00631C3F">
        <w:rPr>
          <w:rFonts w:cs="Arial"/>
        </w:rPr>
        <w:t xml:space="preserve"> </w:t>
      </w:r>
      <w:r w:rsidRPr="00DE5D68">
        <w:rPr>
          <w:rFonts w:cs="Arial"/>
        </w:rPr>
        <w:t xml:space="preserve">as agent for the Company and that a Contract Note or Placing Confirmation will be issued by </w:t>
      </w:r>
      <w:r w:rsidR="00DD0C05">
        <w:rPr>
          <w:rFonts w:cs="Arial"/>
        </w:rPr>
        <w:t>Singer Capital Markets</w:t>
      </w:r>
      <w:r w:rsidRPr="00DE5D68" w:rsidR="00631C3F">
        <w:rPr>
          <w:rFonts w:cs="Arial"/>
        </w:rPr>
        <w:t xml:space="preserve"> </w:t>
      </w:r>
      <w:r w:rsidRPr="00DE5D68">
        <w:rPr>
          <w:rFonts w:cs="Arial"/>
        </w:rPr>
        <w:t xml:space="preserve">as soon as possible thereafter. That oral or written agreement will constitute an irrevocable, legally binding commitment upon that person (who at that point will become a </w:t>
      </w:r>
      <w:proofErr w:type="spellStart"/>
      <w:r w:rsidRPr="00DE5D68">
        <w:rPr>
          <w:rFonts w:cs="Arial"/>
        </w:rPr>
        <w:t>Placee</w:t>
      </w:r>
      <w:proofErr w:type="spellEnd"/>
      <w:r w:rsidRPr="00DE5D68">
        <w:rPr>
          <w:rFonts w:cs="Arial"/>
        </w:rPr>
        <w:t xml:space="preserve">) in favour of the Company and </w:t>
      </w:r>
      <w:r w:rsidR="00DD0C05">
        <w:rPr>
          <w:rFonts w:cs="Arial"/>
        </w:rPr>
        <w:t>Singer Capital Markets</w:t>
      </w:r>
      <w:r w:rsidRPr="00DE5D68" w:rsidR="00631C3F">
        <w:rPr>
          <w:rFonts w:cs="Arial"/>
        </w:rPr>
        <w:t xml:space="preserve"> </w:t>
      </w:r>
      <w:r w:rsidRPr="00DE5D68">
        <w:rPr>
          <w:rFonts w:cs="Arial"/>
        </w:rPr>
        <w:t>to</w:t>
      </w:r>
      <w:r w:rsidR="00543DDB">
        <w:rPr>
          <w:rFonts w:cs="Arial"/>
        </w:rPr>
        <w:t xml:space="preserve"> </w:t>
      </w:r>
      <w:r w:rsidRPr="00DE5D68">
        <w:rPr>
          <w:rFonts w:cs="Arial"/>
        </w:rPr>
        <w:t xml:space="preserve">subscribe for the number of </w:t>
      </w:r>
      <w:r w:rsidR="006873BD">
        <w:rPr>
          <w:rFonts w:cs="Arial"/>
        </w:rPr>
        <w:t xml:space="preserve">Ordinary </w:t>
      </w:r>
      <w:r w:rsidRPr="00DE5D68" w:rsidR="00E532DA">
        <w:rPr>
          <w:rFonts w:cs="Arial"/>
        </w:rPr>
        <w:t>Shares</w:t>
      </w:r>
      <w:r w:rsidRPr="00DE5D68">
        <w:rPr>
          <w:rFonts w:cs="Arial"/>
        </w:rPr>
        <w:t xml:space="preserve"> allocated to it and comprising its Placing Commitment at the Issue Price</w:t>
      </w:r>
      <w:r w:rsidRPr="00DE5D68" w:rsidR="00D02A46">
        <w:rPr>
          <w:rFonts w:cs="Arial"/>
        </w:rPr>
        <w:t xml:space="preserve"> or the Placing Programme Price</w:t>
      </w:r>
      <w:r w:rsidRPr="00DE5D68">
        <w:rPr>
          <w:rFonts w:cs="Arial"/>
        </w:rPr>
        <w:t xml:space="preserve"> on the terms and c</w:t>
      </w:r>
      <w:r w:rsidRPr="00DE5D68" w:rsidR="005D33A8">
        <w:rPr>
          <w:rFonts w:cs="Arial"/>
        </w:rPr>
        <w:t xml:space="preserve">onditions set out in this </w:t>
      </w:r>
      <w:r w:rsidR="002473F7">
        <w:rPr>
          <w:rFonts w:cs="Arial"/>
        </w:rPr>
        <w:fldChar w:fldCharType="begin" w:fldLock="1"/>
      </w:r>
      <w:r w:rsidR="002473F7">
        <w:rPr>
          <w:rFonts w:cs="Arial"/>
        </w:rPr>
        <w:instrText xml:space="preserve"> REF _Ref65764989 \n \h </w:instrText>
      </w:r>
      <w:r w:rsidR="002473F7">
        <w:rPr>
          <w:rFonts w:cs="Arial"/>
        </w:rPr>
      </w:r>
      <w:r w:rsidR="002473F7">
        <w:rPr>
          <w:rFonts w:cs="Arial"/>
        </w:rPr>
        <w:fldChar w:fldCharType="separate"/>
      </w:r>
      <w:r w:rsidR="00DA4048">
        <w:rPr>
          <w:rFonts w:cs="Arial"/>
        </w:rPr>
        <w:t>Part 8</w:t>
      </w:r>
      <w:r w:rsidR="002473F7">
        <w:rPr>
          <w:rFonts w:cs="Arial"/>
        </w:rPr>
        <w:fldChar w:fldCharType="end"/>
      </w:r>
      <w:r w:rsidRPr="00DE5D68" w:rsidR="00C7483A">
        <w:rPr>
          <w:rFonts w:cs="Arial"/>
        </w:rPr>
        <w:t xml:space="preserve"> </w:t>
      </w:r>
      <w:r w:rsidRPr="00DE5D68">
        <w:rPr>
          <w:rFonts w:cs="Arial"/>
        </w:rPr>
        <w:t xml:space="preserve">and, as applicable, in the Contract Note or Placing Confirmation and the Placing Letter (if any) and in accordance with the Articles in force as at the date of </w:t>
      </w:r>
      <w:r w:rsidR="00054653">
        <w:rPr>
          <w:rFonts w:cs="Arial"/>
        </w:rPr>
        <w:t xml:space="preserve">Initial Admission or </w:t>
      </w:r>
      <w:r w:rsidRPr="00DE5D68" w:rsidR="00054653">
        <w:rPr>
          <w:rFonts w:cs="Arial"/>
        </w:rPr>
        <w:t xml:space="preserve">the </w:t>
      </w:r>
      <w:r w:rsidR="00CA424F">
        <w:rPr>
          <w:rFonts w:cs="Arial"/>
        </w:rPr>
        <w:t>relevant Admission</w:t>
      </w:r>
      <w:r w:rsidRPr="00DE5D68" w:rsidR="00054653">
        <w:rPr>
          <w:rFonts w:cs="Arial"/>
        </w:rPr>
        <w:t xml:space="preserve"> (as applicable)</w:t>
      </w:r>
      <w:r w:rsidRPr="00DE5D68">
        <w:rPr>
          <w:rFonts w:cs="Arial"/>
        </w:rPr>
        <w:t xml:space="preserve">. Except with the consent of </w:t>
      </w:r>
      <w:r w:rsidR="00DD0C05">
        <w:rPr>
          <w:rFonts w:cs="Arial"/>
        </w:rPr>
        <w:t>Singer Capital Markets</w:t>
      </w:r>
      <w:r w:rsidRPr="00DE5D68" w:rsidR="00631C3F">
        <w:rPr>
          <w:rFonts w:cs="Arial"/>
        </w:rPr>
        <w:t xml:space="preserve"> </w:t>
      </w:r>
      <w:r w:rsidRPr="00DE5D68">
        <w:rPr>
          <w:rFonts w:cs="Arial"/>
        </w:rPr>
        <w:t>such oral or written commitment will not be capable of variation or revocation after the time at which it is made;</w:t>
      </w:r>
    </w:p>
    <w:p w:rsidRPr="00DE5D68" w:rsidR="00B3374F" w:rsidP="007944C6" w:rsidRDefault="00B3374F" w14:paraId="7E283362" w14:textId="19DA606D">
      <w:pPr>
        <w:pStyle w:val="Heading2"/>
        <w:rPr>
          <w:rFonts w:cs="Arial"/>
        </w:rPr>
      </w:pPr>
      <w:r w:rsidRPr="00DE5D68">
        <w:rPr>
          <w:rFonts w:cs="Arial"/>
        </w:rPr>
        <w:t xml:space="preserve">its allocation of </w:t>
      </w:r>
      <w:r w:rsidR="006873BD">
        <w:rPr>
          <w:rFonts w:cs="Arial"/>
        </w:rPr>
        <w:t xml:space="preserve">Ordinary </w:t>
      </w:r>
      <w:r w:rsidRPr="00DE5D68" w:rsidR="00E532DA">
        <w:rPr>
          <w:rFonts w:cs="Arial"/>
        </w:rPr>
        <w:t>Shares</w:t>
      </w:r>
      <w:r w:rsidRPr="00DE5D68">
        <w:rPr>
          <w:rFonts w:cs="Arial"/>
        </w:rPr>
        <w:t xml:space="preserve"> under the </w:t>
      </w:r>
      <w:r w:rsidRPr="00DE5D68" w:rsidR="00D02A46">
        <w:rPr>
          <w:rFonts w:cs="Arial"/>
        </w:rPr>
        <w:t xml:space="preserve">Initial </w:t>
      </w:r>
      <w:r w:rsidRPr="00DE5D68">
        <w:rPr>
          <w:rFonts w:cs="Arial"/>
        </w:rPr>
        <w:t>Placing</w:t>
      </w:r>
      <w:r w:rsidRPr="00DE5D68" w:rsidR="00D02A46">
        <w:rPr>
          <w:rFonts w:cs="Arial"/>
        </w:rPr>
        <w:t xml:space="preserve"> and any Subsequent Placing</w:t>
      </w:r>
      <w:r w:rsidRPr="00DE5D68">
        <w:rPr>
          <w:rFonts w:cs="Arial"/>
        </w:rPr>
        <w:t xml:space="preserve"> will be evidenced by a Contract Note or Placing Confirmation, as applicable, confirming: (</w:t>
      </w:r>
      <w:proofErr w:type="spellStart"/>
      <w:r w:rsidRPr="00DE5D68">
        <w:rPr>
          <w:rFonts w:cs="Arial"/>
        </w:rPr>
        <w:t>i</w:t>
      </w:r>
      <w:proofErr w:type="spellEnd"/>
      <w:r w:rsidRPr="00DE5D68">
        <w:rPr>
          <w:rFonts w:cs="Arial"/>
        </w:rPr>
        <w:t xml:space="preserve">) the number of </w:t>
      </w:r>
      <w:r w:rsidR="006873BD">
        <w:rPr>
          <w:rFonts w:cs="Arial"/>
        </w:rPr>
        <w:t>Ordinary</w:t>
      </w:r>
      <w:r w:rsidRPr="00DE5D68" w:rsidR="006873BD">
        <w:rPr>
          <w:rFonts w:cs="Arial"/>
        </w:rPr>
        <w:t xml:space="preserve"> </w:t>
      </w:r>
      <w:r w:rsidRPr="00DE5D68" w:rsidR="00E532DA">
        <w:rPr>
          <w:rFonts w:cs="Arial"/>
        </w:rPr>
        <w:t>Shares</w:t>
      </w:r>
      <w:r w:rsidRPr="00DE5D68">
        <w:rPr>
          <w:rFonts w:cs="Arial"/>
        </w:rPr>
        <w:t xml:space="preserve"> that such </w:t>
      </w:r>
      <w:proofErr w:type="spellStart"/>
      <w:r w:rsidRPr="00DE5D68">
        <w:rPr>
          <w:rFonts w:cs="Arial"/>
        </w:rPr>
        <w:t>Placee</w:t>
      </w:r>
      <w:proofErr w:type="spellEnd"/>
      <w:r w:rsidRPr="00DE5D68">
        <w:rPr>
          <w:rFonts w:cs="Arial"/>
        </w:rPr>
        <w:t xml:space="preserve"> has agreed to acquire; (ii) the aggregate </w:t>
      </w:r>
      <w:r w:rsidR="009B7490">
        <w:rPr>
          <w:rFonts w:cs="Arial"/>
        </w:rPr>
        <w:t xml:space="preserve">cash </w:t>
      </w:r>
      <w:r w:rsidRPr="00DE5D68">
        <w:rPr>
          <w:rFonts w:cs="Arial"/>
        </w:rPr>
        <w:t xml:space="preserve">amount that such </w:t>
      </w:r>
      <w:proofErr w:type="spellStart"/>
      <w:r w:rsidRPr="00DE5D68">
        <w:rPr>
          <w:rFonts w:cs="Arial"/>
        </w:rPr>
        <w:t>Placee</w:t>
      </w:r>
      <w:proofErr w:type="spellEnd"/>
      <w:r w:rsidRPr="00DE5D68">
        <w:rPr>
          <w:rFonts w:cs="Arial"/>
        </w:rPr>
        <w:t xml:space="preserve"> will be required to pay for such </w:t>
      </w:r>
      <w:r w:rsidR="006873BD">
        <w:rPr>
          <w:rFonts w:cs="Arial"/>
        </w:rPr>
        <w:t>Ordinary</w:t>
      </w:r>
      <w:r w:rsidRPr="00DE5D68" w:rsidR="006873BD">
        <w:rPr>
          <w:rFonts w:cs="Arial"/>
        </w:rPr>
        <w:t xml:space="preserve"> </w:t>
      </w:r>
      <w:r w:rsidRPr="00DE5D68" w:rsidR="00E532DA">
        <w:rPr>
          <w:rFonts w:cs="Arial"/>
        </w:rPr>
        <w:t>Shares</w:t>
      </w:r>
      <w:r w:rsidRPr="00DE5D68">
        <w:rPr>
          <w:rFonts w:cs="Arial"/>
        </w:rPr>
        <w:t xml:space="preserve">; and (iii) settlement instructions to pay </w:t>
      </w:r>
      <w:r w:rsidR="00DD0C05">
        <w:rPr>
          <w:rFonts w:cs="Arial"/>
        </w:rPr>
        <w:t>Singer Capital Markets</w:t>
      </w:r>
      <w:r w:rsidRPr="00DE5D68" w:rsidR="00631C3F">
        <w:rPr>
          <w:rFonts w:cs="Arial"/>
        </w:rPr>
        <w:t xml:space="preserve"> </w:t>
      </w:r>
      <w:r w:rsidR="009B7490">
        <w:rPr>
          <w:rFonts w:cs="Arial"/>
        </w:rPr>
        <w:t xml:space="preserve">the required cash consideration </w:t>
      </w:r>
      <w:r w:rsidRPr="00DE5D68">
        <w:rPr>
          <w:rFonts w:cs="Arial"/>
        </w:rPr>
        <w:t>as agent for the C</w:t>
      </w:r>
      <w:r w:rsidRPr="00DE5D68" w:rsidR="005D33A8">
        <w:rPr>
          <w:rFonts w:cs="Arial"/>
        </w:rPr>
        <w:t xml:space="preserve">ompany. The terms of this </w:t>
      </w:r>
      <w:r w:rsidR="002473F7">
        <w:rPr>
          <w:rFonts w:cs="Arial"/>
        </w:rPr>
        <w:fldChar w:fldCharType="begin" w:fldLock="1"/>
      </w:r>
      <w:r w:rsidR="002473F7">
        <w:rPr>
          <w:rFonts w:cs="Arial"/>
        </w:rPr>
        <w:instrText xml:space="preserve"> REF _Ref65764989 \n \h </w:instrText>
      </w:r>
      <w:r w:rsidR="002473F7">
        <w:rPr>
          <w:rFonts w:cs="Arial"/>
        </w:rPr>
      </w:r>
      <w:r w:rsidR="002473F7">
        <w:rPr>
          <w:rFonts w:cs="Arial"/>
        </w:rPr>
        <w:fldChar w:fldCharType="separate"/>
      </w:r>
      <w:r w:rsidR="00DA4048">
        <w:rPr>
          <w:rFonts w:cs="Arial"/>
        </w:rPr>
        <w:t>Part 8</w:t>
      </w:r>
      <w:r w:rsidR="002473F7">
        <w:rPr>
          <w:rFonts w:cs="Arial"/>
        </w:rPr>
        <w:fldChar w:fldCharType="end"/>
      </w:r>
      <w:r w:rsidRPr="00DE5D68" w:rsidR="003D1033">
        <w:rPr>
          <w:rFonts w:cs="Arial"/>
        </w:rPr>
        <w:t xml:space="preserve"> </w:t>
      </w:r>
      <w:r w:rsidRPr="00DE5D68">
        <w:rPr>
          <w:rFonts w:cs="Arial"/>
        </w:rPr>
        <w:t xml:space="preserve">will be deemed to be incorporated into that Contract Note or Placing </w:t>
      </w:r>
      <w:proofErr w:type="gramStart"/>
      <w:r w:rsidRPr="00DE5D68">
        <w:rPr>
          <w:rFonts w:cs="Arial"/>
        </w:rPr>
        <w:t>Confirmation;</w:t>
      </w:r>
      <w:proofErr w:type="gramEnd"/>
    </w:p>
    <w:p w:rsidRPr="00DE5D68" w:rsidR="00B3374F" w:rsidP="007944C6" w:rsidRDefault="00B3374F" w14:paraId="30A4A415" w14:textId="327E2AE8">
      <w:pPr>
        <w:pStyle w:val="Heading2"/>
        <w:rPr>
          <w:rFonts w:cs="Arial"/>
        </w:rPr>
      </w:pPr>
      <w:r w:rsidRPr="00DE5D68">
        <w:rPr>
          <w:rFonts w:cs="Arial"/>
        </w:rPr>
        <w:t xml:space="preserve">settlement of transactions in the </w:t>
      </w:r>
      <w:r w:rsidR="006873BD">
        <w:rPr>
          <w:rFonts w:cs="Arial"/>
        </w:rPr>
        <w:t>Ordinary</w:t>
      </w:r>
      <w:r w:rsidRPr="00DE5D68" w:rsidR="006873BD">
        <w:rPr>
          <w:rFonts w:cs="Arial"/>
        </w:rPr>
        <w:t xml:space="preserve"> </w:t>
      </w:r>
      <w:r w:rsidRPr="00DE5D68" w:rsidR="00E532DA">
        <w:rPr>
          <w:rFonts w:cs="Arial"/>
        </w:rPr>
        <w:t>Shares</w:t>
      </w:r>
      <w:r w:rsidRPr="00DE5D68">
        <w:rPr>
          <w:rFonts w:cs="Arial"/>
        </w:rPr>
        <w:t xml:space="preserve"> following </w:t>
      </w:r>
      <w:r w:rsidR="00CA424F">
        <w:rPr>
          <w:rFonts w:cs="Arial"/>
        </w:rPr>
        <w:t xml:space="preserve">Initial Admission and </w:t>
      </w:r>
      <w:r w:rsidRPr="00DE5D68" w:rsidR="00D02A46">
        <w:rPr>
          <w:rFonts w:cs="Arial"/>
        </w:rPr>
        <w:t xml:space="preserve">any </w:t>
      </w:r>
      <w:r w:rsidRPr="00DE5D68">
        <w:rPr>
          <w:rFonts w:cs="Arial"/>
        </w:rPr>
        <w:t xml:space="preserve">Admission will take place in CREST but </w:t>
      </w:r>
      <w:r w:rsidR="00DD0C05">
        <w:rPr>
          <w:rFonts w:cs="Arial"/>
        </w:rPr>
        <w:t>Singer Capital Markets</w:t>
      </w:r>
      <w:r w:rsidRPr="00DE5D68" w:rsidR="00631C3F">
        <w:rPr>
          <w:rFonts w:cs="Arial"/>
        </w:rPr>
        <w:t xml:space="preserve"> </w:t>
      </w:r>
      <w:r w:rsidRPr="00DE5D68">
        <w:rPr>
          <w:rFonts w:cs="Arial"/>
        </w:rPr>
        <w:t xml:space="preserve">reserves the right in its absolute discretion to require settlement in certificated form if, in its opinion, delivery or settlement is not possible or practicable within the CREST system within the timescales previously notified to the </w:t>
      </w:r>
      <w:proofErr w:type="spellStart"/>
      <w:r w:rsidRPr="00DE5D68">
        <w:rPr>
          <w:rFonts w:cs="Arial"/>
        </w:rPr>
        <w:t>Placee</w:t>
      </w:r>
      <w:proofErr w:type="spellEnd"/>
      <w:r w:rsidRPr="00DE5D68">
        <w:rPr>
          <w:rFonts w:cs="Arial"/>
        </w:rPr>
        <w:t xml:space="preserve"> (whether orally, in the Contract Note or Placing Confirmation, in the Placing Letter or otherwise) or would not be consistent with the regulatory requirements in any </w:t>
      </w:r>
      <w:proofErr w:type="spellStart"/>
      <w:r w:rsidRPr="00DE5D68">
        <w:rPr>
          <w:rFonts w:cs="Arial"/>
        </w:rPr>
        <w:t>Placee's</w:t>
      </w:r>
      <w:proofErr w:type="spellEnd"/>
      <w:r w:rsidRPr="00DE5D68">
        <w:rPr>
          <w:rFonts w:cs="Arial"/>
        </w:rPr>
        <w:t xml:space="preserve"> jurisdiction;</w:t>
      </w:r>
    </w:p>
    <w:p w:rsidRPr="00DE5D68" w:rsidR="00DB5267" w:rsidP="007944C6" w:rsidRDefault="00DB5267" w14:paraId="109F738C" w14:textId="63B8B6F4">
      <w:pPr>
        <w:pStyle w:val="Heading2"/>
        <w:rPr>
          <w:rFonts w:cs="Arial"/>
        </w:rPr>
      </w:pPr>
      <w:r w:rsidRPr="00DE5D68">
        <w:rPr>
          <w:rFonts w:cs="Arial"/>
        </w:rPr>
        <w:t xml:space="preserve">it accepts that none of the </w:t>
      </w:r>
      <w:r w:rsidR="006873BD">
        <w:rPr>
          <w:rFonts w:cs="Arial"/>
        </w:rPr>
        <w:t>Ordinary</w:t>
      </w:r>
      <w:r w:rsidRPr="00DE5D68" w:rsidR="006873BD">
        <w:rPr>
          <w:rFonts w:cs="Arial"/>
        </w:rPr>
        <w:t xml:space="preserve"> </w:t>
      </w:r>
      <w:r w:rsidRPr="00DE5D68" w:rsidR="00E532DA">
        <w:rPr>
          <w:rFonts w:cs="Arial"/>
        </w:rPr>
        <w:t>Shares</w:t>
      </w:r>
      <w:r w:rsidRPr="00DE5D68">
        <w:rPr>
          <w:rFonts w:cs="Arial"/>
        </w:rPr>
        <w:t xml:space="preserve"> have been or will be registered under the securities laws, or with any securities regulatory authority of, the United States, any member state of the EEA other than the United Kingdom, Australia, Canada, the Republic of South Africa</w:t>
      </w:r>
      <w:r w:rsidRPr="00DE5D68" w:rsidR="005E2389">
        <w:rPr>
          <w:rFonts w:cs="Arial"/>
        </w:rPr>
        <w:t xml:space="preserve"> </w:t>
      </w:r>
      <w:r w:rsidRPr="00DE5D68">
        <w:rPr>
          <w:rFonts w:cs="Arial"/>
        </w:rPr>
        <w:t xml:space="preserve">or Japan (each a </w:t>
      </w:r>
      <w:r w:rsidRPr="00DE5D68" w:rsidR="00170F35">
        <w:rPr>
          <w:rFonts w:cs="Arial"/>
        </w:rPr>
        <w:t>"</w:t>
      </w:r>
      <w:r w:rsidRPr="009E0BDA">
        <w:rPr>
          <w:rFonts w:cs="Arial"/>
          <w:b/>
        </w:rPr>
        <w:t>Restricted Jurisdiction</w:t>
      </w:r>
      <w:r w:rsidRPr="00DE5D68" w:rsidR="00170F35">
        <w:rPr>
          <w:rFonts w:cs="Arial"/>
        </w:rPr>
        <w:t>"</w:t>
      </w:r>
      <w:r w:rsidRPr="00DE5D68">
        <w:rPr>
          <w:rFonts w:cs="Arial"/>
        </w:rPr>
        <w:t xml:space="preserve">). Accordingly, the </w:t>
      </w:r>
      <w:r w:rsidR="006873BD">
        <w:rPr>
          <w:rFonts w:cs="Arial"/>
        </w:rPr>
        <w:t>Ordinary Shares</w:t>
      </w:r>
      <w:r w:rsidRPr="00DE5D68">
        <w:rPr>
          <w:rFonts w:cs="Arial"/>
        </w:rPr>
        <w:t xml:space="preserve"> may not be offered, sold, issued or delivered, directly or indirectly, within any Restricted Jurisdiction unless an exemption from any registration requirement is available;</w:t>
      </w:r>
      <w:r w:rsidRPr="00DE5D68" w:rsidR="000C651E">
        <w:rPr>
          <w:rFonts w:cs="Arial"/>
        </w:rPr>
        <w:t xml:space="preserve">  </w:t>
      </w:r>
    </w:p>
    <w:p w:rsidRPr="00DE5D68" w:rsidR="00DB5267" w:rsidP="007944C6" w:rsidRDefault="00DB5267" w14:paraId="5020708A" w14:textId="084F44B1">
      <w:pPr>
        <w:pStyle w:val="Heading2"/>
        <w:rPr>
          <w:rFonts w:cs="Arial"/>
        </w:rPr>
      </w:pPr>
      <w:r w:rsidRPr="00DE5D68">
        <w:rPr>
          <w:rFonts w:cs="Arial"/>
        </w:rPr>
        <w:t>if it is within the United Kingdom, it is</w:t>
      </w:r>
      <w:r w:rsidR="009E0BDA">
        <w:rPr>
          <w:rFonts w:cs="Arial"/>
        </w:rPr>
        <w:t>:</w:t>
      </w:r>
      <w:r w:rsidRPr="00DE5D68">
        <w:rPr>
          <w:rFonts w:cs="Arial"/>
        </w:rPr>
        <w:t xml:space="preserve"> (a) a person </w:t>
      </w:r>
      <w:bookmarkStart w:name="_Hlk188627265" w:id="329"/>
      <w:r w:rsidRPr="00DE5D68">
        <w:rPr>
          <w:rFonts w:cs="Arial"/>
        </w:rPr>
        <w:t>who falls within (</w:t>
      </w:r>
      <w:proofErr w:type="spellStart"/>
      <w:r w:rsidRPr="00DE5D68">
        <w:rPr>
          <w:rFonts w:cs="Arial"/>
        </w:rPr>
        <w:t>i</w:t>
      </w:r>
      <w:proofErr w:type="spellEnd"/>
      <w:r w:rsidRPr="00DE5D68">
        <w:rPr>
          <w:rFonts w:cs="Arial"/>
        </w:rPr>
        <w:t xml:space="preserve">) Articles 49(2)(A) to (D) or (ii) </w:t>
      </w:r>
      <w:r w:rsidR="00640CB6">
        <w:rPr>
          <w:rFonts w:cs="Arial"/>
        </w:rPr>
        <w:fldChar w:fldCharType="begin">
          <w:fldData xml:space="preserve">dgAxAHwAMQAwADAAOAAzAHwAQQByAHQAaQBjAGwAZQAgADEAOQAoADUAKQAgAG8AZgAgAHQAaABl
ACAARgBpAG4AYQBuAGMAaQBhAGwAIABTAGUAcgB2AGkAYwBlAHMAIABhAG4AZAAgAE0AYQByAGsA
ZQB0AHMAIABBAGMAdAAgADIAMAAwADAAIAAoAEYAaQBuAGEAbgBjAGkAYQBsACAAUAByAG8AbQBv
AHQAaQBvAG4AcwApACAATwByAGQAZQByACAAMgAwADAANQB8AEEAbQBiAGkAZwAtADEAMAAwADgA
MwB8AHwA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 xml:space="preserve">Article 19(5) of the Financial Services and Markets Act 2000 (Financial Promotions) Order 2005 </w:t>
      </w:r>
      <w:r w:rsidRPr="00DE5D68">
        <w:rPr>
          <w:rFonts w:cs="Arial"/>
        </w:rPr>
        <w:lastRenderedPageBreak/>
        <w:t>(</w:t>
      </w:r>
      <w:r w:rsidR="00640CB6">
        <w:rPr>
          <w:rFonts w:cs="Arial"/>
        </w:rPr>
        <w:fldChar w:fldCharType="begin">
          <w:fldData xml:space="preserve">dgAxAHwAMQAwADAAOQA0AHwAdABoAGUAIAAiAE8AcgBkAGUAcgAiAHwAQQBtAGIAaQBnAC0AMQAw
ADAAOQA0AHwAfAA=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 xml:space="preserve">the </w:t>
      </w:r>
      <w:r w:rsidRPr="00DE5D68" w:rsidR="00170F35">
        <w:rPr>
          <w:rFonts w:cs="Arial"/>
        </w:rPr>
        <w:t>"</w:t>
      </w:r>
      <w:r w:rsidRPr="009E0BDA">
        <w:rPr>
          <w:rFonts w:cs="Arial"/>
          <w:b/>
        </w:rPr>
        <w:t>Order</w:t>
      </w:r>
      <w:r w:rsidRPr="00DE5D68" w:rsidR="00170F35">
        <w:rPr>
          <w:rFonts w:cs="Arial"/>
        </w:rPr>
        <w:t>"</w:t>
      </w:r>
      <w:r w:rsidRPr="00DE5D68">
        <w:rPr>
          <w:rFonts w:cs="Arial"/>
        </w:rPr>
        <w:t xml:space="preserve">) or is a person to whom the </w:t>
      </w:r>
      <w:r w:rsidR="006873BD">
        <w:rPr>
          <w:rFonts w:cs="Arial"/>
        </w:rPr>
        <w:t>Ordinary Shares</w:t>
      </w:r>
      <w:r w:rsidRPr="00DE5D68">
        <w:rPr>
          <w:rFonts w:cs="Arial"/>
        </w:rPr>
        <w:t xml:space="preserve"> may otherwise lawfully be offered under such Order, or, if it is receiving the offer in circumstances under which the laws or regulations of a jurisdiction other than the United Kingdom would apply, that it is a person to whom the</w:t>
      </w:r>
      <w:r w:rsidRPr="00DE5D68" w:rsidR="000C651E">
        <w:rPr>
          <w:rFonts w:cs="Arial"/>
        </w:rPr>
        <w:t xml:space="preserve"> </w:t>
      </w:r>
      <w:r w:rsidR="006873BD">
        <w:rPr>
          <w:rFonts w:cs="Arial"/>
        </w:rPr>
        <w:t>Ordinary Shares</w:t>
      </w:r>
      <w:r w:rsidRPr="00DE5D68">
        <w:rPr>
          <w:rFonts w:cs="Arial"/>
        </w:rPr>
        <w:t xml:space="preserve"> may be lawfully offered under that other jurisdiction’s laws and regulations</w:t>
      </w:r>
      <w:r w:rsidR="009E0BDA">
        <w:rPr>
          <w:rFonts w:cs="Arial"/>
        </w:rPr>
        <w:t>,</w:t>
      </w:r>
      <w:r w:rsidRPr="00DE5D68">
        <w:rPr>
          <w:rFonts w:cs="Arial"/>
        </w:rPr>
        <w:t xml:space="preserve"> (b) a qualified investor (as such term is defined in </w:t>
      </w:r>
      <w:r w:rsidRPr="00DE5D68" w:rsidR="000A2D57">
        <w:rPr>
          <w:rFonts w:cs="Arial"/>
        </w:rPr>
        <w:t>Article 2(e) of the Prospectus Regulation</w:t>
      </w:r>
      <w:r w:rsidRPr="00DE5D68">
        <w:rPr>
          <w:rFonts w:cs="Arial"/>
        </w:rPr>
        <w:t>)</w:t>
      </w:r>
      <w:r w:rsidR="009121C2">
        <w:rPr>
          <w:rFonts w:cs="Arial"/>
        </w:rPr>
        <w:t xml:space="preserve"> and (c) a person to whom the </w:t>
      </w:r>
      <w:r w:rsidR="006873BD">
        <w:rPr>
          <w:rFonts w:cs="Arial"/>
        </w:rPr>
        <w:t>Ordinary Shares</w:t>
      </w:r>
      <w:r w:rsidR="009121C2">
        <w:rPr>
          <w:rFonts w:cs="Arial"/>
        </w:rPr>
        <w:t xml:space="preserve"> may lawfully be marketed under the UK AIFM Regime</w:t>
      </w:r>
      <w:bookmarkEnd w:id="329"/>
      <w:r w:rsidRPr="00DE5D68">
        <w:rPr>
          <w:rFonts w:cs="Arial"/>
        </w:rPr>
        <w:t>;</w:t>
      </w:r>
      <w:r w:rsidRPr="00DE5D68" w:rsidR="000C651E">
        <w:rPr>
          <w:rFonts w:cs="Arial"/>
        </w:rPr>
        <w:t xml:space="preserve">  </w:t>
      </w:r>
    </w:p>
    <w:p w:rsidRPr="00DE5D68" w:rsidR="00DB5267" w:rsidP="007944C6" w:rsidRDefault="00DB5267" w14:paraId="078A3E32" w14:textId="37FB8045">
      <w:pPr>
        <w:pStyle w:val="Heading2"/>
        <w:rPr>
          <w:rFonts w:cs="Arial"/>
        </w:rPr>
      </w:pPr>
      <w:r w:rsidRPr="00DE5D68">
        <w:rPr>
          <w:rFonts w:cs="Arial"/>
        </w:rPr>
        <w:t xml:space="preserve">if it is a resident in </w:t>
      </w:r>
      <w:r w:rsidR="009121C2">
        <w:rPr>
          <w:rFonts w:cs="Arial"/>
        </w:rPr>
        <w:t>a Relevant State</w:t>
      </w:r>
      <w:r w:rsidRPr="00DE5D68">
        <w:rPr>
          <w:rFonts w:cs="Arial"/>
        </w:rPr>
        <w:t xml:space="preserve">, it is (a) a qualified investor within the meaning of Article </w:t>
      </w:r>
      <w:r w:rsidRPr="00DE5D68" w:rsidR="00E11EFB">
        <w:rPr>
          <w:rFonts w:cs="Arial"/>
        </w:rPr>
        <w:t>2(e)</w:t>
      </w:r>
      <w:r w:rsidRPr="00DE5D68">
        <w:rPr>
          <w:rFonts w:cs="Arial"/>
        </w:rPr>
        <w:t xml:space="preserve"> of the </w:t>
      </w:r>
      <w:r w:rsidR="009121C2">
        <w:rPr>
          <w:rFonts w:cs="Arial"/>
        </w:rPr>
        <w:t xml:space="preserve">EEA </w:t>
      </w:r>
      <w:r w:rsidRPr="00DE5D68">
        <w:rPr>
          <w:rFonts w:cs="Arial"/>
        </w:rPr>
        <w:t xml:space="preserve">Prospectus </w:t>
      </w:r>
      <w:r w:rsidRPr="00DE5D68" w:rsidR="00E11EFB">
        <w:rPr>
          <w:rFonts w:cs="Arial"/>
        </w:rPr>
        <w:t>Regulation</w:t>
      </w:r>
      <w:r w:rsidR="009E0BDA">
        <w:rPr>
          <w:rFonts w:cs="Arial"/>
        </w:rPr>
        <w:t>,</w:t>
      </w:r>
      <w:r w:rsidRPr="00DE5D68" w:rsidR="00E11EFB">
        <w:rPr>
          <w:rFonts w:cs="Arial"/>
        </w:rPr>
        <w:t xml:space="preserve"> </w:t>
      </w:r>
      <w:r w:rsidRPr="00DE5D68">
        <w:rPr>
          <w:rFonts w:cs="Arial"/>
        </w:rPr>
        <w:t xml:space="preserve">and (b) it is a person to whom the </w:t>
      </w:r>
      <w:r w:rsidR="006873BD">
        <w:rPr>
          <w:rFonts w:cs="Arial"/>
        </w:rPr>
        <w:t>Ordinary Shares</w:t>
      </w:r>
      <w:r w:rsidRPr="00DE5D68">
        <w:rPr>
          <w:rFonts w:cs="Arial"/>
        </w:rPr>
        <w:t xml:space="preserve"> may lawfully be marketed to under </w:t>
      </w:r>
      <w:r w:rsidRPr="00DE5D68" w:rsidR="00450F23">
        <w:rPr>
          <w:rFonts w:cs="Arial"/>
        </w:rPr>
        <w:t xml:space="preserve">the </w:t>
      </w:r>
      <w:r w:rsidR="009121C2">
        <w:rPr>
          <w:rFonts w:cs="Arial"/>
        </w:rPr>
        <w:t xml:space="preserve">EU </w:t>
      </w:r>
      <w:r w:rsidRPr="00DE5D68" w:rsidR="00450F23">
        <w:rPr>
          <w:rFonts w:cs="Arial"/>
        </w:rPr>
        <w:t xml:space="preserve">AIFM Directive or under </w:t>
      </w:r>
      <w:r w:rsidRPr="00DE5D68">
        <w:rPr>
          <w:rFonts w:cs="Arial"/>
        </w:rPr>
        <w:t>the applicable implementing legislation (if any) of the</w:t>
      </w:r>
      <w:r w:rsidR="009E0BDA">
        <w:rPr>
          <w:rFonts w:cs="Arial"/>
        </w:rPr>
        <w:t xml:space="preserve"> </w:t>
      </w:r>
      <w:r w:rsidR="009121C2">
        <w:rPr>
          <w:rFonts w:cs="Arial"/>
        </w:rPr>
        <w:t>Relevant S</w:t>
      </w:r>
      <w:r w:rsidRPr="00DE5D68" w:rsidR="0087651D">
        <w:rPr>
          <w:rFonts w:cs="Arial"/>
        </w:rPr>
        <w:t>tate</w:t>
      </w:r>
      <w:r w:rsidRPr="00DE5D68">
        <w:rPr>
          <w:rFonts w:cs="Arial"/>
        </w:rPr>
        <w:t>;</w:t>
      </w:r>
      <w:r w:rsidRPr="00DE5D68" w:rsidR="004030F4">
        <w:rPr>
          <w:rFonts w:cs="Arial"/>
        </w:rPr>
        <w:t xml:space="preserve"> </w:t>
      </w:r>
    </w:p>
    <w:p w:rsidRPr="009121C2" w:rsidR="009121C2" w:rsidP="009121C2" w:rsidRDefault="009121C2" w14:paraId="76C49D1F" w14:textId="55462DD9">
      <w:pPr>
        <w:pStyle w:val="Heading2"/>
        <w:rPr>
          <w:rFonts w:cs="Arial"/>
        </w:rPr>
      </w:pPr>
      <w:r w:rsidRPr="009121C2">
        <w:rPr>
          <w:rFonts w:cs="Arial"/>
        </w:rPr>
        <w:t xml:space="preserve">if it is a professional investor (as such term is given meaning in the EU AIFM Directive) resident, domiciled in, or with a registered office in the EEA, it confirms that the </w:t>
      </w:r>
      <w:r w:rsidR="006873BD">
        <w:rPr>
          <w:rFonts w:cs="Arial"/>
        </w:rPr>
        <w:t>Ordinary Shares</w:t>
      </w:r>
      <w:r w:rsidRPr="009121C2">
        <w:rPr>
          <w:rFonts w:cs="Arial"/>
        </w:rPr>
        <w:t xml:space="preserve"> have only been promoted, offered, placed or otherwise marketed to it, and the subscription will be made from, (a) a country outside the EEA; (b) a country in the EEA that has not transposed the EU AIFM Directive as at the date of the </w:t>
      </w:r>
      <w:proofErr w:type="spellStart"/>
      <w:r w:rsidRPr="009121C2">
        <w:rPr>
          <w:rFonts w:cs="Arial"/>
        </w:rPr>
        <w:t>Placee’s</w:t>
      </w:r>
      <w:proofErr w:type="spellEnd"/>
      <w:r w:rsidRPr="009121C2">
        <w:rPr>
          <w:rFonts w:cs="Arial"/>
        </w:rPr>
        <w:t xml:space="preserve"> commitment to subscribe is made; or (c) a country in the EEA in respect of which the Investment Manager has confirmed that it has made a relevant national private placement regime notification and is lawfully able to market </w:t>
      </w:r>
      <w:r w:rsidR="006873BD">
        <w:rPr>
          <w:rFonts w:cs="Arial"/>
        </w:rPr>
        <w:t>Ordinary Shares</w:t>
      </w:r>
      <w:r w:rsidRPr="009121C2">
        <w:rPr>
          <w:rFonts w:cs="Arial"/>
        </w:rPr>
        <w:t xml:space="preserve"> into that EEA county;</w:t>
      </w:r>
    </w:p>
    <w:p w:rsidRPr="00DE5D68" w:rsidR="00DB5267" w:rsidP="007944C6" w:rsidRDefault="00DB5267" w14:paraId="5D80B265" w14:textId="54FE51D9">
      <w:pPr>
        <w:pStyle w:val="Heading2"/>
        <w:rPr>
          <w:rFonts w:cs="Arial"/>
        </w:rPr>
      </w:pPr>
      <w:r w:rsidRPr="00DE5D68">
        <w:rPr>
          <w:rFonts w:cs="Arial"/>
        </w:rPr>
        <w:t xml:space="preserve">in the case of any </w:t>
      </w:r>
      <w:r w:rsidR="006873BD">
        <w:rPr>
          <w:rFonts w:cs="Arial"/>
        </w:rPr>
        <w:t>Ordinary Shares</w:t>
      </w:r>
      <w:r w:rsidRPr="00DE5D68">
        <w:rPr>
          <w:rFonts w:cs="Arial"/>
        </w:rPr>
        <w:t xml:space="preserve"> acquired by an investor as a financial intermediary a</w:t>
      </w:r>
      <w:r w:rsidRPr="00DE5D68" w:rsidR="00E11EFB">
        <w:rPr>
          <w:rFonts w:cs="Arial"/>
        </w:rPr>
        <w:t>s that term is used in Article 5</w:t>
      </w:r>
      <w:r w:rsidRPr="00DE5D68">
        <w:rPr>
          <w:rFonts w:cs="Arial"/>
        </w:rPr>
        <w:t xml:space="preserve">(2) of the </w:t>
      </w:r>
      <w:r w:rsidR="009121C2">
        <w:rPr>
          <w:rFonts w:cs="Arial"/>
        </w:rPr>
        <w:t xml:space="preserve">EEA </w:t>
      </w:r>
      <w:r w:rsidRPr="00DE5D68">
        <w:rPr>
          <w:rFonts w:cs="Arial"/>
        </w:rPr>
        <w:t>Prospectus</w:t>
      </w:r>
      <w:r w:rsidRPr="00DE5D68" w:rsidR="00E11EFB">
        <w:rPr>
          <w:rFonts w:cs="Arial"/>
        </w:rPr>
        <w:t xml:space="preserve"> Regulation</w:t>
      </w:r>
      <w:r w:rsidR="009E0BDA">
        <w:rPr>
          <w:rFonts w:cs="Arial"/>
        </w:rPr>
        <w:t>:</w:t>
      </w:r>
      <w:r w:rsidRPr="00DE5D68">
        <w:rPr>
          <w:rFonts w:cs="Arial"/>
        </w:rPr>
        <w:t xml:space="preserve"> (</w:t>
      </w:r>
      <w:proofErr w:type="spellStart"/>
      <w:r w:rsidRPr="00DE5D68">
        <w:rPr>
          <w:rFonts w:cs="Arial"/>
        </w:rPr>
        <w:t>i</w:t>
      </w:r>
      <w:proofErr w:type="spellEnd"/>
      <w:r w:rsidRPr="00DE5D68">
        <w:rPr>
          <w:rFonts w:cs="Arial"/>
        </w:rPr>
        <w:t xml:space="preserve">) the </w:t>
      </w:r>
      <w:r w:rsidR="006873BD">
        <w:rPr>
          <w:rFonts w:cs="Arial"/>
        </w:rPr>
        <w:t>Ordinary Shares</w:t>
      </w:r>
      <w:r w:rsidRPr="00DE5D68" w:rsidR="00975A1D">
        <w:rPr>
          <w:rFonts w:cs="Arial"/>
        </w:rPr>
        <w:t xml:space="preserve"> acquired by it in the </w:t>
      </w:r>
      <w:r w:rsidRPr="00DE5D68" w:rsidR="00D02A46">
        <w:rPr>
          <w:rFonts w:cs="Arial"/>
        </w:rPr>
        <w:t xml:space="preserve">Initial </w:t>
      </w:r>
      <w:r w:rsidRPr="00DE5D68">
        <w:rPr>
          <w:rFonts w:cs="Arial"/>
        </w:rPr>
        <w:t xml:space="preserve">Placing </w:t>
      </w:r>
      <w:r w:rsidRPr="00DE5D68" w:rsidR="00D02A46">
        <w:rPr>
          <w:rFonts w:cs="Arial"/>
        </w:rPr>
        <w:t xml:space="preserve">and/or Subsequent Placings </w:t>
      </w:r>
      <w:r w:rsidRPr="00DE5D68">
        <w:rPr>
          <w:rFonts w:cs="Arial"/>
        </w:rPr>
        <w:t xml:space="preserve">have not been acquired on behalf of, nor have they been acquired with a view to their offer or resale to, persons in any </w:t>
      </w:r>
      <w:r w:rsidRPr="00DE5D68" w:rsidR="00323998">
        <w:rPr>
          <w:rFonts w:cs="Arial"/>
        </w:rPr>
        <w:t>R</w:t>
      </w:r>
      <w:r w:rsidRPr="00DE5D68">
        <w:rPr>
          <w:rFonts w:cs="Arial"/>
        </w:rPr>
        <w:t xml:space="preserve">elevant </w:t>
      </w:r>
      <w:r w:rsidRPr="00DE5D68" w:rsidR="00323998">
        <w:rPr>
          <w:rFonts w:cs="Arial"/>
        </w:rPr>
        <w:t>S</w:t>
      </w:r>
      <w:r w:rsidRPr="00DE5D68">
        <w:rPr>
          <w:rFonts w:cs="Arial"/>
        </w:rPr>
        <w:t xml:space="preserve">tate other than qualified investors, as that term is defined in the </w:t>
      </w:r>
      <w:r w:rsidR="009121C2">
        <w:rPr>
          <w:rFonts w:cs="Arial"/>
        </w:rPr>
        <w:t xml:space="preserve">EEA </w:t>
      </w:r>
      <w:r w:rsidRPr="00DE5D68">
        <w:rPr>
          <w:rFonts w:cs="Arial"/>
        </w:rPr>
        <w:t xml:space="preserve">Prospectus </w:t>
      </w:r>
      <w:r w:rsidRPr="00DE5D68" w:rsidR="007008BD">
        <w:rPr>
          <w:rFonts w:cs="Arial"/>
        </w:rPr>
        <w:t>Regulation</w:t>
      </w:r>
      <w:r w:rsidRPr="00DE5D68">
        <w:rPr>
          <w:rFonts w:cs="Arial"/>
        </w:rPr>
        <w:t xml:space="preserve">, or in circumstances in which the prior consent of </w:t>
      </w:r>
      <w:r w:rsidR="00DD0C05">
        <w:rPr>
          <w:rFonts w:cs="Arial"/>
        </w:rPr>
        <w:t>Singer Capital Markets</w:t>
      </w:r>
      <w:r w:rsidRPr="00DE5D68" w:rsidR="00631C3F">
        <w:rPr>
          <w:rFonts w:cs="Arial"/>
        </w:rPr>
        <w:t xml:space="preserve"> </w:t>
      </w:r>
      <w:r w:rsidRPr="00DE5D68">
        <w:rPr>
          <w:rFonts w:cs="Arial"/>
        </w:rPr>
        <w:t xml:space="preserve">has been given to the offer or resale; or (ii) where </w:t>
      </w:r>
      <w:r w:rsidR="006873BD">
        <w:rPr>
          <w:rFonts w:cs="Arial"/>
        </w:rPr>
        <w:t>Ordinary Shares</w:t>
      </w:r>
      <w:r w:rsidRPr="00DE5D68">
        <w:rPr>
          <w:rFonts w:cs="Arial"/>
        </w:rPr>
        <w:t xml:space="preserve"> have been acquired by it on behalf of persons in any </w:t>
      </w:r>
      <w:r w:rsidRPr="00DE5D68" w:rsidR="00323998">
        <w:rPr>
          <w:rFonts w:cs="Arial"/>
        </w:rPr>
        <w:t>R</w:t>
      </w:r>
      <w:r w:rsidRPr="00DE5D68" w:rsidR="0087651D">
        <w:rPr>
          <w:rFonts w:cs="Arial"/>
        </w:rPr>
        <w:t xml:space="preserve">elevant </w:t>
      </w:r>
      <w:r w:rsidRPr="00DE5D68" w:rsidR="00323998">
        <w:rPr>
          <w:rFonts w:cs="Arial"/>
        </w:rPr>
        <w:t>S</w:t>
      </w:r>
      <w:r w:rsidRPr="00DE5D68">
        <w:rPr>
          <w:rFonts w:cs="Arial"/>
        </w:rPr>
        <w:t xml:space="preserve">tate other than qualified investors, the offer of those </w:t>
      </w:r>
      <w:r w:rsidR="006873BD">
        <w:rPr>
          <w:rFonts w:cs="Arial"/>
        </w:rPr>
        <w:t>Ordinary Shares</w:t>
      </w:r>
      <w:r w:rsidRPr="00DE5D68">
        <w:rPr>
          <w:rFonts w:cs="Arial"/>
        </w:rPr>
        <w:t xml:space="preserve"> to it is not treated under the </w:t>
      </w:r>
      <w:r w:rsidR="009121C2">
        <w:rPr>
          <w:rFonts w:cs="Arial"/>
        </w:rPr>
        <w:t xml:space="preserve">EEA </w:t>
      </w:r>
      <w:r w:rsidRPr="00DE5D68">
        <w:rPr>
          <w:rFonts w:cs="Arial"/>
        </w:rPr>
        <w:t xml:space="preserve">Prospectus </w:t>
      </w:r>
      <w:r w:rsidRPr="00DE5D68" w:rsidR="00391CBC">
        <w:rPr>
          <w:rFonts w:cs="Arial"/>
        </w:rPr>
        <w:t xml:space="preserve">Regulation </w:t>
      </w:r>
      <w:r w:rsidRPr="00DE5D68">
        <w:rPr>
          <w:rFonts w:cs="Arial"/>
        </w:rPr>
        <w:t>as having been made to such persons;</w:t>
      </w:r>
      <w:r w:rsidRPr="00DE5D68" w:rsidR="000C651E">
        <w:rPr>
          <w:rFonts w:cs="Arial"/>
        </w:rPr>
        <w:t xml:space="preserve"> </w:t>
      </w:r>
      <w:r w:rsidRPr="00DE5D68" w:rsidR="00975A1D">
        <w:rPr>
          <w:rFonts w:cs="Arial"/>
        </w:rPr>
        <w:t xml:space="preserve">  </w:t>
      </w:r>
    </w:p>
    <w:p w:rsidRPr="00DE5D68" w:rsidR="00BD1D05" w:rsidP="007944C6" w:rsidRDefault="00BD1D05" w14:paraId="189E92CC" w14:textId="2D717B91">
      <w:pPr>
        <w:pStyle w:val="Heading2"/>
        <w:rPr>
          <w:rFonts w:cs="Arial"/>
        </w:rPr>
      </w:pPr>
      <w:r w:rsidRPr="00DE5D68">
        <w:rPr>
          <w:rFonts w:cs="Arial"/>
        </w:rPr>
        <w:t>it: (</w:t>
      </w:r>
      <w:proofErr w:type="spellStart"/>
      <w:r w:rsidRPr="00DE5D68">
        <w:rPr>
          <w:rFonts w:cs="Arial"/>
        </w:rPr>
        <w:t>i</w:t>
      </w:r>
      <w:proofErr w:type="spellEnd"/>
      <w:r w:rsidRPr="00DE5D68">
        <w:rPr>
          <w:rFonts w:cs="Arial"/>
        </w:rPr>
        <w:t xml:space="preserve">) is entitled to subscribe for the </w:t>
      </w:r>
      <w:r w:rsidR="006873BD">
        <w:rPr>
          <w:rFonts w:cs="Arial"/>
        </w:rPr>
        <w:t>Ordinary Shares</w:t>
      </w:r>
      <w:r w:rsidRPr="00DE5D68">
        <w:rPr>
          <w:rFonts w:cs="Arial"/>
        </w:rPr>
        <w:t xml:space="preserve"> under the laws of all relevant jurisdictions; (ii) has fully observed the laws of all relevant jurisdictions; (iii) has the requisite capacity and authority and is entitled to enter into and perform its obligations as a subscriber for </w:t>
      </w:r>
      <w:r w:rsidR="006873BD">
        <w:rPr>
          <w:rFonts w:cs="Arial"/>
        </w:rPr>
        <w:t>Ordinary Shares</w:t>
      </w:r>
      <w:r w:rsidRPr="00DE5D68">
        <w:rPr>
          <w:rFonts w:cs="Arial"/>
        </w:rPr>
        <w:t xml:space="preserve"> and will honour such obligations; and (iv) has obtained all necessary consents and authorities to enable it to enter into the transactions contemplated hereby and to perform its obligations in relation thereto;</w:t>
      </w:r>
    </w:p>
    <w:p w:rsidRPr="00DE5D68" w:rsidR="00DB5267" w:rsidP="007944C6" w:rsidRDefault="00DB5267" w14:paraId="2D48A94E" w14:textId="6997CBF3">
      <w:pPr>
        <w:pStyle w:val="Heading2"/>
        <w:rPr>
          <w:rFonts w:cs="Arial"/>
        </w:rPr>
      </w:pPr>
      <w:r w:rsidRPr="00DE5D68">
        <w:rPr>
          <w:rFonts w:cs="Arial"/>
        </w:rPr>
        <w:t xml:space="preserve">if it is outside the United Kingdom, neither this document nor any other offering, marketing or other material in connection with the </w:t>
      </w:r>
      <w:r w:rsidRPr="00DE5D68" w:rsidR="00D02A46">
        <w:rPr>
          <w:rFonts w:cs="Arial"/>
        </w:rPr>
        <w:t xml:space="preserve">Initial </w:t>
      </w:r>
      <w:r w:rsidRPr="00DE5D68">
        <w:rPr>
          <w:rFonts w:cs="Arial"/>
        </w:rPr>
        <w:t xml:space="preserve">Placing (for the purposes of this </w:t>
      </w:r>
      <w:r w:rsidR="002473F7">
        <w:rPr>
          <w:rFonts w:cs="Arial"/>
        </w:rPr>
        <w:fldChar w:fldCharType="begin" w:fldLock="1"/>
      </w:r>
      <w:r w:rsidR="002473F7">
        <w:rPr>
          <w:rFonts w:cs="Arial"/>
        </w:rPr>
        <w:instrText xml:space="preserve"> REF _Ref65764989 \n \h </w:instrText>
      </w:r>
      <w:r w:rsidR="002473F7">
        <w:rPr>
          <w:rFonts w:cs="Arial"/>
        </w:rPr>
      </w:r>
      <w:r w:rsidR="002473F7">
        <w:rPr>
          <w:rFonts w:cs="Arial"/>
        </w:rPr>
        <w:fldChar w:fldCharType="separate"/>
      </w:r>
      <w:r w:rsidR="00DA4048">
        <w:rPr>
          <w:rFonts w:cs="Arial"/>
        </w:rPr>
        <w:t>Part 8</w:t>
      </w:r>
      <w:r w:rsidR="002473F7">
        <w:rPr>
          <w:rFonts w:cs="Arial"/>
        </w:rPr>
        <w:fldChar w:fldCharType="end"/>
      </w:r>
      <w:r w:rsidRPr="00DE5D68" w:rsidR="00C7483A">
        <w:rPr>
          <w:rFonts w:cs="Arial"/>
        </w:rPr>
        <w:t xml:space="preserve">, </w:t>
      </w:r>
      <w:r w:rsidRPr="00DE5D68">
        <w:rPr>
          <w:rFonts w:cs="Arial"/>
        </w:rPr>
        <w:t xml:space="preserve">each a </w:t>
      </w:r>
      <w:r w:rsidRPr="00DE5D68" w:rsidR="00170F35">
        <w:rPr>
          <w:rFonts w:cs="Arial"/>
        </w:rPr>
        <w:t>"</w:t>
      </w:r>
      <w:r w:rsidRPr="00DE5D68">
        <w:rPr>
          <w:rFonts w:cs="Arial"/>
        </w:rPr>
        <w:t>Placing Document</w:t>
      </w:r>
      <w:r w:rsidRPr="00DE5D68" w:rsidR="00170F35">
        <w:rPr>
          <w:rFonts w:cs="Arial"/>
        </w:rPr>
        <w:t>"</w:t>
      </w:r>
      <w:r w:rsidRPr="00DE5D68">
        <w:rPr>
          <w:rFonts w:cs="Arial"/>
        </w:rPr>
        <w:t xml:space="preserve">) constitutes an invitation, offer or promotion to, or arrangement with, it or any person whom it is procuring to subscribe for </w:t>
      </w:r>
      <w:r w:rsidR="006873BD">
        <w:rPr>
          <w:rFonts w:cs="Arial"/>
        </w:rPr>
        <w:t>Ordinary Shares</w:t>
      </w:r>
      <w:r w:rsidRPr="00DE5D68" w:rsidR="00975A1D">
        <w:rPr>
          <w:rFonts w:cs="Arial"/>
        </w:rPr>
        <w:t xml:space="preserve"> pursuant to the</w:t>
      </w:r>
      <w:r w:rsidRPr="00DE5D68">
        <w:rPr>
          <w:rFonts w:cs="Arial"/>
        </w:rPr>
        <w:t xml:space="preserve"> </w:t>
      </w:r>
      <w:r w:rsidRPr="00DE5D68" w:rsidR="00DA2858">
        <w:rPr>
          <w:rFonts w:cs="Arial"/>
        </w:rPr>
        <w:t xml:space="preserve">Initial </w:t>
      </w:r>
      <w:r w:rsidRPr="00DE5D68">
        <w:rPr>
          <w:rFonts w:cs="Arial"/>
        </w:rPr>
        <w:t>Placing</w:t>
      </w:r>
      <w:r w:rsidRPr="00DE5D68" w:rsidR="00DA2858">
        <w:rPr>
          <w:rFonts w:cs="Arial"/>
        </w:rPr>
        <w:t xml:space="preserve"> or any Subsequent Placing</w:t>
      </w:r>
      <w:r w:rsidRPr="00DE5D68">
        <w:rPr>
          <w:rFonts w:cs="Arial"/>
        </w:rPr>
        <w:t xml:space="preserve"> unless, in the relevant territory, such offer, invitation or other course of conduct could lawfully be made to it or such person and such documents or materials could lawfully be provided to it or such person and </w:t>
      </w:r>
      <w:r w:rsidR="006873BD">
        <w:rPr>
          <w:rFonts w:cs="Arial"/>
        </w:rPr>
        <w:t>Ordinary Shares</w:t>
      </w:r>
      <w:r w:rsidRPr="00DE5D68">
        <w:rPr>
          <w:rFonts w:cs="Arial"/>
        </w:rPr>
        <w:t xml:space="preserve"> could lawfully be distributed to and subscribed and held by it or such person without compliance with any unfulfilled approval, registration or other regulatory or legal requirements;</w:t>
      </w:r>
      <w:r w:rsidRPr="00DE5D68" w:rsidR="00975A1D">
        <w:rPr>
          <w:rFonts w:cs="Arial"/>
        </w:rPr>
        <w:t xml:space="preserve"> </w:t>
      </w:r>
    </w:p>
    <w:p w:rsidRPr="00DE5D68" w:rsidR="00DB5267" w:rsidP="007944C6" w:rsidRDefault="00DB5267" w14:paraId="5793DC4B" w14:textId="32A104C5">
      <w:pPr>
        <w:pStyle w:val="Heading2"/>
        <w:rPr>
          <w:rFonts w:cs="Arial"/>
        </w:rPr>
      </w:pPr>
      <w:r w:rsidRPr="00DE5D68">
        <w:rPr>
          <w:rFonts w:cs="Arial"/>
        </w:rPr>
        <w:t xml:space="preserve">it does not have a registered address in, and is not a citizen, resident or national of a Restricted Jurisdiction or any jurisdiction in which it is unlawful to make or accept an offer of the </w:t>
      </w:r>
      <w:r w:rsidR="006873BD">
        <w:rPr>
          <w:rFonts w:cs="Arial"/>
        </w:rPr>
        <w:t>Ordinary Shares</w:t>
      </w:r>
      <w:r w:rsidRPr="00DE5D68">
        <w:rPr>
          <w:rFonts w:cs="Arial"/>
        </w:rPr>
        <w:t xml:space="preserve"> and it is not acting on a non-discretionary basis for any such person;</w:t>
      </w:r>
    </w:p>
    <w:p w:rsidRPr="00DE5D68" w:rsidR="00DB5267" w:rsidP="007944C6" w:rsidRDefault="00DB5267" w14:paraId="5E77039C" w14:textId="226EB8D3">
      <w:pPr>
        <w:pStyle w:val="Heading2"/>
        <w:rPr>
          <w:rFonts w:cs="Arial"/>
        </w:rPr>
      </w:pPr>
      <w:r w:rsidRPr="00DE5D68">
        <w:rPr>
          <w:rFonts w:cs="Arial"/>
        </w:rPr>
        <w:t xml:space="preserve">if the investor is a natural person, such investor is not under the age of majority (18 years of age in the United Kingdom) on the date of such investor’s agreement to subscribe for </w:t>
      </w:r>
      <w:r w:rsidR="006873BD">
        <w:rPr>
          <w:rFonts w:cs="Arial"/>
        </w:rPr>
        <w:t>Ordinary Shares</w:t>
      </w:r>
      <w:r w:rsidRPr="00DE5D68" w:rsidR="00975A1D">
        <w:rPr>
          <w:rFonts w:cs="Arial"/>
        </w:rPr>
        <w:t xml:space="preserve"> under the </w:t>
      </w:r>
      <w:r w:rsidRPr="00DE5D68" w:rsidR="00DA2858">
        <w:rPr>
          <w:rFonts w:cs="Arial"/>
        </w:rPr>
        <w:t xml:space="preserve">Initial </w:t>
      </w:r>
      <w:r w:rsidRPr="00DE5D68">
        <w:rPr>
          <w:rFonts w:cs="Arial"/>
        </w:rPr>
        <w:t>Placing</w:t>
      </w:r>
      <w:r w:rsidRPr="00DE5D68" w:rsidR="00DA2858">
        <w:rPr>
          <w:rFonts w:cs="Arial"/>
        </w:rPr>
        <w:t xml:space="preserve"> or relevant Subsequent Placing</w:t>
      </w:r>
      <w:r w:rsidRPr="00DE5D68">
        <w:rPr>
          <w:rFonts w:cs="Arial"/>
        </w:rPr>
        <w:t>;</w:t>
      </w:r>
    </w:p>
    <w:p w:rsidRPr="00DE5D68" w:rsidR="00DB5267" w:rsidP="007944C6" w:rsidRDefault="00DB5267" w14:paraId="16D253C3" w14:textId="272AD2B0">
      <w:pPr>
        <w:pStyle w:val="Heading2"/>
        <w:rPr>
          <w:rFonts w:cs="Arial"/>
        </w:rPr>
      </w:pPr>
      <w:r w:rsidRPr="00DE5D68">
        <w:rPr>
          <w:rFonts w:cs="Arial"/>
        </w:rPr>
        <w:t xml:space="preserve">it has only communicated or caused to be communicated and will only communicate or cause to be communicated any invitation or inducement to engage in investment activity (within the meaning of </w:t>
      </w:r>
      <w:r w:rsidR="00640CB6">
        <w:rPr>
          <w:rFonts w:cs="Arial"/>
        </w:rPr>
        <w:fldChar w:fldCharType="begin">
          <w:fldData xml:space="preserve">dgAxAHwAMQAwADAAOAA0AHwAcwBlAGMAdABpAG8AbgAgADIAMQAgAG8AZgAgAEYAUwBNAEEAfABC
AEUAUwBUAEIATABTAEUAQwBUAEkATwBOADIANgA2ADcAOQA4AHwAfAA=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section 21 of FSMA) relating to the</w:t>
      </w:r>
      <w:r w:rsidRPr="00DE5D68" w:rsidR="00975A1D">
        <w:rPr>
          <w:rFonts w:cs="Arial"/>
        </w:rPr>
        <w:t xml:space="preserve"> </w:t>
      </w:r>
      <w:r w:rsidR="006873BD">
        <w:rPr>
          <w:rFonts w:cs="Arial"/>
        </w:rPr>
        <w:t>Ordinary Shares</w:t>
      </w:r>
      <w:r w:rsidRPr="00DE5D68">
        <w:rPr>
          <w:rFonts w:cs="Arial"/>
        </w:rPr>
        <w:t xml:space="preserve"> in circumstances in which </w:t>
      </w:r>
      <w:r w:rsidR="00640CB6">
        <w:rPr>
          <w:rFonts w:cs="Arial"/>
        </w:rPr>
        <w:fldChar w:fldCharType="begin">
          <w:fldData xml:space="preserve">dgAxAHwAMQAwADAAOAA1AHwAcwBlAGMAdABpAG8AbgAgADIAMQAoADEAKQAgAG8AZgAgAEYAUwBN
AEEAfABCAEUAUwBUAEIATABTAEUAQwBUAEkATwBOADIANgA2ADcAOQA4AHwAfAA=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section 21(1) of FSMA does not require approval of the communication by an authorised person and acknowledge</w:t>
      </w:r>
      <w:r w:rsidRPr="00DE5D68" w:rsidR="00585A95">
        <w:rPr>
          <w:rFonts w:cs="Arial"/>
        </w:rPr>
        <w:t>s</w:t>
      </w:r>
      <w:r w:rsidRPr="00DE5D68">
        <w:rPr>
          <w:rFonts w:cs="Arial"/>
        </w:rPr>
        <w:t xml:space="preserve"> and agree</w:t>
      </w:r>
      <w:r w:rsidRPr="00DE5D68" w:rsidR="00585A95">
        <w:rPr>
          <w:rFonts w:cs="Arial"/>
        </w:rPr>
        <w:t>s</w:t>
      </w:r>
      <w:r w:rsidRPr="00DE5D68">
        <w:rPr>
          <w:rFonts w:cs="Arial"/>
        </w:rPr>
        <w:t xml:space="preserve"> that no Placing Document is being issued by </w:t>
      </w:r>
      <w:r w:rsidR="00DD0C05">
        <w:rPr>
          <w:rFonts w:cs="Arial"/>
        </w:rPr>
        <w:t>Singer Capital Markets</w:t>
      </w:r>
      <w:r w:rsidRPr="00DE5D68" w:rsidR="00631C3F">
        <w:rPr>
          <w:rFonts w:cs="Arial"/>
        </w:rPr>
        <w:t xml:space="preserve"> </w:t>
      </w:r>
      <w:r w:rsidRPr="00DE5D68">
        <w:rPr>
          <w:rFonts w:cs="Arial"/>
        </w:rPr>
        <w:t xml:space="preserve">in its capacity as an authorised person under </w:t>
      </w:r>
      <w:r w:rsidR="00640CB6">
        <w:rPr>
          <w:rFonts w:cs="Arial"/>
        </w:rPr>
        <w:fldChar w:fldCharType="begin">
          <w:fldData xml:space="preserve">dgAxAHwAMQAwADAAOAA2AHwAcwBlAGMAdABpAG8AbgAgADIAMQAgAG8AZgAgAEYAUwBNAEEAfABC
AEUAUwBUAEIATABTAEUAQwBUAEkATwBOADIANgA2ADcAOQA4AHwAfAA=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section 21 of FSMA and such documents may not therefore be subject to the controls which would apply if they were made or approved a financial promotion by an authorised person;</w:t>
      </w:r>
      <w:r w:rsidRPr="00DE5D68" w:rsidR="00975A1D">
        <w:rPr>
          <w:rFonts w:cs="Arial"/>
        </w:rPr>
        <w:t xml:space="preserve"> </w:t>
      </w:r>
    </w:p>
    <w:p w:rsidRPr="00DE5D68" w:rsidR="00DB5267" w:rsidP="007944C6" w:rsidRDefault="00DB5267" w14:paraId="1DE41C62" w14:textId="3F019561">
      <w:pPr>
        <w:pStyle w:val="Heading2"/>
        <w:rPr>
          <w:rFonts w:cs="Arial"/>
        </w:rPr>
      </w:pPr>
      <w:r w:rsidRPr="00DE5D68">
        <w:rPr>
          <w:rFonts w:cs="Arial"/>
        </w:rPr>
        <w:lastRenderedPageBreak/>
        <w:t xml:space="preserve">it is aware of and acknowledges that it is required to comply with all applicable provisions of </w:t>
      </w:r>
      <w:r w:rsidR="00640CB6">
        <w:rPr>
          <w:rFonts w:cs="Arial"/>
        </w:rPr>
        <w:fldChar w:fldCharType="begin">
          <w:fldData xml:space="preserve">dgAxAHwAMQAwADAAOAA3AHwARgBTAE0AQQB8AEIARQBTAFQAQgBMAFQASQBUAEwARQA2ADUAMwA3
ADIANQB8AHwA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 xml:space="preserve">FSMA with respect to anything done by it in relation to the </w:t>
      </w:r>
      <w:r w:rsidR="006873BD">
        <w:rPr>
          <w:rFonts w:cs="Arial"/>
        </w:rPr>
        <w:t>Ordinary Shares</w:t>
      </w:r>
      <w:r w:rsidRPr="00DE5D68">
        <w:rPr>
          <w:rFonts w:cs="Arial"/>
        </w:rPr>
        <w:t xml:space="preserve"> in, from or otherwise involving, the United Kingdom;</w:t>
      </w:r>
    </w:p>
    <w:p w:rsidRPr="00DE5D68" w:rsidR="00DB5267" w:rsidP="007944C6" w:rsidRDefault="001D74CA" w14:paraId="5321AC73" w14:textId="7A511F35">
      <w:pPr>
        <w:pStyle w:val="Heading2"/>
        <w:rPr>
          <w:rFonts w:cs="Arial"/>
        </w:rPr>
      </w:pPr>
      <w:r w:rsidRPr="00DE5D68">
        <w:rPr>
          <w:rFonts w:cs="Arial"/>
        </w:rPr>
        <w:t xml:space="preserve">it is aware of the provisions of the Criminal Justice Act 1993 regarding insider dealing, the Market Abuse Regulation and the Proceeds of Crime Act 2002 and in Guernsey under the Company Securities (Insider Dealing) (Bailiwick of Guernsey) Law, 1996 (as amended), Section </w:t>
      </w:r>
      <w:r>
        <w:rPr>
          <w:rFonts w:cs="Arial"/>
        </w:rPr>
        <w:t>56</w:t>
      </w:r>
      <w:r w:rsidRPr="00DE5D68">
        <w:rPr>
          <w:rFonts w:cs="Arial"/>
        </w:rPr>
        <w:t xml:space="preserve"> of the </w:t>
      </w:r>
      <w:r>
        <w:t>Financial Services Business (Enforcement Powers) (Bailiwick of Guernsey) Law, 2020</w:t>
      </w:r>
      <w:r w:rsidRPr="00DE5D68">
        <w:rPr>
          <w:rFonts w:cs="Arial"/>
        </w:rPr>
        <w:t>, and the Criminal Justice (Proceeds of Crim</w:t>
      </w:r>
      <w:r>
        <w:rPr>
          <w:rFonts w:cs="Arial"/>
        </w:rPr>
        <w:t>e</w:t>
      </w:r>
      <w:r w:rsidRPr="00DE5D68">
        <w:rPr>
          <w:rFonts w:cs="Arial"/>
        </w:rPr>
        <w:t>) (Bailiwick of Guernsey) Law, 1999, as amended and confirms that it has and will continue to comply with any obligations imposed by such statutes</w:t>
      </w:r>
      <w:r w:rsidRPr="00DE5D68" w:rsidR="00DB5267">
        <w:rPr>
          <w:rFonts w:cs="Arial"/>
        </w:rPr>
        <w:t>;</w:t>
      </w:r>
    </w:p>
    <w:p w:rsidRPr="00DE5D68" w:rsidR="00DB5267" w:rsidP="007944C6" w:rsidRDefault="00DB5267" w14:paraId="4DE1913E" w14:textId="7C3D7CBA">
      <w:pPr>
        <w:pStyle w:val="Heading2"/>
        <w:rPr>
          <w:rFonts w:cs="Arial"/>
        </w:rPr>
      </w:pPr>
      <w:r w:rsidRPr="00DE5D68">
        <w:rPr>
          <w:rFonts w:cs="Arial"/>
        </w:rPr>
        <w:t xml:space="preserve">unless it is otherwise expressly agreed with the Company and </w:t>
      </w:r>
      <w:r w:rsidR="00DD0C05">
        <w:rPr>
          <w:rFonts w:cs="Arial"/>
        </w:rPr>
        <w:t>Singer Capital Markets</w:t>
      </w:r>
      <w:r w:rsidRPr="00DE5D68" w:rsidR="00631C3F">
        <w:rPr>
          <w:rFonts w:cs="Arial"/>
        </w:rPr>
        <w:t xml:space="preserve"> </w:t>
      </w:r>
      <w:r w:rsidRPr="00DE5D68">
        <w:rPr>
          <w:rFonts w:cs="Arial"/>
        </w:rPr>
        <w:t xml:space="preserve">in the terms of any particular placing, it has not, directly or indirectly, distributed, forwarded, transferred or otherwise transmitted this document or any other Placing Document to any persons within the United States or to any U.S. Persons, nor will it do any of the </w:t>
      </w:r>
      <w:proofErr w:type="gramStart"/>
      <w:r w:rsidRPr="00DE5D68">
        <w:rPr>
          <w:rFonts w:cs="Arial"/>
        </w:rPr>
        <w:t>foregoing;</w:t>
      </w:r>
      <w:proofErr w:type="gramEnd"/>
    </w:p>
    <w:p w:rsidRPr="00DE5D68" w:rsidR="00DB5267" w:rsidP="007944C6" w:rsidRDefault="00DB5267" w14:paraId="618DCCB7" w14:textId="3FBF66A6">
      <w:pPr>
        <w:pStyle w:val="Heading2"/>
        <w:rPr>
          <w:rFonts w:cs="Arial"/>
        </w:rPr>
      </w:pPr>
      <w:r w:rsidRPr="00DE5D68">
        <w:rPr>
          <w:rFonts w:cs="Arial"/>
        </w:rPr>
        <w:t xml:space="preserve">it represents, acknowledges and agrees to the representations, warranties and agreements as set out under the heading </w:t>
      </w:r>
      <w:r w:rsidRPr="00DE5D68" w:rsidR="00170F35">
        <w:rPr>
          <w:rFonts w:cs="Arial"/>
        </w:rPr>
        <w:t>"</w:t>
      </w:r>
      <w:r w:rsidRPr="00DE5D68">
        <w:rPr>
          <w:rFonts w:cs="Arial"/>
        </w:rPr>
        <w:t>United States Purchase and Transfer Restrictions</w:t>
      </w:r>
      <w:r w:rsidRPr="00DE5D68" w:rsidR="00170F35">
        <w:rPr>
          <w:rFonts w:cs="Arial"/>
        </w:rPr>
        <w:t>"</w:t>
      </w:r>
      <w:r w:rsidRPr="00DE5D68">
        <w:rPr>
          <w:rFonts w:cs="Arial"/>
        </w:rPr>
        <w:t xml:space="preserve"> in paragraph ‎</w:t>
      </w:r>
      <w:r w:rsidR="00577D1F">
        <w:rPr>
          <w:rFonts w:cs="Arial"/>
        </w:rPr>
        <w:fldChar w:fldCharType="begin" w:fldLock="1"/>
      </w:r>
      <w:r w:rsidR="00577D1F">
        <w:rPr>
          <w:rFonts w:cs="Arial"/>
        </w:rPr>
        <w:instrText xml:space="preserve"> REF _Ref65764367 \n \h </w:instrText>
      </w:r>
      <w:r w:rsidR="00577D1F">
        <w:rPr>
          <w:rFonts w:cs="Arial"/>
        </w:rPr>
      </w:r>
      <w:r w:rsidR="00577D1F">
        <w:rPr>
          <w:rFonts w:cs="Arial"/>
        </w:rPr>
        <w:fldChar w:fldCharType="separate"/>
      </w:r>
      <w:r w:rsidR="00DA4048">
        <w:rPr>
          <w:rFonts w:cs="Arial"/>
        </w:rPr>
        <w:t>5</w:t>
      </w:r>
      <w:r w:rsidR="00577D1F">
        <w:rPr>
          <w:rFonts w:cs="Arial"/>
        </w:rPr>
        <w:fldChar w:fldCharType="end"/>
      </w:r>
      <w:r w:rsidRPr="00DE5D68">
        <w:rPr>
          <w:rFonts w:cs="Arial"/>
        </w:rPr>
        <w:t xml:space="preserve"> </w:t>
      </w:r>
      <w:proofErr w:type="gramStart"/>
      <w:r w:rsidRPr="00DE5D68">
        <w:rPr>
          <w:rFonts w:cs="Arial"/>
        </w:rPr>
        <w:t>below;</w:t>
      </w:r>
      <w:proofErr w:type="gramEnd"/>
    </w:p>
    <w:p w:rsidRPr="00DE5D68" w:rsidR="00DB5267" w:rsidP="007944C6" w:rsidRDefault="00DB5267" w14:paraId="17F3767A" w14:textId="5E0D44C0">
      <w:pPr>
        <w:pStyle w:val="Heading2"/>
        <w:rPr>
          <w:rFonts w:cs="Arial"/>
        </w:rPr>
      </w:pPr>
      <w:r w:rsidRPr="00DE5D68">
        <w:rPr>
          <w:rFonts w:cs="Arial"/>
        </w:rPr>
        <w:t xml:space="preserve">no action has been taken or will be taken in any jurisdiction other than the United Kingdom that would permit a public offering of the </w:t>
      </w:r>
      <w:r w:rsidR="006873BD">
        <w:rPr>
          <w:rFonts w:cs="Arial"/>
        </w:rPr>
        <w:t>Ordinary Shares</w:t>
      </w:r>
      <w:r w:rsidRPr="00DE5D68">
        <w:rPr>
          <w:rFonts w:cs="Arial"/>
        </w:rPr>
        <w:t xml:space="preserve"> or possession of </w:t>
      </w:r>
      <w:r w:rsidRPr="00DE5D68" w:rsidR="00037439">
        <w:rPr>
          <w:rFonts w:cs="Arial"/>
        </w:rPr>
        <w:t>this document</w:t>
      </w:r>
      <w:r w:rsidRPr="00DE5D68">
        <w:rPr>
          <w:rFonts w:cs="Arial"/>
        </w:rPr>
        <w:t xml:space="preserve"> (and any supplementary prospectus issued by the Company), in any country or jurisdiction where action for that purpose is required;</w:t>
      </w:r>
      <w:r w:rsidRPr="00DE5D68" w:rsidR="00975A1D">
        <w:rPr>
          <w:rFonts w:cs="Arial"/>
        </w:rPr>
        <w:t xml:space="preserve"> </w:t>
      </w:r>
    </w:p>
    <w:p w:rsidRPr="00DE5D68" w:rsidR="00DB5267" w:rsidP="007944C6" w:rsidRDefault="00DB5267" w14:paraId="7214F2AB" w14:textId="6569FCE9">
      <w:pPr>
        <w:pStyle w:val="Heading2"/>
        <w:rPr>
          <w:rFonts w:cs="Arial"/>
        </w:rPr>
      </w:pPr>
      <w:r w:rsidRPr="00DE5D68">
        <w:rPr>
          <w:rFonts w:cs="Arial"/>
        </w:rPr>
        <w:t xml:space="preserve">it acknowledges that neither </w:t>
      </w:r>
      <w:r w:rsidR="00DD0C05">
        <w:rPr>
          <w:rFonts w:cs="Arial"/>
        </w:rPr>
        <w:t>Singer Capital Markets</w:t>
      </w:r>
      <w:r w:rsidRPr="00DE5D68" w:rsidR="00631C3F">
        <w:rPr>
          <w:rFonts w:cs="Arial"/>
        </w:rPr>
        <w:t xml:space="preserve"> </w:t>
      </w:r>
      <w:r w:rsidRPr="00DE5D68">
        <w:rPr>
          <w:rFonts w:cs="Arial"/>
        </w:rPr>
        <w:t>nor any of its respective affiliates nor any person acting on its or their behalf is making any recommendations to it, advising it regarding the suitability of any transactions it may ent</w:t>
      </w:r>
      <w:r w:rsidRPr="00DE5D68" w:rsidR="00975A1D">
        <w:rPr>
          <w:rFonts w:cs="Arial"/>
        </w:rPr>
        <w:t>er into in connection with the</w:t>
      </w:r>
      <w:r w:rsidRPr="00DE5D68" w:rsidR="00DA2858">
        <w:rPr>
          <w:rFonts w:cs="Arial"/>
        </w:rPr>
        <w:t xml:space="preserve"> Initial</w:t>
      </w:r>
      <w:r w:rsidRPr="00DE5D68" w:rsidR="00975A1D">
        <w:rPr>
          <w:rFonts w:cs="Arial"/>
        </w:rPr>
        <w:t xml:space="preserve"> </w:t>
      </w:r>
      <w:r w:rsidRPr="00DE5D68">
        <w:rPr>
          <w:rFonts w:cs="Arial"/>
        </w:rPr>
        <w:t>Placing</w:t>
      </w:r>
      <w:r w:rsidRPr="00DE5D68" w:rsidR="00DA2858">
        <w:rPr>
          <w:rFonts w:cs="Arial"/>
        </w:rPr>
        <w:t xml:space="preserve"> or any Subsequent Placing</w:t>
      </w:r>
      <w:r w:rsidRPr="00DE5D68">
        <w:rPr>
          <w:rFonts w:cs="Arial"/>
        </w:rPr>
        <w:t xml:space="preserve"> or providing</w:t>
      </w:r>
      <w:r w:rsidRPr="00DE5D68" w:rsidR="00975A1D">
        <w:rPr>
          <w:rFonts w:cs="Arial"/>
        </w:rPr>
        <w:t xml:space="preserve"> any advice in relation to the</w:t>
      </w:r>
      <w:r w:rsidRPr="00DE5D68" w:rsidR="00DA2858">
        <w:rPr>
          <w:rFonts w:cs="Arial"/>
        </w:rPr>
        <w:t xml:space="preserve"> Initial</w:t>
      </w:r>
      <w:r w:rsidRPr="00DE5D68" w:rsidR="00975A1D">
        <w:rPr>
          <w:rFonts w:cs="Arial"/>
        </w:rPr>
        <w:t xml:space="preserve"> </w:t>
      </w:r>
      <w:r w:rsidRPr="00DE5D68">
        <w:rPr>
          <w:rFonts w:cs="Arial"/>
        </w:rPr>
        <w:t>Placing</w:t>
      </w:r>
      <w:r w:rsidRPr="00DE5D68" w:rsidR="00DA2858">
        <w:rPr>
          <w:rFonts w:cs="Arial"/>
        </w:rPr>
        <w:t xml:space="preserve"> or any Subsequent Placing</w:t>
      </w:r>
      <w:r w:rsidRPr="00DE5D68">
        <w:rPr>
          <w:rFonts w:cs="Arial"/>
        </w:rPr>
        <w:t xml:space="preserve"> and participation in the</w:t>
      </w:r>
      <w:r w:rsidRPr="00DE5D68" w:rsidR="00DA2858">
        <w:rPr>
          <w:rFonts w:cs="Arial"/>
        </w:rPr>
        <w:t xml:space="preserve"> Initial</w:t>
      </w:r>
      <w:r w:rsidRPr="00DE5D68">
        <w:rPr>
          <w:rFonts w:cs="Arial"/>
        </w:rPr>
        <w:t xml:space="preserve"> Placing</w:t>
      </w:r>
      <w:r w:rsidRPr="00DE5D68" w:rsidR="00DA2858">
        <w:rPr>
          <w:rFonts w:cs="Arial"/>
        </w:rPr>
        <w:t xml:space="preserve"> or any relevant Subsequent Placing</w:t>
      </w:r>
      <w:r w:rsidRPr="00DE5D68">
        <w:rPr>
          <w:rFonts w:cs="Arial"/>
        </w:rPr>
        <w:t xml:space="preserve"> is on the basis that it is not and will not be a client of </w:t>
      </w:r>
      <w:r w:rsidR="00DD0C05">
        <w:rPr>
          <w:rFonts w:cs="Arial"/>
        </w:rPr>
        <w:t>Singer Capital Markets</w:t>
      </w:r>
      <w:r w:rsidRPr="00DE5D68" w:rsidR="00631C3F">
        <w:rPr>
          <w:rFonts w:cs="Arial"/>
        </w:rPr>
        <w:t xml:space="preserve"> </w:t>
      </w:r>
      <w:r w:rsidRPr="00DE5D68">
        <w:rPr>
          <w:rFonts w:cs="Arial"/>
        </w:rPr>
        <w:t xml:space="preserve">and that </w:t>
      </w:r>
      <w:r w:rsidR="00DD0C05">
        <w:rPr>
          <w:rFonts w:cs="Arial"/>
        </w:rPr>
        <w:t>Singer Capital Markets</w:t>
      </w:r>
      <w:r w:rsidRPr="00DE5D68" w:rsidR="00631C3F">
        <w:rPr>
          <w:rFonts w:cs="Arial"/>
        </w:rPr>
        <w:t xml:space="preserve"> </w:t>
      </w:r>
      <w:r w:rsidRPr="00DE5D68">
        <w:rPr>
          <w:rFonts w:cs="Arial"/>
        </w:rPr>
        <w:t>does not have any duties or responsibilities to it for providing</w:t>
      </w:r>
      <w:r w:rsidR="009E0BDA">
        <w:rPr>
          <w:rFonts w:cs="Arial"/>
        </w:rPr>
        <w:t xml:space="preserve"> the</w:t>
      </w:r>
      <w:r w:rsidRPr="00DE5D68">
        <w:rPr>
          <w:rFonts w:cs="Arial"/>
        </w:rPr>
        <w:t xml:space="preserve"> protection</w:t>
      </w:r>
      <w:r w:rsidR="009E0BDA">
        <w:rPr>
          <w:rFonts w:cs="Arial"/>
        </w:rPr>
        <w:t>s</w:t>
      </w:r>
      <w:r w:rsidRPr="00DE5D68">
        <w:rPr>
          <w:rFonts w:cs="Arial"/>
        </w:rPr>
        <w:t xml:space="preserve"> afforded to their respective clients or for provi</w:t>
      </w:r>
      <w:r w:rsidRPr="00DE5D68" w:rsidR="00975A1D">
        <w:rPr>
          <w:rFonts w:cs="Arial"/>
        </w:rPr>
        <w:t xml:space="preserve">ding advice in relation to the </w:t>
      </w:r>
      <w:r w:rsidRPr="00DE5D68" w:rsidR="00DA2858">
        <w:rPr>
          <w:rFonts w:cs="Arial"/>
        </w:rPr>
        <w:t xml:space="preserve">Initial </w:t>
      </w:r>
      <w:r w:rsidRPr="00DE5D68">
        <w:rPr>
          <w:rFonts w:cs="Arial"/>
        </w:rPr>
        <w:t>Placing</w:t>
      </w:r>
      <w:r w:rsidRPr="00DE5D68" w:rsidR="00DA2858">
        <w:rPr>
          <w:rFonts w:cs="Arial"/>
        </w:rPr>
        <w:t xml:space="preserve"> or any Subsequent Placing (as applicable)</w:t>
      </w:r>
      <w:r w:rsidRPr="00DE5D68">
        <w:rPr>
          <w:rFonts w:cs="Arial"/>
        </w:rPr>
        <w:t>;</w:t>
      </w:r>
    </w:p>
    <w:p w:rsidRPr="00DE5D68" w:rsidR="00DB5267" w:rsidP="007944C6" w:rsidRDefault="00DB5267" w14:paraId="28AE8DD9" w14:textId="35E7FBD8">
      <w:pPr>
        <w:pStyle w:val="Heading2"/>
        <w:rPr>
          <w:rFonts w:cs="Arial"/>
        </w:rPr>
      </w:pPr>
      <w:r w:rsidRPr="00DE5D68">
        <w:rPr>
          <w:rFonts w:cs="Arial"/>
        </w:rPr>
        <w:t xml:space="preserve">that, save in the event of fraud on the part of </w:t>
      </w:r>
      <w:r w:rsidR="00DD0C05">
        <w:rPr>
          <w:rFonts w:cs="Arial"/>
        </w:rPr>
        <w:t>Singer Capital Markets</w:t>
      </w:r>
      <w:r w:rsidRPr="00DE5D68">
        <w:rPr>
          <w:rFonts w:cs="Arial"/>
        </w:rPr>
        <w:t xml:space="preserve">, none of </w:t>
      </w:r>
      <w:r w:rsidR="00DD0C05">
        <w:rPr>
          <w:rFonts w:cs="Arial"/>
        </w:rPr>
        <w:t>Singer Capital Markets</w:t>
      </w:r>
      <w:r w:rsidRPr="00DE5D68">
        <w:rPr>
          <w:rFonts w:cs="Arial"/>
        </w:rPr>
        <w:t xml:space="preserve">, its ultimate holding companies nor any direct or indirect subsidiary undertakings of such holding companies, nor any of their respective directors, members, partners, officers and employees, shall be responsible or liable to a </w:t>
      </w:r>
      <w:proofErr w:type="spellStart"/>
      <w:r w:rsidRPr="00DE5D68">
        <w:rPr>
          <w:rFonts w:cs="Arial"/>
        </w:rPr>
        <w:t>Placee</w:t>
      </w:r>
      <w:proofErr w:type="spellEnd"/>
      <w:r w:rsidRPr="00DE5D68">
        <w:rPr>
          <w:rFonts w:cs="Arial"/>
        </w:rPr>
        <w:t xml:space="preserve"> or any of its clients for any matter arising out of </w:t>
      </w:r>
      <w:r w:rsidR="00DD0C05">
        <w:rPr>
          <w:rFonts w:cs="Arial"/>
        </w:rPr>
        <w:t>Singer Capital Markets</w:t>
      </w:r>
      <w:r w:rsidRPr="00DE5D68">
        <w:rPr>
          <w:rFonts w:cs="Arial"/>
        </w:rPr>
        <w:t>’ rol</w:t>
      </w:r>
      <w:r w:rsidRPr="00DE5D68" w:rsidR="00494B6D">
        <w:rPr>
          <w:rFonts w:cs="Arial"/>
        </w:rPr>
        <w:t>e as financial adviser and</w:t>
      </w:r>
      <w:r w:rsidRPr="00DE5D68" w:rsidR="00DA2858">
        <w:rPr>
          <w:rFonts w:cs="Arial"/>
        </w:rPr>
        <w:t xml:space="preserve"> </w:t>
      </w:r>
      <w:r w:rsidRPr="00DE5D68">
        <w:rPr>
          <w:rFonts w:cs="Arial"/>
        </w:rPr>
        <w:t>bookrunner</w:t>
      </w:r>
      <w:r w:rsidRPr="00DE5D68" w:rsidR="00494B6D">
        <w:rPr>
          <w:rFonts w:cs="Arial"/>
        </w:rPr>
        <w:t xml:space="preserve"> </w:t>
      </w:r>
      <w:r w:rsidRPr="00DE5D68">
        <w:rPr>
          <w:rFonts w:cs="Arial"/>
        </w:rPr>
        <w:t xml:space="preserve">or otherwise in connection with the </w:t>
      </w:r>
      <w:r w:rsidRPr="00DE5D68" w:rsidR="00DA2858">
        <w:rPr>
          <w:rFonts w:cs="Arial"/>
        </w:rPr>
        <w:t xml:space="preserve">Initial </w:t>
      </w:r>
      <w:r w:rsidRPr="00DE5D68">
        <w:rPr>
          <w:rFonts w:cs="Arial"/>
        </w:rPr>
        <w:t>Placing</w:t>
      </w:r>
      <w:r w:rsidRPr="00DE5D68" w:rsidR="00DA2858">
        <w:rPr>
          <w:rFonts w:cs="Arial"/>
        </w:rPr>
        <w:t xml:space="preserve"> or any Subsequent Placing</w:t>
      </w:r>
      <w:r w:rsidRPr="00DE5D68">
        <w:rPr>
          <w:rFonts w:cs="Arial"/>
        </w:rPr>
        <w:t xml:space="preserve"> and that where any such responsibility or liability nevertheless arises as a matter of law the </w:t>
      </w:r>
      <w:proofErr w:type="spellStart"/>
      <w:r w:rsidRPr="00DE5D68">
        <w:rPr>
          <w:rFonts w:cs="Arial"/>
        </w:rPr>
        <w:t>Placee</w:t>
      </w:r>
      <w:proofErr w:type="spellEnd"/>
      <w:r w:rsidRPr="00DE5D68">
        <w:rPr>
          <w:rFonts w:cs="Arial"/>
        </w:rPr>
        <w:t xml:space="preserve"> and, if relevant, its clients, will immediately waive any claim against any of such persons which the </w:t>
      </w:r>
      <w:proofErr w:type="spellStart"/>
      <w:r w:rsidRPr="00DE5D68">
        <w:rPr>
          <w:rFonts w:cs="Arial"/>
        </w:rPr>
        <w:t>Placee</w:t>
      </w:r>
      <w:proofErr w:type="spellEnd"/>
      <w:r w:rsidRPr="00DE5D68">
        <w:rPr>
          <w:rFonts w:cs="Arial"/>
        </w:rPr>
        <w:t xml:space="preserve"> or any of its clients may have in respect thereof;</w:t>
      </w:r>
    </w:p>
    <w:p w:rsidRPr="00DE5D68" w:rsidR="00DB5267" w:rsidP="007944C6" w:rsidRDefault="00DB5267" w14:paraId="4B847DE5" w14:textId="4CDBA830">
      <w:pPr>
        <w:pStyle w:val="Heading2"/>
        <w:rPr>
          <w:rFonts w:cs="Arial"/>
        </w:rPr>
      </w:pPr>
      <w:r w:rsidRPr="00DE5D68">
        <w:rPr>
          <w:rFonts w:cs="Arial"/>
        </w:rPr>
        <w:t>it acknowledges that where it is subscribing for</w:t>
      </w:r>
      <w:r w:rsidRPr="00DE5D68" w:rsidR="00975A1D">
        <w:rPr>
          <w:rFonts w:cs="Arial"/>
        </w:rPr>
        <w:t xml:space="preserve"> </w:t>
      </w:r>
      <w:r w:rsidR="006873BD">
        <w:rPr>
          <w:rFonts w:cs="Arial"/>
        </w:rPr>
        <w:t>Ordinary Shares</w:t>
      </w:r>
      <w:r w:rsidRPr="00DE5D68">
        <w:rPr>
          <w:rFonts w:cs="Arial"/>
        </w:rPr>
        <w:t xml:space="preserve"> for one or more managed, discretionary or advisory accounts, it is authorised in writing for each such account: (</w:t>
      </w:r>
      <w:proofErr w:type="spellStart"/>
      <w:r w:rsidRPr="00DE5D68">
        <w:rPr>
          <w:rFonts w:cs="Arial"/>
        </w:rPr>
        <w:t>i</w:t>
      </w:r>
      <w:proofErr w:type="spellEnd"/>
      <w:r w:rsidRPr="00DE5D68">
        <w:rPr>
          <w:rFonts w:cs="Arial"/>
        </w:rPr>
        <w:t xml:space="preserve">) to subscribe for the </w:t>
      </w:r>
      <w:r w:rsidR="006873BD">
        <w:rPr>
          <w:rFonts w:cs="Arial"/>
        </w:rPr>
        <w:t>Ordinary Shares</w:t>
      </w:r>
      <w:r w:rsidRPr="00DE5D68">
        <w:rPr>
          <w:rFonts w:cs="Arial"/>
        </w:rPr>
        <w:t xml:space="preserve"> for each such account; (ii) to make on each such account’s behalf the representations, warranties and agreements set out in this document; and (iii) to receive on behalf of each such account any</w:t>
      </w:r>
      <w:r w:rsidRPr="00DE5D68" w:rsidR="00975A1D">
        <w:rPr>
          <w:rFonts w:cs="Arial"/>
        </w:rPr>
        <w:t xml:space="preserve"> documentation relating to the </w:t>
      </w:r>
      <w:r w:rsidRPr="00DE5D68" w:rsidR="00DA2858">
        <w:rPr>
          <w:rFonts w:cs="Arial"/>
        </w:rPr>
        <w:t xml:space="preserve">Initial </w:t>
      </w:r>
      <w:r w:rsidRPr="00DE5D68">
        <w:rPr>
          <w:rFonts w:cs="Arial"/>
        </w:rPr>
        <w:t>Placing</w:t>
      </w:r>
      <w:r w:rsidRPr="00DE5D68" w:rsidR="00DA2858">
        <w:rPr>
          <w:rFonts w:cs="Arial"/>
        </w:rPr>
        <w:t xml:space="preserve"> or relevant Subsequent Placing (as applicable)</w:t>
      </w:r>
      <w:r w:rsidRPr="00DE5D68">
        <w:rPr>
          <w:rFonts w:cs="Arial"/>
        </w:rPr>
        <w:t xml:space="preserve"> in the form provided by the Company and/or </w:t>
      </w:r>
      <w:r w:rsidR="00DD0C05">
        <w:rPr>
          <w:rFonts w:cs="Arial"/>
        </w:rPr>
        <w:t>Singer Capital Markets</w:t>
      </w:r>
      <w:r w:rsidRPr="00DE5D68">
        <w:rPr>
          <w:rFonts w:cs="Arial"/>
        </w:rPr>
        <w:t xml:space="preserve">. It agrees that the provision of this paragraph shall survive any resale of the </w:t>
      </w:r>
      <w:r w:rsidR="006873BD">
        <w:rPr>
          <w:rFonts w:cs="Arial"/>
        </w:rPr>
        <w:t>Ordinary Shares</w:t>
      </w:r>
      <w:r w:rsidRPr="00DE5D68">
        <w:rPr>
          <w:rFonts w:cs="Arial"/>
        </w:rPr>
        <w:t xml:space="preserve"> by or on behalf of any such account;</w:t>
      </w:r>
      <w:r w:rsidRPr="00DE5D68" w:rsidR="00975A1D">
        <w:rPr>
          <w:rFonts w:cs="Arial"/>
        </w:rPr>
        <w:t xml:space="preserve">  </w:t>
      </w:r>
    </w:p>
    <w:p w:rsidRPr="00DE5D68" w:rsidR="00DB5267" w:rsidP="007944C6" w:rsidRDefault="00DB5267" w14:paraId="34DE9FA5" w14:textId="00A58178">
      <w:pPr>
        <w:pStyle w:val="Heading2"/>
        <w:rPr>
          <w:rFonts w:cs="Arial"/>
        </w:rPr>
      </w:pPr>
      <w:r w:rsidRPr="00DE5D68">
        <w:rPr>
          <w:rFonts w:cs="Arial"/>
        </w:rPr>
        <w:t xml:space="preserve">it irrevocably appoints any Director and any director of </w:t>
      </w:r>
      <w:r w:rsidR="00DD0C05">
        <w:rPr>
          <w:rFonts w:cs="Arial"/>
        </w:rPr>
        <w:t>Singer Capital Markets</w:t>
      </w:r>
      <w:r w:rsidRPr="00DE5D68" w:rsidR="00631C3F">
        <w:rPr>
          <w:rFonts w:cs="Arial"/>
        </w:rPr>
        <w:t xml:space="preserve"> </w:t>
      </w:r>
      <w:r w:rsidRPr="00DE5D68">
        <w:rPr>
          <w:rFonts w:cs="Arial"/>
        </w:rPr>
        <w:t xml:space="preserve">to be its agent and on its behalf (without any obligation or duty to do so), to sign, execute and deliver any documents and do all acts, matters and things as may be necessary for, or incidental to, its subscription for all or any of the </w:t>
      </w:r>
      <w:r w:rsidR="006873BD">
        <w:rPr>
          <w:rFonts w:cs="Arial"/>
        </w:rPr>
        <w:t>Ordinary Shares</w:t>
      </w:r>
      <w:r w:rsidRPr="00DE5D68">
        <w:rPr>
          <w:rFonts w:cs="Arial"/>
        </w:rPr>
        <w:t xml:space="preserve"> for which it has given a commitment under the </w:t>
      </w:r>
      <w:r w:rsidRPr="00DE5D68" w:rsidR="006468CD">
        <w:rPr>
          <w:rFonts w:cs="Arial"/>
        </w:rPr>
        <w:t xml:space="preserve">Initial </w:t>
      </w:r>
      <w:r w:rsidRPr="00DE5D68">
        <w:rPr>
          <w:rFonts w:cs="Arial"/>
        </w:rPr>
        <w:t>Placing</w:t>
      </w:r>
      <w:r w:rsidRPr="00DE5D68" w:rsidR="006468CD">
        <w:rPr>
          <w:rFonts w:cs="Arial"/>
        </w:rPr>
        <w:t xml:space="preserve"> or any Subsequent Placing (as applicable)</w:t>
      </w:r>
      <w:r w:rsidRPr="00DE5D68">
        <w:rPr>
          <w:rFonts w:cs="Arial"/>
        </w:rPr>
        <w:t>, in the event of its own failure to do so;</w:t>
      </w:r>
      <w:r w:rsidRPr="00DE5D68" w:rsidR="00975A1D">
        <w:rPr>
          <w:rFonts w:cs="Arial"/>
        </w:rPr>
        <w:t xml:space="preserve"> </w:t>
      </w:r>
    </w:p>
    <w:p w:rsidRPr="00DE5D68" w:rsidR="00DB5267" w:rsidP="007944C6" w:rsidRDefault="00DB5267" w14:paraId="5B9F5488" w14:textId="686498E1">
      <w:pPr>
        <w:pStyle w:val="Heading2"/>
        <w:rPr>
          <w:rFonts w:cs="Arial"/>
        </w:rPr>
      </w:pPr>
      <w:r w:rsidRPr="00DE5D68">
        <w:rPr>
          <w:rFonts w:cs="Arial"/>
        </w:rPr>
        <w:t xml:space="preserve">it accepts that if the </w:t>
      </w:r>
      <w:r w:rsidRPr="00DE5D68" w:rsidR="006468CD">
        <w:rPr>
          <w:rFonts w:cs="Arial"/>
        </w:rPr>
        <w:t xml:space="preserve">Initial </w:t>
      </w:r>
      <w:r w:rsidRPr="00DE5D68">
        <w:rPr>
          <w:rFonts w:cs="Arial"/>
        </w:rPr>
        <w:t xml:space="preserve">Placing </w:t>
      </w:r>
      <w:r w:rsidRPr="00DE5D68" w:rsidR="006468CD">
        <w:rPr>
          <w:rFonts w:cs="Arial"/>
        </w:rPr>
        <w:t xml:space="preserve">or relevant Subsequent Placing </w:t>
      </w:r>
      <w:r w:rsidRPr="00DE5D68">
        <w:rPr>
          <w:rFonts w:cs="Arial"/>
        </w:rPr>
        <w:t xml:space="preserve">does not proceed or the relevant conditions to the </w:t>
      </w:r>
      <w:r w:rsidR="00020807">
        <w:rPr>
          <w:rFonts w:cs="Arial"/>
        </w:rPr>
        <w:t>Placing Agreement</w:t>
      </w:r>
      <w:r w:rsidRPr="00DE5D68">
        <w:rPr>
          <w:rFonts w:cs="Arial"/>
        </w:rPr>
        <w:t xml:space="preserve"> are not satisfied as regards the relevant placing or the </w:t>
      </w:r>
      <w:r w:rsidR="006873BD">
        <w:rPr>
          <w:rFonts w:cs="Arial"/>
        </w:rPr>
        <w:t>Ordinary Shares</w:t>
      </w:r>
      <w:r w:rsidRPr="00DE5D68">
        <w:rPr>
          <w:rFonts w:cs="Arial"/>
        </w:rPr>
        <w:t xml:space="preserve"> for which valid application</w:t>
      </w:r>
      <w:r w:rsidRPr="00DE5D68" w:rsidR="00CA0B29">
        <w:rPr>
          <w:rFonts w:cs="Arial"/>
        </w:rPr>
        <w:t>s</w:t>
      </w:r>
      <w:r w:rsidRPr="00DE5D68">
        <w:rPr>
          <w:rFonts w:cs="Arial"/>
        </w:rPr>
        <w:t xml:space="preserve"> are received and accepted are not admitted to trading on the </w:t>
      </w:r>
      <w:r w:rsidRPr="00DE5D68" w:rsidR="00E355F0">
        <w:rPr>
          <w:rFonts w:cs="Arial"/>
        </w:rPr>
        <w:lastRenderedPageBreak/>
        <w:t>M</w:t>
      </w:r>
      <w:r w:rsidRPr="00DE5D68" w:rsidR="00041024">
        <w:rPr>
          <w:rFonts w:cs="Arial"/>
        </w:rPr>
        <w:t xml:space="preserve">ain </w:t>
      </w:r>
      <w:r w:rsidRPr="00DE5D68" w:rsidR="00E355F0">
        <w:rPr>
          <w:rFonts w:cs="Arial"/>
        </w:rPr>
        <w:t>M</w:t>
      </w:r>
      <w:r w:rsidRPr="00DE5D68" w:rsidR="00041024">
        <w:rPr>
          <w:rFonts w:cs="Arial"/>
        </w:rPr>
        <w:t>arket</w:t>
      </w:r>
      <w:r w:rsidRPr="00DE5D68">
        <w:rPr>
          <w:rFonts w:cs="Arial"/>
        </w:rPr>
        <w:t xml:space="preserve"> for any reason whatsoever, then none of </w:t>
      </w:r>
      <w:r w:rsidR="00DD0C05">
        <w:rPr>
          <w:rFonts w:cs="Arial"/>
        </w:rPr>
        <w:t>Singer Capital Markets</w:t>
      </w:r>
      <w:r w:rsidRPr="00DE5D68" w:rsidR="00631C3F">
        <w:rPr>
          <w:rFonts w:cs="Arial"/>
        </w:rPr>
        <w:t xml:space="preserve"> </w:t>
      </w:r>
      <w:r w:rsidRPr="00DE5D68">
        <w:rPr>
          <w:rFonts w:cs="Arial"/>
        </w:rPr>
        <w:t>or the Company or the</w:t>
      </w:r>
      <w:r w:rsidRPr="00DE5D68" w:rsidR="006468CD">
        <w:rPr>
          <w:rFonts w:cs="Arial"/>
        </w:rPr>
        <w:t xml:space="preserve"> Investment Manager</w:t>
      </w:r>
      <w:r w:rsidRPr="00DE5D68">
        <w:rPr>
          <w:rFonts w:cs="Arial"/>
        </w:rPr>
        <w:t>, nor persons controlling, controlled by or under common control with any of them nor any of their respective employees, agents, officers, members, stockholders, partners or representatives, shall have any liability whatsoever to it or any other person;</w:t>
      </w:r>
      <w:r w:rsidRPr="00DE5D68" w:rsidR="00975A1D">
        <w:rPr>
          <w:rFonts w:cs="Arial"/>
        </w:rPr>
        <w:t xml:space="preserve"> </w:t>
      </w:r>
    </w:p>
    <w:p w:rsidRPr="00DE5D68" w:rsidR="00DB5267" w:rsidP="007944C6" w:rsidRDefault="00DB5267" w14:paraId="0A7ACC36" w14:textId="19E8D989">
      <w:pPr>
        <w:pStyle w:val="Heading2"/>
        <w:rPr>
          <w:rFonts w:cs="Arial"/>
        </w:rPr>
      </w:pPr>
      <w:r w:rsidRPr="00DE5D68">
        <w:rPr>
          <w:rFonts w:cs="Arial"/>
        </w:rPr>
        <w:t>in connection</w:t>
      </w:r>
      <w:r w:rsidRPr="00DE5D68" w:rsidR="00975A1D">
        <w:rPr>
          <w:rFonts w:cs="Arial"/>
        </w:rPr>
        <w:t xml:space="preserve"> with its participation in the </w:t>
      </w:r>
      <w:r w:rsidRPr="00DE5D68" w:rsidR="000B519C">
        <w:rPr>
          <w:rFonts w:cs="Arial"/>
        </w:rPr>
        <w:t xml:space="preserve">Initial </w:t>
      </w:r>
      <w:r w:rsidRPr="00DE5D68">
        <w:rPr>
          <w:rFonts w:cs="Arial"/>
        </w:rPr>
        <w:t>Placing</w:t>
      </w:r>
      <w:r w:rsidRPr="00DE5D68" w:rsidR="000B519C">
        <w:rPr>
          <w:rFonts w:cs="Arial"/>
        </w:rPr>
        <w:t xml:space="preserve"> or relevant Subsequent Placing (as applicable)</w:t>
      </w:r>
      <w:r w:rsidRPr="00DE5D68">
        <w:rPr>
          <w:rFonts w:cs="Arial"/>
        </w:rPr>
        <w:t xml:space="preserve"> it has observed all relevant legislation and regulations, in particular (but without limitation) those relating to money laundering</w:t>
      </w:r>
      <w:r w:rsidRPr="00DE5D68" w:rsidR="00BD1D05">
        <w:rPr>
          <w:rFonts w:cs="Arial"/>
        </w:rPr>
        <w:t xml:space="preserve"> and terrorist financing</w:t>
      </w:r>
      <w:r w:rsidRPr="00DE5D68">
        <w:rPr>
          <w:rFonts w:cs="Arial"/>
        </w:rPr>
        <w:t xml:space="preserve"> and that its application is only made on the basis that it accepts full responsibility for any requirement to verify the identity of its clients and other persons in respect of whom it has applied. In addition, it warrants that it is a person: (</w:t>
      </w:r>
      <w:proofErr w:type="spellStart"/>
      <w:r w:rsidRPr="00DE5D68">
        <w:rPr>
          <w:rFonts w:cs="Arial"/>
        </w:rPr>
        <w:t>i</w:t>
      </w:r>
      <w:proofErr w:type="spellEnd"/>
      <w:r w:rsidRPr="00DE5D68">
        <w:rPr>
          <w:rFonts w:cs="Arial"/>
        </w:rPr>
        <w:t>) subject to the Money Laundering Regulations; or (ii) subject to the Money Laundering Directive on the prevention of the use of the financial system for the purpose of money laundering and terrorist financing; or (iii) acting in the course of a business in relation to which an overseas regulatory authority exercises regulatory functions and is based or incorporated in, or formed under the law of, a country in which there are in force provisions at least equivalent to those required by the Money Laundering Directive;</w:t>
      </w:r>
    </w:p>
    <w:p w:rsidRPr="00DE5D68" w:rsidR="00DB5267" w:rsidP="007944C6" w:rsidRDefault="00DB5267" w14:paraId="23F8EF30" w14:textId="6ACA6025">
      <w:pPr>
        <w:pStyle w:val="Heading2"/>
        <w:rPr>
          <w:rFonts w:cs="Arial"/>
        </w:rPr>
      </w:pPr>
      <w:r w:rsidRPr="00DE5D68">
        <w:rPr>
          <w:rFonts w:cs="Arial"/>
        </w:rPr>
        <w:t xml:space="preserve">it acknowledges that due to anti-money laundering requirements, </w:t>
      </w:r>
      <w:r w:rsidR="00DD0C05">
        <w:rPr>
          <w:rFonts w:cs="Arial"/>
        </w:rPr>
        <w:t>Singer Capital Markets</w:t>
      </w:r>
      <w:r w:rsidRPr="00DE5D68">
        <w:rPr>
          <w:rFonts w:cs="Arial"/>
        </w:rPr>
        <w:t xml:space="preserve">, the Administrator, the Registrar and the Company may require proof of identity and verification of the source of the payment before the application can be processed and that, in the event of delay or failure by the applicant to produce any information required for verification purposes, </w:t>
      </w:r>
      <w:r w:rsidR="00DD0C05">
        <w:rPr>
          <w:rFonts w:cs="Arial"/>
        </w:rPr>
        <w:t>Singer Capital Markets</w:t>
      </w:r>
      <w:r w:rsidRPr="00DE5D68" w:rsidR="00631C3F">
        <w:rPr>
          <w:rFonts w:cs="Arial"/>
        </w:rPr>
        <w:t xml:space="preserve"> </w:t>
      </w:r>
      <w:r w:rsidRPr="00DE5D68">
        <w:rPr>
          <w:rFonts w:cs="Arial"/>
        </w:rPr>
        <w:t xml:space="preserve">and the Company may refuse to accept the application and the subscription monies relating thereto. It holds harmless and will indemnify </w:t>
      </w:r>
      <w:r w:rsidR="00DD0C05">
        <w:rPr>
          <w:rFonts w:cs="Arial"/>
        </w:rPr>
        <w:t>Singer Capital Markets</w:t>
      </w:r>
      <w:r w:rsidRPr="00DE5D68" w:rsidR="00631C3F">
        <w:rPr>
          <w:rFonts w:cs="Arial"/>
        </w:rPr>
        <w:t xml:space="preserve"> </w:t>
      </w:r>
      <w:r w:rsidRPr="00DE5D68">
        <w:rPr>
          <w:rFonts w:cs="Arial"/>
        </w:rPr>
        <w:t>and the Company against any liability, loss or cost ensuing due to the failure to process such application, if such information as has been requested has not been provided by it in a timely manner;</w:t>
      </w:r>
    </w:p>
    <w:p w:rsidRPr="00DE5D68" w:rsidR="00DB5267" w:rsidP="007944C6" w:rsidRDefault="00DB5267" w14:paraId="1FFCC76D" w14:textId="5B5898AE">
      <w:pPr>
        <w:pStyle w:val="Heading2"/>
        <w:rPr>
          <w:rFonts w:cs="Arial"/>
        </w:rPr>
      </w:pPr>
      <w:r w:rsidRPr="00DE5D68">
        <w:rPr>
          <w:rFonts w:cs="Arial"/>
        </w:rPr>
        <w:t xml:space="preserve">that it is aware of, has complied with and will at all times comply with its obligations in connection with money laundering under the </w:t>
      </w:r>
      <w:r w:rsidR="00640CB6">
        <w:rPr>
          <w:rFonts w:cs="Arial"/>
        </w:rPr>
        <w:fldChar w:fldCharType="begin">
          <w:fldData xml:space="preserve">dgAxAHwAMQAwADAAOQAwAHwAUAByAG8AYwBlAGUAZABzACAAbwBmACAAQwByAGkAbQBlACAAQQBj
AHQAIAAyADAAMAAyAHwAQgBFAFMAVABCAEwAVABJAFQATABFADcAMQAwADQAMwA5AHwAfAA=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 xml:space="preserve">Proceeds of Crime Act </w:t>
      </w:r>
      <w:proofErr w:type="gramStart"/>
      <w:r w:rsidRPr="00DE5D68">
        <w:rPr>
          <w:rFonts w:cs="Arial"/>
        </w:rPr>
        <w:t>2002;</w:t>
      </w:r>
      <w:proofErr w:type="gramEnd"/>
    </w:p>
    <w:p w:rsidRPr="00DE5D68" w:rsidR="0045612D" w:rsidP="007944C6" w:rsidRDefault="0045612D" w14:paraId="3F7B62E9" w14:textId="77777777">
      <w:pPr>
        <w:pStyle w:val="Heading2"/>
        <w:keepNext/>
        <w:rPr>
          <w:rFonts w:cs="Arial"/>
        </w:rPr>
      </w:pPr>
      <w:bookmarkStart w:name="_Ref503955208" w:id="330"/>
      <w:r w:rsidRPr="00DE5D68">
        <w:rPr>
          <w:rFonts w:cs="Arial"/>
        </w:rPr>
        <w:t xml:space="preserve">if it is acting as a </w:t>
      </w:r>
      <w:r w:rsidRPr="00DE5D68" w:rsidR="00714642">
        <w:rPr>
          <w:rFonts w:cs="Arial"/>
        </w:rPr>
        <w:t>"</w:t>
      </w:r>
      <w:r w:rsidRPr="00DE5D68">
        <w:rPr>
          <w:rFonts w:cs="Arial"/>
        </w:rPr>
        <w:t>distributor</w:t>
      </w:r>
      <w:r w:rsidRPr="00DE5D68" w:rsidR="00714642">
        <w:rPr>
          <w:rFonts w:cs="Arial"/>
        </w:rPr>
        <w:t>"</w:t>
      </w:r>
      <w:r w:rsidRPr="00DE5D68">
        <w:rPr>
          <w:rFonts w:cs="Arial"/>
        </w:rPr>
        <w:t xml:space="preserve"> (for the purposes of MiFID II Product Governance Requirements)</w:t>
      </w:r>
      <w:r w:rsidRPr="00DE5D68" w:rsidR="001A2780">
        <w:rPr>
          <w:rFonts w:cs="Arial"/>
        </w:rPr>
        <w:t>:</w:t>
      </w:r>
    </w:p>
    <w:p w:rsidRPr="00DE5D68" w:rsidR="0045612D" w:rsidP="007944C6" w:rsidRDefault="0045612D" w14:paraId="7B8E54F7" w14:textId="3708F6F0">
      <w:pPr>
        <w:pStyle w:val="Heading3"/>
        <w:rPr>
          <w:rFonts w:cs="Arial"/>
        </w:rPr>
      </w:pPr>
      <w:r w:rsidRPr="00DE5D68">
        <w:rPr>
          <w:rFonts w:cs="Arial"/>
        </w:rPr>
        <w:t>it acknowledges that the Target Market Assessment undertak</w:t>
      </w:r>
      <w:r w:rsidRPr="00DE5D68" w:rsidR="00CA0B29">
        <w:rPr>
          <w:rFonts w:cs="Arial"/>
        </w:rPr>
        <w:t>en</w:t>
      </w:r>
      <w:r w:rsidRPr="00DE5D68">
        <w:rPr>
          <w:rFonts w:cs="Arial"/>
        </w:rPr>
        <w:t xml:space="preserve"> by the Investment Manager and </w:t>
      </w:r>
      <w:r w:rsidR="006873BD">
        <w:rPr>
          <w:rFonts w:cs="Arial"/>
        </w:rPr>
        <w:t>Singer Capital Markets</w:t>
      </w:r>
      <w:r w:rsidRPr="00DE5D68" w:rsidR="00631C3F">
        <w:rPr>
          <w:rFonts w:cs="Arial"/>
        </w:rPr>
        <w:t xml:space="preserve"> </w:t>
      </w:r>
      <w:r w:rsidRPr="00DE5D68">
        <w:rPr>
          <w:rFonts w:cs="Arial"/>
        </w:rPr>
        <w:t xml:space="preserve">does not constitute: (a) an assessment of suitability or appropriateness for the purposes of MiFID II; or (b) a recommendation to any investor or group of investors to invest in, or purchase, or take any other action whatsoever with respect to the </w:t>
      </w:r>
      <w:r w:rsidR="006873BD">
        <w:rPr>
          <w:rFonts w:cs="Arial"/>
        </w:rPr>
        <w:t>Ordinary Shares</w:t>
      </w:r>
      <w:r w:rsidRPr="00DE5D68">
        <w:rPr>
          <w:rFonts w:cs="Arial"/>
        </w:rPr>
        <w:t xml:space="preserve"> and each distributor is responsible for undertaking its own </w:t>
      </w:r>
      <w:r w:rsidRPr="00DE5D68" w:rsidR="000C0D70">
        <w:rPr>
          <w:rFonts w:cs="Arial"/>
        </w:rPr>
        <w:t>Target Market Assessment</w:t>
      </w:r>
      <w:r w:rsidRPr="00DE5D68">
        <w:rPr>
          <w:rFonts w:cs="Arial"/>
        </w:rPr>
        <w:t xml:space="preserve"> in respect of the </w:t>
      </w:r>
      <w:r w:rsidR="006873BD">
        <w:rPr>
          <w:rFonts w:cs="Arial"/>
        </w:rPr>
        <w:t>Ordinary Shares</w:t>
      </w:r>
      <w:r w:rsidRPr="00DE5D68">
        <w:rPr>
          <w:rFonts w:cs="Arial"/>
        </w:rPr>
        <w:t xml:space="preserve"> and determining appropriate distribution channels;</w:t>
      </w:r>
      <w:r w:rsidRPr="00DE5D68" w:rsidR="00975A1D">
        <w:rPr>
          <w:rFonts w:cs="Arial"/>
        </w:rPr>
        <w:t xml:space="preserve"> </w:t>
      </w:r>
    </w:p>
    <w:p w:rsidRPr="00DE5D68" w:rsidR="0045612D" w:rsidP="007944C6" w:rsidRDefault="0045612D" w14:paraId="29F3C032" w14:textId="0F2FBBF4">
      <w:pPr>
        <w:pStyle w:val="Heading3"/>
        <w:rPr>
          <w:rFonts w:cs="Arial"/>
        </w:rPr>
      </w:pPr>
      <w:r w:rsidRPr="00DE5D68">
        <w:rPr>
          <w:rFonts w:cs="Arial"/>
        </w:rPr>
        <w:t>notwithstanding any Target Market Assessment undertak</w:t>
      </w:r>
      <w:r w:rsidRPr="00DE5D68" w:rsidR="00CA0B29">
        <w:rPr>
          <w:rFonts w:cs="Arial"/>
        </w:rPr>
        <w:t>en</w:t>
      </w:r>
      <w:r w:rsidRPr="00DE5D68">
        <w:rPr>
          <w:rFonts w:cs="Arial"/>
        </w:rPr>
        <w:t xml:space="preserve"> by the Investment Manager and</w:t>
      </w:r>
      <w:r w:rsidRPr="00DE5D68" w:rsidR="00585A95">
        <w:rPr>
          <w:rFonts w:cs="Arial"/>
        </w:rPr>
        <w:t xml:space="preserve"> </w:t>
      </w:r>
      <w:r w:rsidR="006873BD">
        <w:rPr>
          <w:rFonts w:cs="Arial"/>
        </w:rPr>
        <w:t>Singer Capital Markets</w:t>
      </w:r>
      <w:r w:rsidRPr="00DE5D68">
        <w:rPr>
          <w:rFonts w:cs="Arial"/>
        </w:rPr>
        <w:t>, it confirms that</w:t>
      </w:r>
      <w:r w:rsidRPr="00DE5D68" w:rsidR="00CA0B29">
        <w:rPr>
          <w:rFonts w:cs="Arial"/>
        </w:rPr>
        <w:t>, other than where it is providing an execution-only service to investors,</w:t>
      </w:r>
      <w:r w:rsidRPr="00DE5D68">
        <w:rPr>
          <w:rFonts w:cs="Arial"/>
        </w:rPr>
        <w:t xml:space="preserve"> it has satisfied itself as to the appropriate knowledge, experience, financial situation, risk tolerance and objectives and needs of th</w:t>
      </w:r>
      <w:r w:rsidRPr="00DE5D68" w:rsidR="005E44AB">
        <w:rPr>
          <w:rFonts w:cs="Arial"/>
        </w:rPr>
        <w:t xml:space="preserve">e investors to whom it plans to </w:t>
      </w:r>
      <w:r w:rsidRPr="00DE5D68">
        <w:rPr>
          <w:rFonts w:cs="Arial"/>
        </w:rPr>
        <w:t xml:space="preserve">distribute the </w:t>
      </w:r>
      <w:r w:rsidR="006873BD">
        <w:rPr>
          <w:rFonts w:cs="Arial"/>
        </w:rPr>
        <w:t>Ordinary Shares</w:t>
      </w:r>
      <w:r w:rsidRPr="00DE5D68">
        <w:rPr>
          <w:rFonts w:cs="Arial"/>
        </w:rPr>
        <w:t xml:space="preserve"> and that i</w:t>
      </w:r>
      <w:r w:rsidRPr="00DE5D68" w:rsidR="00BD1D05">
        <w:rPr>
          <w:rFonts w:cs="Arial"/>
        </w:rPr>
        <w:t>t</w:t>
      </w:r>
      <w:r w:rsidRPr="00DE5D68">
        <w:rPr>
          <w:rFonts w:cs="Arial"/>
        </w:rPr>
        <w:t xml:space="preserve"> has considered the compatibil</w:t>
      </w:r>
      <w:r w:rsidRPr="00DE5D68" w:rsidR="005E44AB">
        <w:rPr>
          <w:rFonts w:cs="Arial"/>
        </w:rPr>
        <w:t xml:space="preserve">ity of the risk/reward profile </w:t>
      </w:r>
      <w:r w:rsidRPr="00DE5D68">
        <w:rPr>
          <w:rFonts w:cs="Arial"/>
        </w:rPr>
        <w:t xml:space="preserve">of such </w:t>
      </w:r>
      <w:r w:rsidR="006873BD">
        <w:rPr>
          <w:rFonts w:cs="Arial"/>
        </w:rPr>
        <w:t>Ordinary Shares</w:t>
      </w:r>
      <w:r w:rsidRPr="00DE5D68">
        <w:rPr>
          <w:rFonts w:cs="Arial"/>
        </w:rPr>
        <w:t xml:space="preserve"> with the end target market;</w:t>
      </w:r>
      <w:r w:rsidRPr="00DE5D68" w:rsidR="00585A95">
        <w:rPr>
          <w:rFonts w:cs="Arial"/>
        </w:rPr>
        <w:t xml:space="preserve"> and</w:t>
      </w:r>
    </w:p>
    <w:p w:rsidRPr="00DE5D68" w:rsidR="0045612D" w:rsidP="007944C6" w:rsidRDefault="0045612D" w14:paraId="07210A25" w14:textId="07B0F12B">
      <w:pPr>
        <w:pStyle w:val="Heading3"/>
        <w:rPr>
          <w:rFonts w:cs="Arial"/>
        </w:rPr>
      </w:pPr>
      <w:r w:rsidRPr="00DE5D68">
        <w:rPr>
          <w:rFonts w:cs="Arial"/>
        </w:rPr>
        <w:t>it acknowledges that the price of the</w:t>
      </w:r>
      <w:r w:rsidRPr="00DE5D68" w:rsidR="00975A1D">
        <w:rPr>
          <w:rFonts w:cs="Arial"/>
        </w:rPr>
        <w:t xml:space="preserve"> </w:t>
      </w:r>
      <w:r w:rsidR="006873BD">
        <w:rPr>
          <w:rFonts w:cs="Arial"/>
        </w:rPr>
        <w:t>Ordinary Shares</w:t>
      </w:r>
      <w:r w:rsidRPr="00DE5D68">
        <w:rPr>
          <w:rFonts w:cs="Arial"/>
        </w:rPr>
        <w:t xml:space="preserve"> may decline and investors could lose all or part of</w:t>
      </w:r>
      <w:r w:rsidRPr="00DE5D68" w:rsidR="005E44AB">
        <w:rPr>
          <w:rFonts w:cs="Arial"/>
        </w:rPr>
        <w:t xml:space="preserve"> </w:t>
      </w:r>
      <w:r w:rsidRPr="00DE5D68">
        <w:rPr>
          <w:rFonts w:cs="Arial"/>
        </w:rPr>
        <w:t xml:space="preserve">their investment; the </w:t>
      </w:r>
      <w:r w:rsidR="006873BD">
        <w:rPr>
          <w:rFonts w:cs="Arial"/>
        </w:rPr>
        <w:t>Ordinary Shares</w:t>
      </w:r>
      <w:r w:rsidRPr="00DE5D68">
        <w:rPr>
          <w:rFonts w:cs="Arial"/>
        </w:rPr>
        <w:t xml:space="preserve"> offer no guaranteed income and no capital protection; and an</w:t>
      </w:r>
      <w:r w:rsidRPr="00DE5D68" w:rsidR="005E44AB">
        <w:rPr>
          <w:rFonts w:cs="Arial"/>
        </w:rPr>
        <w:t xml:space="preserve"> </w:t>
      </w:r>
      <w:r w:rsidRPr="00DE5D68">
        <w:rPr>
          <w:rFonts w:cs="Arial"/>
        </w:rPr>
        <w:t>investment in the</w:t>
      </w:r>
      <w:r w:rsidRPr="00DE5D68" w:rsidR="00975A1D">
        <w:rPr>
          <w:rFonts w:cs="Arial"/>
        </w:rPr>
        <w:t xml:space="preserve"> </w:t>
      </w:r>
      <w:r w:rsidR="006873BD">
        <w:rPr>
          <w:rFonts w:cs="Arial"/>
        </w:rPr>
        <w:t>Ordinary Shares</w:t>
      </w:r>
      <w:r w:rsidRPr="00DE5D68">
        <w:rPr>
          <w:rFonts w:cs="Arial"/>
        </w:rPr>
        <w:t xml:space="preserve"> is compatible only with investors who do not need a guaranteed</w:t>
      </w:r>
      <w:r w:rsidRPr="00DE5D68" w:rsidR="005E44AB">
        <w:rPr>
          <w:rFonts w:cs="Arial"/>
        </w:rPr>
        <w:t xml:space="preserve"> </w:t>
      </w:r>
      <w:r w:rsidRPr="00DE5D68">
        <w:rPr>
          <w:rFonts w:cs="Arial"/>
        </w:rPr>
        <w:t>income or capital protection, who (either alone or in conjunction with an appropriate financial</w:t>
      </w:r>
      <w:r w:rsidRPr="00DE5D68" w:rsidR="005E44AB">
        <w:rPr>
          <w:rFonts w:cs="Arial"/>
        </w:rPr>
        <w:t xml:space="preserve"> </w:t>
      </w:r>
      <w:r w:rsidRPr="00DE5D68">
        <w:rPr>
          <w:rFonts w:cs="Arial"/>
        </w:rPr>
        <w:t>or other adviser) are capable of evaluating the merits and risks of such an investment and who</w:t>
      </w:r>
      <w:r w:rsidRPr="00DE5D68" w:rsidR="005E44AB">
        <w:rPr>
          <w:rFonts w:cs="Arial"/>
        </w:rPr>
        <w:t xml:space="preserve"> </w:t>
      </w:r>
      <w:r w:rsidRPr="00DE5D68">
        <w:rPr>
          <w:rFonts w:cs="Arial"/>
        </w:rPr>
        <w:t>have sufficient resources to be able to bear any losses that may result therefrom;</w:t>
      </w:r>
    </w:p>
    <w:bookmarkEnd w:id="330"/>
    <w:p w:rsidRPr="00DE5D68" w:rsidR="00DB5267" w:rsidP="007944C6" w:rsidRDefault="006873BD" w14:paraId="198EE7F7" w14:textId="7649EA18">
      <w:pPr>
        <w:pStyle w:val="Heading2"/>
        <w:rPr>
          <w:rFonts w:cs="Arial"/>
        </w:rPr>
      </w:pPr>
      <w:r>
        <w:rPr>
          <w:rFonts w:cs="Arial"/>
        </w:rPr>
        <w:t>Singer Capital Markets</w:t>
      </w:r>
      <w:r w:rsidRPr="00DE5D68" w:rsidR="00631C3F">
        <w:rPr>
          <w:rFonts w:cs="Arial"/>
        </w:rPr>
        <w:t xml:space="preserve"> </w:t>
      </w:r>
      <w:r w:rsidRPr="00DE5D68" w:rsidR="00DB5267">
        <w:rPr>
          <w:rFonts w:cs="Arial"/>
        </w:rPr>
        <w:t xml:space="preserve">and the Company are entitled to exercise any of their rights under the </w:t>
      </w:r>
      <w:r w:rsidR="00020807">
        <w:rPr>
          <w:rFonts w:cs="Arial"/>
        </w:rPr>
        <w:t>Placing Agreement</w:t>
      </w:r>
      <w:r w:rsidRPr="00DE5D68" w:rsidR="00DB5267">
        <w:rPr>
          <w:rFonts w:cs="Arial"/>
        </w:rPr>
        <w:t xml:space="preserve"> or any other right in their absolute discretion without any liability whatsoever to it;</w:t>
      </w:r>
    </w:p>
    <w:p w:rsidRPr="00DE5D68" w:rsidR="00DB5267" w:rsidP="007944C6" w:rsidRDefault="00DB5267" w14:paraId="1A659CE4" w14:textId="1991E7E4">
      <w:pPr>
        <w:pStyle w:val="Heading2"/>
        <w:rPr>
          <w:rFonts w:cs="Arial"/>
        </w:rPr>
      </w:pPr>
      <w:r w:rsidRPr="00DE5D68">
        <w:rPr>
          <w:rFonts w:cs="Arial"/>
        </w:rPr>
        <w:t xml:space="preserve">the representations, undertakings and warranties contained in this document are irrevocable. It acknowledges that </w:t>
      </w:r>
      <w:r w:rsidR="006873BD">
        <w:rPr>
          <w:rFonts w:cs="Arial"/>
        </w:rPr>
        <w:t>Singer Capital Markets</w:t>
      </w:r>
      <w:r w:rsidRPr="00DE5D68" w:rsidR="00631C3F">
        <w:rPr>
          <w:rFonts w:cs="Arial"/>
        </w:rPr>
        <w:t xml:space="preserve"> </w:t>
      </w:r>
      <w:r w:rsidRPr="00DE5D68">
        <w:rPr>
          <w:rFonts w:cs="Arial"/>
        </w:rPr>
        <w:t xml:space="preserve">and the Company and their respective affiliates will rely upon the truth and accuracy of the foregoing representations and warranties and it agrees that if any of the representations or warranties made or deemed to have been made by its subscription </w:t>
      </w:r>
      <w:r w:rsidRPr="00DE5D68">
        <w:rPr>
          <w:rFonts w:cs="Arial"/>
        </w:rPr>
        <w:lastRenderedPageBreak/>
        <w:t xml:space="preserve">of </w:t>
      </w:r>
      <w:r w:rsidR="006873BD">
        <w:rPr>
          <w:rFonts w:cs="Arial"/>
        </w:rPr>
        <w:t>Ordinary Shares</w:t>
      </w:r>
      <w:r w:rsidRPr="00DE5D68">
        <w:rPr>
          <w:rFonts w:cs="Arial"/>
        </w:rPr>
        <w:t xml:space="preserve"> are no longer accurate, it shall promptly notify </w:t>
      </w:r>
      <w:r w:rsidR="006873BD">
        <w:rPr>
          <w:rFonts w:cs="Arial"/>
        </w:rPr>
        <w:t>Singer Capital Markets</w:t>
      </w:r>
      <w:r w:rsidRPr="00DE5D68">
        <w:rPr>
          <w:rFonts w:cs="Arial"/>
        </w:rPr>
        <w:t xml:space="preserve"> and the Company;</w:t>
      </w:r>
    </w:p>
    <w:p w:rsidRPr="00DE5D68" w:rsidR="00DB5267" w:rsidP="007944C6" w:rsidRDefault="00DB5267" w14:paraId="4740861C" w14:textId="005CEC00">
      <w:pPr>
        <w:pStyle w:val="Heading2"/>
        <w:rPr>
          <w:rFonts w:cs="Arial"/>
        </w:rPr>
      </w:pPr>
      <w:r w:rsidRPr="00DE5D68">
        <w:rPr>
          <w:rFonts w:cs="Arial"/>
        </w:rPr>
        <w:t xml:space="preserve">where it or any person acting on behalf of it is dealing with </w:t>
      </w:r>
      <w:r w:rsidR="006873BD">
        <w:rPr>
          <w:rFonts w:cs="Arial"/>
        </w:rPr>
        <w:t>Singer Capital Markets</w:t>
      </w:r>
      <w:r w:rsidRPr="00DE5D68">
        <w:rPr>
          <w:rFonts w:cs="Arial"/>
        </w:rPr>
        <w:t xml:space="preserve">, any money held in an account with </w:t>
      </w:r>
      <w:r w:rsidR="006873BD">
        <w:rPr>
          <w:rFonts w:cs="Arial"/>
        </w:rPr>
        <w:t>Singer Capital Markets</w:t>
      </w:r>
      <w:r w:rsidRPr="00DE5D68">
        <w:rPr>
          <w:rFonts w:cs="Arial"/>
        </w:rPr>
        <w:t xml:space="preserve"> on behalf of it and/or any person acting on behalf of it will not be treated as client money within the meaning of the relevant rules and regulations of the </w:t>
      </w:r>
      <w:r w:rsidRPr="00DE5D68" w:rsidR="004374A0">
        <w:rPr>
          <w:rFonts w:cs="Arial"/>
        </w:rPr>
        <w:t>FCA</w:t>
      </w:r>
      <w:r w:rsidRPr="00DE5D68">
        <w:rPr>
          <w:rFonts w:cs="Arial"/>
        </w:rPr>
        <w:t xml:space="preserve"> which therefore will not require </w:t>
      </w:r>
      <w:r w:rsidR="006873BD">
        <w:rPr>
          <w:rFonts w:cs="Arial"/>
        </w:rPr>
        <w:t>Singer Capital Markets</w:t>
      </w:r>
      <w:r w:rsidRPr="00DE5D68" w:rsidR="00631C3F">
        <w:rPr>
          <w:rFonts w:cs="Arial"/>
        </w:rPr>
        <w:t xml:space="preserve"> </w:t>
      </w:r>
      <w:r w:rsidRPr="00DE5D68">
        <w:rPr>
          <w:rFonts w:cs="Arial"/>
        </w:rPr>
        <w:t xml:space="preserve">to segregate such money, as that money will be held by </w:t>
      </w:r>
      <w:r w:rsidR="006873BD">
        <w:rPr>
          <w:rFonts w:cs="Arial"/>
        </w:rPr>
        <w:t>Singer Capital Markets</w:t>
      </w:r>
      <w:r w:rsidRPr="00DE5D68" w:rsidR="00631C3F">
        <w:rPr>
          <w:rFonts w:cs="Arial"/>
        </w:rPr>
        <w:t xml:space="preserve"> </w:t>
      </w:r>
      <w:r w:rsidRPr="00DE5D68">
        <w:rPr>
          <w:rFonts w:cs="Arial"/>
        </w:rPr>
        <w:t>under a banking relationship and not as trustee;</w:t>
      </w:r>
    </w:p>
    <w:p w:rsidRPr="00DE5D68" w:rsidR="00DB5267" w:rsidP="007944C6" w:rsidRDefault="00DB5267" w14:paraId="1165AB41" w14:textId="6B243409">
      <w:pPr>
        <w:pStyle w:val="Heading2"/>
        <w:rPr>
          <w:rFonts w:cs="Arial"/>
        </w:rPr>
      </w:pPr>
      <w:r w:rsidRPr="00DE5D68">
        <w:rPr>
          <w:rFonts w:cs="Arial"/>
        </w:rPr>
        <w:t xml:space="preserve">any of its clients, whether or not identified to </w:t>
      </w:r>
      <w:r w:rsidR="006873BD">
        <w:rPr>
          <w:rFonts w:cs="Arial"/>
        </w:rPr>
        <w:t>Singer Capital Markets</w:t>
      </w:r>
      <w:r w:rsidRPr="00DE5D68">
        <w:rPr>
          <w:rFonts w:cs="Arial"/>
        </w:rPr>
        <w:t xml:space="preserve">, will remain its sole responsibility and will not become clients of </w:t>
      </w:r>
      <w:r w:rsidR="006873BD">
        <w:rPr>
          <w:rFonts w:cs="Arial"/>
        </w:rPr>
        <w:t>Singer Capital Markets</w:t>
      </w:r>
      <w:r w:rsidRPr="00DE5D68" w:rsidR="00631C3F">
        <w:rPr>
          <w:rFonts w:cs="Arial"/>
        </w:rPr>
        <w:t xml:space="preserve"> </w:t>
      </w:r>
      <w:r w:rsidRPr="00DE5D68">
        <w:rPr>
          <w:rFonts w:cs="Arial"/>
        </w:rPr>
        <w:t xml:space="preserve">for the purposes of the rules of the FCA or for the purposes of any other statutory or regulatory </w:t>
      </w:r>
      <w:proofErr w:type="gramStart"/>
      <w:r w:rsidRPr="00DE5D68">
        <w:rPr>
          <w:rFonts w:cs="Arial"/>
        </w:rPr>
        <w:t>provision;</w:t>
      </w:r>
      <w:proofErr w:type="gramEnd"/>
    </w:p>
    <w:p w:rsidRPr="00DE5D68" w:rsidR="00DB5267" w:rsidP="007944C6" w:rsidRDefault="00DB5267" w14:paraId="0467903E" w14:textId="296EDD0F">
      <w:pPr>
        <w:pStyle w:val="Heading2"/>
        <w:rPr>
          <w:rFonts w:cs="Arial"/>
        </w:rPr>
      </w:pPr>
      <w:r w:rsidRPr="00DE5D68">
        <w:rPr>
          <w:rFonts w:cs="Arial"/>
        </w:rPr>
        <w:t xml:space="preserve">it accepts that the allocation of </w:t>
      </w:r>
      <w:r w:rsidR="006873BD">
        <w:rPr>
          <w:rFonts w:cs="Arial"/>
        </w:rPr>
        <w:t>Ordinary Shares</w:t>
      </w:r>
      <w:r w:rsidRPr="00DE5D68">
        <w:rPr>
          <w:rFonts w:cs="Arial"/>
        </w:rPr>
        <w:t xml:space="preserve"> shall be determined by </w:t>
      </w:r>
      <w:r w:rsidR="00DD0C05">
        <w:rPr>
          <w:rFonts w:cs="Arial"/>
        </w:rPr>
        <w:t>Singer Capital Markets</w:t>
      </w:r>
      <w:r w:rsidRPr="00DE5D68">
        <w:rPr>
          <w:rFonts w:cs="Arial"/>
        </w:rPr>
        <w:t xml:space="preserve">, in its absolute discretion (following consultation with </w:t>
      </w:r>
      <w:r w:rsidRPr="00DE5D68" w:rsidR="006E5C16">
        <w:rPr>
          <w:rFonts w:cs="Arial"/>
        </w:rPr>
        <w:t>the Company and the Investment Manager</w:t>
      </w:r>
      <w:r w:rsidRPr="00DE5D68">
        <w:rPr>
          <w:rFonts w:cs="Arial"/>
        </w:rPr>
        <w:t xml:space="preserve">) </w:t>
      </w:r>
      <w:r w:rsidRPr="00DE5D68" w:rsidR="00975A1D">
        <w:rPr>
          <w:rFonts w:cs="Arial"/>
        </w:rPr>
        <w:t xml:space="preserve">and that it may scale down any </w:t>
      </w:r>
      <w:r w:rsidRPr="00DE5D68" w:rsidR="00C64E62">
        <w:rPr>
          <w:rFonts w:cs="Arial"/>
        </w:rPr>
        <w:t xml:space="preserve">Initial </w:t>
      </w:r>
      <w:r w:rsidRPr="00DE5D68">
        <w:rPr>
          <w:rFonts w:cs="Arial"/>
        </w:rPr>
        <w:t xml:space="preserve">Placing </w:t>
      </w:r>
      <w:r w:rsidRPr="00DE5D68" w:rsidR="00C64E62">
        <w:rPr>
          <w:rFonts w:cs="Arial"/>
        </w:rPr>
        <w:t xml:space="preserve">or Subsequent Placing </w:t>
      </w:r>
      <w:r w:rsidRPr="00DE5D68">
        <w:rPr>
          <w:rFonts w:cs="Arial"/>
        </w:rPr>
        <w:t>commitments for this purpose on such basis as it may determine;</w:t>
      </w:r>
      <w:r w:rsidRPr="00DE5D68" w:rsidR="00975A1D">
        <w:rPr>
          <w:rFonts w:cs="Arial"/>
        </w:rPr>
        <w:t xml:space="preserve"> </w:t>
      </w:r>
    </w:p>
    <w:p w:rsidRPr="00DE5D68" w:rsidR="00DB5267" w:rsidP="007944C6" w:rsidRDefault="00DB5267" w14:paraId="141553C6" w14:textId="682BD01E">
      <w:pPr>
        <w:pStyle w:val="Heading2"/>
        <w:rPr>
          <w:rFonts w:cs="Arial"/>
        </w:rPr>
      </w:pPr>
      <w:r w:rsidRPr="00DE5D68">
        <w:rPr>
          <w:rFonts w:cs="Arial"/>
        </w:rPr>
        <w:t xml:space="preserve">time shall be of the essence as regards its obligations to settle payment for the </w:t>
      </w:r>
      <w:r w:rsidR="006873BD">
        <w:rPr>
          <w:rFonts w:cs="Arial"/>
        </w:rPr>
        <w:t>Ordinary Shares</w:t>
      </w:r>
      <w:r w:rsidRPr="00DE5D68">
        <w:rPr>
          <w:rFonts w:cs="Arial"/>
        </w:rPr>
        <w:t xml:space="preserve"> and to comply with its other obligations under the</w:t>
      </w:r>
      <w:r w:rsidRPr="00DE5D68" w:rsidR="00C64E62">
        <w:rPr>
          <w:rFonts w:cs="Arial"/>
        </w:rPr>
        <w:t xml:space="preserve"> Initial</w:t>
      </w:r>
      <w:r w:rsidRPr="00DE5D68">
        <w:rPr>
          <w:rFonts w:cs="Arial"/>
        </w:rPr>
        <w:t xml:space="preserve"> Placing</w:t>
      </w:r>
      <w:r w:rsidRPr="00DE5D68" w:rsidR="00C64E62">
        <w:rPr>
          <w:rFonts w:cs="Arial"/>
        </w:rPr>
        <w:t xml:space="preserve"> or relevant Subsequent Placing (as applicable)</w:t>
      </w:r>
      <w:r w:rsidRPr="00DE5D68">
        <w:rPr>
          <w:rFonts w:cs="Arial"/>
        </w:rPr>
        <w:t>;</w:t>
      </w:r>
      <w:r w:rsidRPr="00DE5D68" w:rsidR="00975A1D">
        <w:rPr>
          <w:rFonts w:cs="Arial"/>
        </w:rPr>
        <w:t xml:space="preserve"> </w:t>
      </w:r>
    </w:p>
    <w:p w:rsidRPr="00DE5D68" w:rsidR="00DB5267" w:rsidP="007944C6" w:rsidRDefault="00DB5267" w14:paraId="113B7DB8" w14:textId="5E104285">
      <w:pPr>
        <w:pStyle w:val="Heading2"/>
        <w:rPr>
          <w:rFonts w:cs="Arial"/>
        </w:rPr>
      </w:pPr>
      <w:r w:rsidRPr="00DE5D68">
        <w:rPr>
          <w:rFonts w:cs="Arial"/>
        </w:rPr>
        <w:t xml:space="preserve">it authorises </w:t>
      </w:r>
      <w:r w:rsidR="00DD0C05">
        <w:rPr>
          <w:rFonts w:cs="Arial"/>
        </w:rPr>
        <w:t>Singer Capital Markets</w:t>
      </w:r>
      <w:r w:rsidRPr="00DE5D68" w:rsidR="00631C3F">
        <w:rPr>
          <w:rFonts w:cs="Arial"/>
        </w:rPr>
        <w:t xml:space="preserve"> </w:t>
      </w:r>
      <w:r w:rsidRPr="00DE5D68">
        <w:rPr>
          <w:rFonts w:cs="Arial"/>
        </w:rPr>
        <w:t xml:space="preserve">to deduct from the total </w:t>
      </w:r>
      <w:r w:rsidR="009B7490">
        <w:rPr>
          <w:rFonts w:cs="Arial"/>
        </w:rPr>
        <w:t xml:space="preserve">cash </w:t>
      </w:r>
      <w:r w:rsidRPr="00DE5D68">
        <w:rPr>
          <w:rFonts w:cs="Arial"/>
        </w:rPr>
        <w:t xml:space="preserve">amount subscribed under the </w:t>
      </w:r>
      <w:r w:rsidR="00FA4206">
        <w:rPr>
          <w:rFonts w:cs="Arial"/>
        </w:rPr>
        <w:t>I</w:t>
      </w:r>
      <w:r w:rsidRPr="00DE5D68" w:rsidR="00C64E62">
        <w:rPr>
          <w:rFonts w:cs="Arial"/>
        </w:rPr>
        <w:t xml:space="preserve">nitial </w:t>
      </w:r>
      <w:r w:rsidRPr="00DE5D68">
        <w:rPr>
          <w:rFonts w:cs="Arial"/>
        </w:rPr>
        <w:t>Placing</w:t>
      </w:r>
      <w:r w:rsidRPr="00DE5D68" w:rsidR="00C64E62">
        <w:rPr>
          <w:rFonts w:cs="Arial"/>
        </w:rPr>
        <w:t xml:space="preserve"> or relevant Subsequent Placing (as applicable)</w:t>
      </w:r>
      <w:r w:rsidRPr="00DE5D68">
        <w:rPr>
          <w:rFonts w:cs="Arial"/>
        </w:rPr>
        <w:t xml:space="preserve"> the aggrega</w:t>
      </w:r>
      <w:r w:rsidRPr="00DE5D68" w:rsidR="009C4A25">
        <w:rPr>
          <w:rFonts w:cs="Arial"/>
        </w:rPr>
        <w:t>te</w:t>
      </w:r>
      <w:r w:rsidR="00FA4206">
        <w:rPr>
          <w:rFonts w:cs="Arial"/>
        </w:rPr>
        <w:t xml:space="preserve"> placing</w:t>
      </w:r>
      <w:r w:rsidRPr="00DE5D68">
        <w:rPr>
          <w:rFonts w:cs="Arial"/>
        </w:rPr>
        <w:t xml:space="preserve"> </w:t>
      </w:r>
      <w:r w:rsidR="00FA4206">
        <w:rPr>
          <w:rFonts w:cs="Arial"/>
        </w:rPr>
        <w:t>c</w:t>
      </w:r>
      <w:r w:rsidRPr="00DE5D68" w:rsidR="000C0D70">
        <w:rPr>
          <w:rFonts w:cs="Arial"/>
        </w:rPr>
        <w:t>ommission</w:t>
      </w:r>
      <w:r w:rsidRPr="00DE5D68">
        <w:rPr>
          <w:rFonts w:cs="Arial"/>
        </w:rPr>
        <w:t xml:space="preserve"> (if any) payable on the number of </w:t>
      </w:r>
      <w:r w:rsidR="006873BD">
        <w:rPr>
          <w:rFonts w:cs="Arial"/>
        </w:rPr>
        <w:t>Ordinary Shares</w:t>
      </w:r>
      <w:r w:rsidRPr="00DE5D68" w:rsidR="00975A1D">
        <w:rPr>
          <w:rFonts w:cs="Arial"/>
        </w:rPr>
        <w:t xml:space="preserve"> allocated under the</w:t>
      </w:r>
      <w:r w:rsidRPr="00DE5D68" w:rsidR="00C64E62">
        <w:rPr>
          <w:rFonts w:cs="Arial"/>
        </w:rPr>
        <w:t xml:space="preserve"> Initial</w:t>
      </w:r>
      <w:r w:rsidRPr="00DE5D68" w:rsidR="00975A1D">
        <w:rPr>
          <w:rFonts w:cs="Arial"/>
        </w:rPr>
        <w:t xml:space="preserve"> </w:t>
      </w:r>
      <w:r w:rsidRPr="00DE5D68">
        <w:rPr>
          <w:rFonts w:cs="Arial"/>
        </w:rPr>
        <w:t>Placing</w:t>
      </w:r>
      <w:r w:rsidRPr="00DE5D68" w:rsidR="00C64E62">
        <w:rPr>
          <w:rFonts w:cs="Arial"/>
        </w:rPr>
        <w:t xml:space="preserve"> or relevant Subsequent Placing</w:t>
      </w:r>
      <w:r w:rsidRPr="00DE5D68">
        <w:rPr>
          <w:rFonts w:cs="Arial"/>
        </w:rPr>
        <w:t>;</w:t>
      </w:r>
    </w:p>
    <w:p w:rsidRPr="00DE5D68" w:rsidR="00DB5267" w:rsidP="007944C6" w:rsidRDefault="00DB5267" w14:paraId="3252A475" w14:textId="145E8020">
      <w:pPr>
        <w:pStyle w:val="Heading2"/>
        <w:rPr>
          <w:rFonts w:cs="Arial"/>
        </w:rPr>
      </w:pPr>
      <w:r w:rsidRPr="00DE5D68">
        <w:rPr>
          <w:rFonts w:cs="Arial"/>
        </w:rPr>
        <w:t xml:space="preserve">in the event that a supplementary prospectus is required to be produced pursuant to </w:t>
      </w:r>
      <w:r w:rsidR="00640CB6">
        <w:rPr>
          <w:rFonts w:cs="Arial"/>
        </w:rPr>
        <w:fldChar w:fldCharType="begin">
          <w:fldData xml:space="preserve">dgAxAHwAMQAwADAAOQAxAHwAcwBlAGMAdABpAG8AbgAgADgANwBHACAARgBTAE0AQQB8AEIARQBT
AFQAQgBMAFMARQBDAFQASQBPAE4ANQAzADAANQAxADIAfAB8AA==
</w:fldData>
        </w:fldChar>
      </w:r>
      <w:r w:rsidR="00640CB6">
        <w:rPr>
          <w:rFonts w:cs="Arial"/>
        </w:rPr>
        <w:instrText xml:space="preserve"> ADDIN CiteCheck Marker </w:instrText>
      </w:r>
      <w:r w:rsidR="00640CB6">
        <w:rPr>
          <w:rFonts w:cs="Arial"/>
        </w:rPr>
      </w:r>
      <w:r w:rsidR="00640CB6">
        <w:rPr>
          <w:rFonts w:cs="Arial"/>
        </w:rPr>
        <w:fldChar w:fldCharType="end"/>
      </w:r>
      <w:r w:rsidRPr="00DE5D68">
        <w:rPr>
          <w:rFonts w:cs="Arial"/>
        </w:rPr>
        <w:t xml:space="preserve">section 87G FSMA and in the event that it chooses to exercise any right of withdrawal pursuant to </w:t>
      </w:r>
      <w:r w:rsidRPr="00DE5D68" w:rsidR="00D339E5">
        <w:rPr>
          <w:rFonts w:cs="Arial"/>
        </w:rPr>
        <w:t>Article 23(2) of the Prospectus Regulation</w:t>
      </w:r>
      <w:r w:rsidRPr="00DE5D68">
        <w:rPr>
          <w:rFonts w:cs="Arial"/>
        </w:rPr>
        <w:t xml:space="preserve">, such </w:t>
      </w:r>
      <w:proofErr w:type="spellStart"/>
      <w:r w:rsidRPr="00DE5D68">
        <w:rPr>
          <w:rFonts w:cs="Arial"/>
        </w:rPr>
        <w:t>Placee</w:t>
      </w:r>
      <w:proofErr w:type="spellEnd"/>
      <w:r w:rsidRPr="00DE5D68">
        <w:rPr>
          <w:rFonts w:cs="Arial"/>
        </w:rPr>
        <w:t xml:space="preserve"> will immediately re-subscribe for the </w:t>
      </w:r>
      <w:r w:rsidR="006873BD">
        <w:rPr>
          <w:rFonts w:cs="Arial"/>
        </w:rPr>
        <w:t>Ordinary Shares</w:t>
      </w:r>
      <w:r w:rsidRPr="00DE5D68">
        <w:rPr>
          <w:rFonts w:cs="Arial"/>
        </w:rPr>
        <w:t xml:space="preserve"> previously comprising its placing commitment;</w:t>
      </w:r>
    </w:p>
    <w:p w:rsidRPr="00DE5D68" w:rsidR="00DB5267" w:rsidP="007944C6" w:rsidRDefault="00DB5267" w14:paraId="277BE137" w14:textId="7EFB95DD">
      <w:pPr>
        <w:pStyle w:val="Heading2"/>
        <w:rPr>
          <w:rFonts w:cs="Arial"/>
        </w:rPr>
      </w:pPr>
      <w:r w:rsidRPr="00DE5D68">
        <w:rPr>
          <w:rFonts w:cs="Arial"/>
        </w:rPr>
        <w:t xml:space="preserve">the commitment to subscribe for </w:t>
      </w:r>
      <w:r w:rsidR="006873BD">
        <w:rPr>
          <w:rFonts w:cs="Arial"/>
        </w:rPr>
        <w:t>Ordinary Shares</w:t>
      </w:r>
      <w:r w:rsidRPr="00DE5D68">
        <w:rPr>
          <w:rFonts w:cs="Arial"/>
        </w:rPr>
        <w:t xml:space="preserve"> on the terms set out in these terms and conditions will continue notwithstanding any amendment that may in the future b</w:t>
      </w:r>
      <w:r w:rsidRPr="00DE5D68" w:rsidR="00975A1D">
        <w:rPr>
          <w:rFonts w:cs="Arial"/>
        </w:rPr>
        <w:t>e made to the terms of the</w:t>
      </w:r>
      <w:r w:rsidRPr="00DE5D68" w:rsidR="00C64E62">
        <w:rPr>
          <w:rFonts w:cs="Arial"/>
        </w:rPr>
        <w:t xml:space="preserve"> Initial</w:t>
      </w:r>
      <w:r w:rsidRPr="00DE5D68" w:rsidR="00975A1D">
        <w:rPr>
          <w:rFonts w:cs="Arial"/>
        </w:rPr>
        <w:t xml:space="preserve"> </w:t>
      </w:r>
      <w:r w:rsidRPr="00DE5D68">
        <w:rPr>
          <w:rFonts w:cs="Arial"/>
        </w:rPr>
        <w:t xml:space="preserve">Placing </w:t>
      </w:r>
      <w:r w:rsidRPr="00DE5D68" w:rsidR="00C64E62">
        <w:rPr>
          <w:rFonts w:cs="Arial"/>
        </w:rPr>
        <w:t xml:space="preserve">or any Subsequent Placing </w:t>
      </w:r>
      <w:r w:rsidRPr="00DE5D68">
        <w:rPr>
          <w:rFonts w:cs="Arial"/>
        </w:rPr>
        <w:t>and that it will have no right to be consulted or require that its consent be obtained with respect t</w:t>
      </w:r>
      <w:r w:rsidRPr="00DE5D68" w:rsidR="00975A1D">
        <w:rPr>
          <w:rFonts w:cs="Arial"/>
        </w:rPr>
        <w:t>o the Company’s conduct of the</w:t>
      </w:r>
      <w:r w:rsidRPr="00DE5D68" w:rsidR="00C64E62">
        <w:rPr>
          <w:rFonts w:cs="Arial"/>
        </w:rPr>
        <w:t xml:space="preserve"> Initial</w:t>
      </w:r>
      <w:r w:rsidRPr="00DE5D68" w:rsidR="00975A1D">
        <w:rPr>
          <w:rFonts w:cs="Arial"/>
        </w:rPr>
        <w:t xml:space="preserve"> </w:t>
      </w:r>
      <w:r w:rsidRPr="00DE5D68">
        <w:rPr>
          <w:rFonts w:cs="Arial"/>
        </w:rPr>
        <w:t>Placing</w:t>
      </w:r>
      <w:r w:rsidRPr="00DE5D68" w:rsidR="00C64E62">
        <w:rPr>
          <w:rFonts w:cs="Arial"/>
        </w:rPr>
        <w:t xml:space="preserve"> and/or any Subsequent Placing</w:t>
      </w:r>
      <w:r w:rsidRPr="00DE5D68">
        <w:rPr>
          <w:rFonts w:cs="Arial"/>
        </w:rPr>
        <w:t>;</w:t>
      </w:r>
      <w:r w:rsidRPr="00DE5D68" w:rsidR="00516B1B">
        <w:rPr>
          <w:rFonts w:cs="Arial"/>
        </w:rPr>
        <w:t xml:space="preserve"> </w:t>
      </w:r>
    </w:p>
    <w:p w:rsidRPr="00DE5D68" w:rsidR="00DB5267" w:rsidP="007944C6" w:rsidRDefault="00DB5267" w14:paraId="567BC41C" w14:textId="6C05CC6D">
      <w:pPr>
        <w:pStyle w:val="Heading2"/>
        <w:rPr>
          <w:rFonts w:cs="Arial"/>
        </w:rPr>
      </w:pPr>
      <w:r w:rsidRPr="00DE5D68">
        <w:rPr>
          <w:rFonts w:cs="Arial"/>
        </w:rPr>
        <w:t xml:space="preserve">it is capable of being categorised as a person who is a </w:t>
      </w:r>
      <w:r w:rsidRPr="00DE5D68" w:rsidR="00170F35">
        <w:rPr>
          <w:rFonts w:cs="Arial"/>
        </w:rPr>
        <w:t>"</w:t>
      </w:r>
      <w:r w:rsidRPr="00DE5D68">
        <w:rPr>
          <w:rFonts w:cs="Arial"/>
        </w:rPr>
        <w:t>professional client</w:t>
      </w:r>
      <w:r w:rsidRPr="00DE5D68" w:rsidR="00170F35">
        <w:rPr>
          <w:rFonts w:cs="Arial"/>
        </w:rPr>
        <w:t>"</w:t>
      </w:r>
      <w:r w:rsidRPr="00DE5D68">
        <w:rPr>
          <w:rFonts w:cs="Arial"/>
        </w:rPr>
        <w:t xml:space="preserve"> or an </w:t>
      </w:r>
      <w:r w:rsidRPr="00DE5D68" w:rsidR="00170F35">
        <w:rPr>
          <w:rFonts w:cs="Arial"/>
        </w:rPr>
        <w:t>"</w:t>
      </w:r>
      <w:r w:rsidRPr="00DE5D68">
        <w:rPr>
          <w:rFonts w:cs="Arial"/>
        </w:rPr>
        <w:t>eligible counterparty</w:t>
      </w:r>
      <w:r w:rsidRPr="00DE5D68" w:rsidR="00170F35">
        <w:rPr>
          <w:rFonts w:cs="Arial"/>
        </w:rPr>
        <w:t>"</w:t>
      </w:r>
      <w:r w:rsidRPr="00DE5D68">
        <w:rPr>
          <w:rFonts w:cs="Arial"/>
        </w:rPr>
        <w:t xml:space="preserve"> within the meaning of Chapter 3 of the FCA’s Conduct of Business Sourcebook</w:t>
      </w:r>
      <w:r w:rsidRPr="00DE5D68" w:rsidR="00023584">
        <w:rPr>
          <w:rFonts w:cs="Arial"/>
        </w:rPr>
        <w:t>;</w:t>
      </w:r>
    </w:p>
    <w:p w:rsidRPr="00DE5D68" w:rsidR="00023584" w:rsidP="007944C6" w:rsidRDefault="00023584" w14:paraId="393F2A1A" w14:textId="48110BB0">
      <w:pPr>
        <w:pStyle w:val="Heading2"/>
        <w:rPr>
          <w:rFonts w:cs="Arial"/>
        </w:rPr>
      </w:pPr>
      <w:r w:rsidRPr="00DE5D68">
        <w:rPr>
          <w:rFonts w:cs="Arial"/>
        </w:rPr>
        <w:t xml:space="preserve">it acknowledges that any person in Guernsey involved in the business of the Company who has a suspicion or belief that any other person (including the Company or any person subscribing for </w:t>
      </w:r>
      <w:r w:rsidR="006873BD">
        <w:rPr>
          <w:rFonts w:cs="Arial"/>
        </w:rPr>
        <w:t>Ordinary Shares</w:t>
      </w:r>
      <w:r w:rsidRPr="00DE5D68">
        <w:rPr>
          <w:rFonts w:cs="Arial"/>
        </w:rPr>
        <w:t>) is involved in money laundering activities, is under an obligation to report such suspicion to the Financial Intelligence Service pursuant to the Terrorism and Crime (Bailiwick of Guernsey) Law, 2002 (as amended); and</w:t>
      </w:r>
    </w:p>
    <w:p w:rsidRPr="00DE5D68" w:rsidR="00023584" w:rsidP="007944C6" w:rsidRDefault="001D74CA" w14:paraId="5D6E8A5B" w14:textId="05F2DD03">
      <w:pPr>
        <w:pStyle w:val="Heading2"/>
        <w:rPr>
          <w:rFonts w:cs="Arial"/>
        </w:rPr>
      </w:pPr>
      <w:r w:rsidRPr="00DE5D68">
        <w:rPr>
          <w:rFonts w:cs="Arial"/>
        </w:rPr>
        <w:t xml:space="preserve">if it is in the Bailiwick of Guernsey, it is a person licensed under any of the Protection of Investors (Bailiwick of Guernsey) Law, </w:t>
      </w:r>
      <w:r>
        <w:rPr>
          <w:rFonts w:cs="Arial"/>
        </w:rPr>
        <w:t>2020</w:t>
      </w:r>
      <w:r w:rsidRPr="00DE5D68">
        <w:rPr>
          <w:rFonts w:cs="Arial"/>
        </w:rPr>
        <w:t xml:space="preserve">, the Insurance Business (Bailiwick of Guernsey) Law, 2002 (as amended), the Banking Supervision (Bailiwick of Guernsey) Law, </w:t>
      </w:r>
      <w:r>
        <w:rPr>
          <w:rFonts w:cs="Arial"/>
        </w:rPr>
        <w:t>2020</w:t>
      </w:r>
      <w:r w:rsidRPr="00DE5D68">
        <w:rPr>
          <w:rFonts w:cs="Arial"/>
        </w:rPr>
        <w:t>, or the Regulation of Fiduciaries, Administration Businesses and Company Directors, etc (Bailiwick of Guernsey) Law, 20</w:t>
      </w:r>
      <w:r>
        <w:rPr>
          <w:rFonts w:cs="Arial"/>
        </w:rPr>
        <w:t>20</w:t>
      </w:r>
      <w:r w:rsidRPr="00DE5D68" w:rsidR="00023584">
        <w:rPr>
          <w:rFonts w:cs="Arial"/>
        </w:rPr>
        <w:t>.</w:t>
      </w:r>
    </w:p>
    <w:p w:rsidRPr="00DE5D68" w:rsidR="00DB5267" w:rsidP="00061C03" w:rsidRDefault="00DB5267" w14:paraId="651F4ACC" w14:textId="69CF73D4">
      <w:pPr>
        <w:pStyle w:val="Heading1"/>
        <w:tabs>
          <w:tab w:val="clear" w:pos="1134"/>
          <w:tab w:val="num" w:pos="709"/>
        </w:tabs>
        <w:rPr>
          <w:rFonts w:cs="Arial"/>
          <w:caps w:val="0"/>
        </w:rPr>
      </w:pPr>
      <w:bookmarkStart w:name="_Ref65764367" w:id="331"/>
      <w:r w:rsidRPr="00DE5D68">
        <w:rPr>
          <w:rFonts w:cs="Arial"/>
          <w:caps w:val="0"/>
        </w:rPr>
        <w:t>UNITED STATES PURCHASE AND TRANSFER RESTRICTIONS</w:t>
      </w:r>
      <w:bookmarkEnd w:id="331"/>
    </w:p>
    <w:p w:rsidRPr="00DE5D68" w:rsidR="00DB5267" w:rsidP="00C27D12" w:rsidRDefault="00DB5267" w14:paraId="7C857223" w14:textId="2451B7E9">
      <w:pPr>
        <w:ind w:left="709"/>
        <w:rPr>
          <w:rFonts w:cs="Arial"/>
        </w:rPr>
      </w:pPr>
      <w:r w:rsidRPr="00DE5D68">
        <w:rPr>
          <w:rFonts w:cs="Arial"/>
        </w:rPr>
        <w:t xml:space="preserve">Unless it is otherwise expressly agreed with the Company and </w:t>
      </w:r>
      <w:r w:rsidR="006873BD">
        <w:rPr>
          <w:rFonts w:cs="Arial"/>
        </w:rPr>
        <w:t>Singer Capital Markets</w:t>
      </w:r>
      <w:r w:rsidRPr="00DE5D68" w:rsidR="00037439">
        <w:rPr>
          <w:rFonts w:cs="Arial"/>
        </w:rPr>
        <w:t xml:space="preserve">, </w:t>
      </w:r>
      <w:r w:rsidRPr="00DE5D68" w:rsidR="00B04295">
        <w:rPr>
          <w:rFonts w:cs="Arial"/>
        </w:rPr>
        <w:t>by participating in the</w:t>
      </w:r>
      <w:r w:rsidRPr="00DE5D68" w:rsidR="00C64E62">
        <w:rPr>
          <w:rFonts w:cs="Arial"/>
        </w:rPr>
        <w:t xml:space="preserve"> Initial</w:t>
      </w:r>
      <w:r w:rsidRPr="00DE5D68" w:rsidR="00B04295">
        <w:rPr>
          <w:rFonts w:cs="Arial"/>
        </w:rPr>
        <w:t xml:space="preserve"> </w:t>
      </w:r>
      <w:r w:rsidRPr="00DE5D68">
        <w:rPr>
          <w:rFonts w:cs="Arial"/>
        </w:rPr>
        <w:t>Placing</w:t>
      </w:r>
      <w:r w:rsidRPr="00DE5D68" w:rsidR="00C64E62">
        <w:rPr>
          <w:rFonts w:cs="Arial"/>
        </w:rPr>
        <w:t xml:space="preserve"> and/or Subsequent Placing</w:t>
      </w:r>
      <w:r w:rsidRPr="00DE5D68">
        <w:rPr>
          <w:rFonts w:cs="Arial"/>
        </w:rPr>
        <w:t xml:space="preserve">, each </w:t>
      </w:r>
      <w:proofErr w:type="spellStart"/>
      <w:r w:rsidRPr="00DE5D68">
        <w:rPr>
          <w:rFonts w:cs="Arial"/>
        </w:rPr>
        <w:t>Placee</w:t>
      </w:r>
      <w:proofErr w:type="spellEnd"/>
      <w:r w:rsidRPr="00DE5D68">
        <w:rPr>
          <w:rFonts w:cs="Arial"/>
        </w:rPr>
        <w:t xml:space="preserve"> acknowledges and agrees that it will (for itself and any person(s) procured by it to subscribe for </w:t>
      </w:r>
      <w:r w:rsidR="006873BD">
        <w:rPr>
          <w:rFonts w:cs="Arial"/>
        </w:rPr>
        <w:t>Ordinary Shares</w:t>
      </w:r>
      <w:r w:rsidRPr="00DE5D68">
        <w:rPr>
          <w:rFonts w:cs="Arial"/>
        </w:rPr>
        <w:t xml:space="preserve"> and any nominee(s) for any such person(s)) be further deemed to represent and warrant to each of the Company, </w:t>
      </w:r>
      <w:r w:rsidR="006873BD">
        <w:rPr>
          <w:rFonts w:cs="Arial"/>
        </w:rPr>
        <w:t>Singer Capital Markets</w:t>
      </w:r>
      <w:r w:rsidRPr="00DE5D68">
        <w:rPr>
          <w:rFonts w:cs="Arial"/>
        </w:rPr>
        <w:t xml:space="preserve">, the </w:t>
      </w:r>
      <w:r w:rsidRPr="00DE5D68" w:rsidR="003C76F6">
        <w:rPr>
          <w:rFonts w:cs="Arial"/>
        </w:rPr>
        <w:t xml:space="preserve">Investment </w:t>
      </w:r>
      <w:r w:rsidR="00FA4206">
        <w:rPr>
          <w:rFonts w:cs="Arial"/>
        </w:rPr>
        <w:t xml:space="preserve">Manager </w:t>
      </w:r>
      <w:r w:rsidRPr="00DE5D68">
        <w:rPr>
          <w:rFonts w:cs="Arial"/>
        </w:rPr>
        <w:t>and the Registrar that:</w:t>
      </w:r>
    </w:p>
    <w:p w:rsidRPr="00DE5D68" w:rsidR="00DB5267" w:rsidP="007944C6" w:rsidRDefault="00DB5267" w14:paraId="2678967D" w14:textId="4CDE8319">
      <w:pPr>
        <w:pStyle w:val="Heading2"/>
        <w:rPr>
          <w:rFonts w:cs="Arial"/>
        </w:rPr>
      </w:pPr>
      <w:r w:rsidRPr="00DE5D68">
        <w:rPr>
          <w:rFonts w:cs="Arial"/>
        </w:rPr>
        <w:lastRenderedPageBreak/>
        <w:t xml:space="preserve">it is not a U.S. Person, is not located within the United States, is acquiring the </w:t>
      </w:r>
      <w:r w:rsidR="006873BD">
        <w:rPr>
          <w:rFonts w:cs="Arial"/>
        </w:rPr>
        <w:t>Ordinary Shares</w:t>
      </w:r>
      <w:r w:rsidRPr="00DE5D68">
        <w:rPr>
          <w:rFonts w:cs="Arial"/>
        </w:rPr>
        <w:t xml:space="preserve"> in an offshore transaction meeting the requirements of Regulation S and is not acquiring the </w:t>
      </w:r>
      <w:r w:rsidR="006873BD">
        <w:rPr>
          <w:rFonts w:cs="Arial"/>
        </w:rPr>
        <w:t>Ordinary Shares</w:t>
      </w:r>
      <w:r w:rsidRPr="00DE5D68">
        <w:rPr>
          <w:rFonts w:cs="Arial"/>
        </w:rPr>
        <w:t xml:space="preserve"> for the account or benefit of a U.S. Person;</w:t>
      </w:r>
      <w:r w:rsidRPr="00DE5D68" w:rsidR="00B04295">
        <w:rPr>
          <w:rFonts w:cs="Arial"/>
        </w:rPr>
        <w:t xml:space="preserve"> </w:t>
      </w:r>
    </w:p>
    <w:p w:rsidRPr="00DE5D68" w:rsidR="00DB5267" w:rsidP="007944C6" w:rsidRDefault="00DB5267" w14:paraId="7B31F0EE" w14:textId="6BA3575E">
      <w:pPr>
        <w:pStyle w:val="Heading2"/>
        <w:rPr>
          <w:rFonts w:cs="Arial"/>
        </w:rPr>
      </w:pPr>
      <w:r w:rsidRPr="00DE5D68">
        <w:rPr>
          <w:rFonts w:cs="Arial"/>
        </w:rPr>
        <w:t xml:space="preserve">it acknowledges that the </w:t>
      </w:r>
      <w:r w:rsidR="006873BD">
        <w:rPr>
          <w:rFonts w:cs="Arial"/>
        </w:rPr>
        <w:t>Ordinary Shares</w:t>
      </w:r>
      <w:r w:rsidRPr="00DE5D68">
        <w:rPr>
          <w:rFonts w:cs="Arial"/>
        </w:rPr>
        <w:t xml:space="preserve"> have not been and will not be registered under the U.S. Securities Act or with any securities regulatory authority of any </w:t>
      </w:r>
      <w:r w:rsidRPr="00DE5D68" w:rsidR="004374A0">
        <w:rPr>
          <w:rFonts w:cs="Arial"/>
        </w:rPr>
        <w:t>s</w:t>
      </w:r>
      <w:r w:rsidRPr="00DE5D68">
        <w:rPr>
          <w:rFonts w:cs="Arial"/>
        </w:rPr>
        <w:t>tate or other jurisdiction of the United States and, subject to certain exceptions, may not be offered or sold in the United States or to, or for the account or benefit of, U.S. Persons absent registration or an exemption from registration under the U.S. Securities Act;</w:t>
      </w:r>
      <w:r w:rsidRPr="00DE5D68" w:rsidR="00B04295">
        <w:rPr>
          <w:rFonts w:cs="Arial"/>
        </w:rPr>
        <w:t xml:space="preserve"> </w:t>
      </w:r>
    </w:p>
    <w:p w:rsidRPr="00DE5D68" w:rsidR="00DB5267" w:rsidP="007944C6" w:rsidRDefault="00DB5267" w14:paraId="45F4CB27" w14:textId="77777777">
      <w:pPr>
        <w:pStyle w:val="Heading2"/>
        <w:rPr>
          <w:rFonts w:cs="Arial"/>
        </w:rPr>
      </w:pPr>
      <w:r w:rsidRPr="00DE5D68">
        <w:rPr>
          <w:rFonts w:cs="Arial"/>
        </w:rPr>
        <w:t>it acknowledges that the Company has not registered under the U.S. Investment Company Act and that the Company has put in place restrictions for transactions not involving any public offering in the United States, and to ensure that the Company is not and will not be required to register under the U.S. Investment Company Act;</w:t>
      </w:r>
    </w:p>
    <w:p w:rsidRPr="00DE5D68" w:rsidR="00DB5267" w:rsidP="007944C6" w:rsidRDefault="00DB5267" w14:paraId="5B227833" w14:textId="04C72303">
      <w:pPr>
        <w:pStyle w:val="Heading2"/>
        <w:rPr>
          <w:rFonts w:cs="Arial"/>
        </w:rPr>
      </w:pPr>
      <w:r w:rsidRPr="00DE5D68">
        <w:rPr>
          <w:rFonts w:cs="Arial"/>
        </w:rPr>
        <w:t xml:space="preserve">unless the Company expressly consents in writing otherwise, no portion of the assets used to purchase, and no portion of the assets used to hold, the </w:t>
      </w:r>
      <w:r w:rsidR="006873BD">
        <w:rPr>
          <w:rFonts w:cs="Arial"/>
        </w:rPr>
        <w:t>Ordinary Shares</w:t>
      </w:r>
      <w:r w:rsidRPr="00DE5D68">
        <w:rPr>
          <w:rFonts w:cs="Arial"/>
        </w:rPr>
        <w:t xml:space="preserve"> or any beneficial interest therein constitutes or will constitute the assets of: (</w:t>
      </w:r>
      <w:proofErr w:type="spellStart"/>
      <w:r w:rsidRPr="00DE5D68">
        <w:rPr>
          <w:rFonts w:cs="Arial"/>
        </w:rPr>
        <w:t>i</w:t>
      </w:r>
      <w:proofErr w:type="spellEnd"/>
      <w:r w:rsidRPr="00DE5D68">
        <w:rPr>
          <w:rFonts w:cs="Arial"/>
        </w:rPr>
        <w:t xml:space="preserve">) an </w:t>
      </w:r>
      <w:r w:rsidRPr="00DE5D68" w:rsidR="00170F35">
        <w:rPr>
          <w:rFonts w:cs="Arial"/>
        </w:rPr>
        <w:t>"</w:t>
      </w:r>
      <w:r w:rsidRPr="00DE5D68">
        <w:rPr>
          <w:rFonts w:cs="Arial"/>
        </w:rPr>
        <w:t>employee benefit plan</w:t>
      </w:r>
      <w:r w:rsidRPr="00DE5D68" w:rsidR="00170F35">
        <w:rPr>
          <w:rFonts w:cs="Arial"/>
        </w:rPr>
        <w:t>"</w:t>
      </w:r>
      <w:r w:rsidRPr="00DE5D68">
        <w:rPr>
          <w:rFonts w:cs="Arial"/>
        </w:rPr>
        <w:t xml:space="preserve"> as defined in </w:t>
      </w:r>
      <w:r w:rsidRPr="00DE5D68" w:rsidR="005D456D">
        <w:rPr>
          <w:rFonts w:cs="Arial"/>
        </w:rPr>
        <w:t>s</w:t>
      </w:r>
      <w:r w:rsidRPr="00DE5D68">
        <w:rPr>
          <w:rFonts w:cs="Arial"/>
        </w:rPr>
        <w:t xml:space="preserve">ection 3(3) of ERISA that is subject to Part 4 of subtitle B of fiduciary responsibility or prohibited transaction Title I of ERISA; (ii) a </w:t>
      </w:r>
      <w:r w:rsidRPr="00DE5D68" w:rsidR="00170F35">
        <w:rPr>
          <w:rFonts w:cs="Arial"/>
        </w:rPr>
        <w:t>"</w:t>
      </w:r>
      <w:r w:rsidRPr="00DE5D68">
        <w:rPr>
          <w:rFonts w:cs="Arial"/>
        </w:rPr>
        <w:t>plan</w:t>
      </w:r>
      <w:r w:rsidRPr="00DE5D68" w:rsidR="00170F35">
        <w:rPr>
          <w:rFonts w:cs="Arial"/>
        </w:rPr>
        <w:t>"</w:t>
      </w:r>
      <w:r w:rsidRPr="00DE5D68">
        <w:rPr>
          <w:rFonts w:cs="Arial"/>
        </w:rPr>
        <w:t xml:space="preserve"> as defined in </w:t>
      </w:r>
      <w:r w:rsidRPr="00DE5D68" w:rsidR="005D456D">
        <w:rPr>
          <w:rFonts w:cs="Arial"/>
        </w:rPr>
        <w:t>s</w:t>
      </w:r>
      <w:r w:rsidRPr="00DE5D68">
        <w:rPr>
          <w:rFonts w:cs="Arial"/>
        </w:rPr>
        <w:t xml:space="preserve">ection 4975 of the </w:t>
      </w:r>
      <w:r w:rsidRPr="00DE5D68" w:rsidR="004374A0">
        <w:rPr>
          <w:rFonts w:cs="Arial"/>
        </w:rPr>
        <w:t>U.S.</w:t>
      </w:r>
      <w:r w:rsidRPr="00DE5D68">
        <w:rPr>
          <w:rFonts w:cs="Arial"/>
        </w:rPr>
        <w:t xml:space="preserve"> </w:t>
      </w:r>
      <w:r w:rsidRPr="00DE5D68" w:rsidR="00BD2A99">
        <w:rPr>
          <w:rFonts w:cs="Arial"/>
        </w:rPr>
        <w:t xml:space="preserve">Tax </w:t>
      </w:r>
      <w:r w:rsidRPr="00DE5D68">
        <w:rPr>
          <w:rFonts w:cs="Arial"/>
        </w:rPr>
        <w:t xml:space="preserve">Code, including an individual retirement account, that is subject to </w:t>
      </w:r>
      <w:r w:rsidRPr="00DE5D68" w:rsidR="005D456D">
        <w:rPr>
          <w:rFonts w:cs="Arial"/>
        </w:rPr>
        <w:t>s</w:t>
      </w:r>
      <w:r w:rsidRPr="00DE5D68">
        <w:rPr>
          <w:rFonts w:cs="Arial"/>
        </w:rPr>
        <w:t xml:space="preserve">ection 4975 of the </w:t>
      </w:r>
      <w:r w:rsidRPr="00DE5D68" w:rsidR="004374A0">
        <w:rPr>
          <w:rFonts w:cs="Arial"/>
        </w:rPr>
        <w:t xml:space="preserve">U.S. </w:t>
      </w:r>
      <w:r w:rsidRPr="00DE5D68" w:rsidR="00BD2A99">
        <w:rPr>
          <w:rFonts w:cs="Arial"/>
        </w:rPr>
        <w:t xml:space="preserve">Tax </w:t>
      </w:r>
      <w:r w:rsidRPr="00DE5D68">
        <w:rPr>
          <w:rFonts w:cs="Arial"/>
        </w:rPr>
        <w:t xml:space="preserve">Code; or (iii) an entity whose underlying assets include the assets of any such </w:t>
      </w:r>
      <w:r w:rsidRPr="00DE5D68" w:rsidR="00170F35">
        <w:rPr>
          <w:rFonts w:cs="Arial"/>
        </w:rPr>
        <w:t>"</w:t>
      </w:r>
      <w:r w:rsidRPr="00DE5D68">
        <w:rPr>
          <w:rFonts w:cs="Arial"/>
        </w:rPr>
        <w:t>employee benefit plan</w:t>
      </w:r>
      <w:r w:rsidRPr="00DE5D68" w:rsidR="00170F35">
        <w:rPr>
          <w:rFonts w:cs="Arial"/>
        </w:rPr>
        <w:t>"</w:t>
      </w:r>
      <w:r w:rsidRPr="00DE5D68">
        <w:rPr>
          <w:rFonts w:cs="Arial"/>
        </w:rPr>
        <w:t xml:space="preserve"> or </w:t>
      </w:r>
      <w:r w:rsidRPr="00DE5D68" w:rsidR="00170F35">
        <w:rPr>
          <w:rFonts w:cs="Arial"/>
        </w:rPr>
        <w:t>"</w:t>
      </w:r>
      <w:r w:rsidRPr="00DE5D68">
        <w:rPr>
          <w:rFonts w:cs="Arial"/>
        </w:rPr>
        <w:t>plans</w:t>
      </w:r>
      <w:r w:rsidRPr="00DE5D68" w:rsidR="00170F35">
        <w:rPr>
          <w:rFonts w:cs="Arial"/>
        </w:rPr>
        <w:t>"</w:t>
      </w:r>
      <w:r w:rsidRPr="00DE5D68">
        <w:rPr>
          <w:rFonts w:cs="Arial"/>
        </w:rPr>
        <w:t xml:space="preserve"> by reason of ERISA or the</w:t>
      </w:r>
      <w:r w:rsidRPr="00DE5D68" w:rsidR="00037439">
        <w:rPr>
          <w:rFonts w:cs="Arial"/>
        </w:rPr>
        <w:t xml:space="preserve"> U.S. Department of </w:t>
      </w:r>
      <w:proofErr w:type="spellStart"/>
      <w:r w:rsidRPr="00DE5D68" w:rsidR="00037439">
        <w:rPr>
          <w:rFonts w:cs="Arial"/>
        </w:rPr>
        <w:t>Labor</w:t>
      </w:r>
      <w:proofErr w:type="spellEnd"/>
      <w:r w:rsidRPr="00DE5D68" w:rsidR="00037439">
        <w:rPr>
          <w:rFonts w:cs="Arial"/>
        </w:rPr>
        <w:t xml:space="preserve"> Regulations, 29 C.F.R. 2510.3-101, as and to the extent modified by section 3(42) of ERISA (the</w:t>
      </w:r>
      <w:r w:rsidRPr="00DE5D68">
        <w:rPr>
          <w:rFonts w:cs="Arial"/>
        </w:rPr>
        <w:t xml:space="preserve"> </w:t>
      </w:r>
      <w:r w:rsidRPr="00DE5D68" w:rsidR="00037439">
        <w:rPr>
          <w:rFonts w:cs="Arial"/>
        </w:rPr>
        <w:t>"</w:t>
      </w:r>
      <w:r w:rsidRPr="00DE5D68">
        <w:rPr>
          <w:rFonts w:cs="Arial"/>
          <w:b/>
        </w:rPr>
        <w:t>Plan Assets Regulation</w:t>
      </w:r>
      <w:r w:rsidRPr="00DE5D68" w:rsidR="00037439">
        <w:rPr>
          <w:rFonts w:cs="Arial"/>
        </w:rPr>
        <w:t>")</w:t>
      </w:r>
      <w:r w:rsidRPr="00DE5D68">
        <w:rPr>
          <w:rFonts w:cs="Arial"/>
        </w:rPr>
        <w:t xml:space="preserve">, or otherwise (including certain insurance company general accounts) for the purposes of </w:t>
      </w:r>
      <w:r w:rsidRPr="00DE5D68" w:rsidR="005D456D">
        <w:rPr>
          <w:rFonts w:cs="Arial"/>
        </w:rPr>
        <w:t>s</w:t>
      </w:r>
      <w:r w:rsidRPr="00DE5D68">
        <w:rPr>
          <w:rFonts w:cs="Arial"/>
        </w:rPr>
        <w:t xml:space="preserve">ection 4.6 of ERISA or </w:t>
      </w:r>
      <w:r w:rsidRPr="00DE5D68" w:rsidR="005D456D">
        <w:rPr>
          <w:rFonts w:cs="Arial"/>
        </w:rPr>
        <w:t>s</w:t>
      </w:r>
      <w:r w:rsidRPr="00DE5D68">
        <w:rPr>
          <w:rFonts w:cs="Arial"/>
        </w:rPr>
        <w:t xml:space="preserve">ection 4975 of the </w:t>
      </w:r>
      <w:r w:rsidRPr="00DE5D68" w:rsidR="004374A0">
        <w:rPr>
          <w:rFonts w:cs="Arial"/>
        </w:rPr>
        <w:t>U.S.</w:t>
      </w:r>
      <w:r w:rsidRPr="00DE5D68">
        <w:rPr>
          <w:rFonts w:cs="Arial"/>
        </w:rPr>
        <w:t xml:space="preserve"> </w:t>
      </w:r>
      <w:r w:rsidRPr="00DE5D68" w:rsidR="00BD2A99">
        <w:rPr>
          <w:rFonts w:cs="Arial"/>
        </w:rPr>
        <w:t xml:space="preserve">Tax </w:t>
      </w:r>
      <w:r w:rsidRPr="00DE5D68">
        <w:rPr>
          <w:rFonts w:cs="Arial"/>
        </w:rPr>
        <w:t xml:space="preserve">Code. In addition, if an investor is a governmental, church, non-U.S. or other employee benefit plan that is subject to any federal, state, local or non-U.S. law that is substantially similar to the fiduciary responsibility or prohibited transaction provisions of Title I of ERISA or </w:t>
      </w:r>
      <w:r w:rsidRPr="00DE5D68" w:rsidR="005D456D">
        <w:rPr>
          <w:rFonts w:cs="Arial"/>
        </w:rPr>
        <w:t>s</w:t>
      </w:r>
      <w:r w:rsidRPr="00DE5D68">
        <w:rPr>
          <w:rFonts w:cs="Arial"/>
        </w:rPr>
        <w:t xml:space="preserve">ection 4975 of the </w:t>
      </w:r>
      <w:r w:rsidRPr="00DE5D68" w:rsidR="004374A0">
        <w:rPr>
          <w:rFonts w:cs="Arial"/>
        </w:rPr>
        <w:t>U.S.</w:t>
      </w:r>
      <w:r w:rsidRPr="00DE5D68">
        <w:rPr>
          <w:rFonts w:cs="Arial"/>
        </w:rPr>
        <w:t xml:space="preserve"> </w:t>
      </w:r>
      <w:r w:rsidRPr="00DE5D68" w:rsidR="00BD2A99">
        <w:rPr>
          <w:rFonts w:cs="Arial"/>
        </w:rPr>
        <w:t xml:space="preserve">Tax </w:t>
      </w:r>
      <w:r w:rsidRPr="00DE5D68">
        <w:rPr>
          <w:rFonts w:cs="Arial"/>
        </w:rPr>
        <w:t xml:space="preserve">Code, its purchase, holding, and disposition of the </w:t>
      </w:r>
      <w:r w:rsidR="006873BD">
        <w:rPr>
          <w:rFonts w:cs="Arial"/>
        </w:rPr>
        <w:t>Ordinary Shares</w:t>
      </w:r>
      <w:r w:rsidRPr="00DE5D68">
        <w:rPr>
          <w:rFonts w:cs="Arial"/>
        </w:rPr>
        <w:t xml:space="preserve"> must not constitute or result in a non-exempt violation of any such substantially similar law;</w:t>
      </w:r>
    </w:p>
    <w:p w:rsidRPr="00DE5D68" w:rsidR="00DB5267" w:rsidP="007944C6" w:rsidRDefault="00DB5267" w14:paraId="546A1EFB" w14:textId="0E018F53">
      <w:pPr>
        <w:pStyle w:val="Heading2"/>
        <w:rPr>
          <w:rFonts w:cs="Arial"/>
        </w:rPr>
      </w:pPr>
      <w:r w:rsidRPr="00DE5D68">
        <w:rPr>
          <w:rFonts w:cs="Arial"/>
        </w:rPr>
        <w:t xml:space="preserve">that if any </w:t>
      </w:r>
      <w:r w:rsidR="006873BD">
        <w:rPr>
          <w:rFonts w:cs="Arial"/>
        </w:rPr>
        <w:t xml:space="preserve">Ordinary </w:t>
      </w:r>
      <w:r w:rsidRPr="00DE5D68" w:rsidR="00E532DA">
        <w:rPr>
          <w:rFonts w:cs="Arial"/>
        </w:rPr>
        <w:t>Shares</w:t>
      </w:r>
      <w:r w:rsidRPr="00DE5D68">
        <w:rPr>
          <w:rFonts w:cs="Arial"/>
        </w:rPr>
        <w:t xml:space="preserve"> offered and sold pursuant to Regulation S are issued in certificated form, then such certificates evidencing ownership will contain a legend substantially to the following effect unless otherwise determined by the Company in accordance with applicable law:</w:t>
      </w:r>
      <w:r w:rsidRPr="00DE5D68" w:rsidR="00B04295">
        <w:rPr>
          <w:rFonts w:cs="Arial"/>
        </w:rPr>
        <w:t xml:space="preserve"> </w:t>
      </w:r>
    </w:p>
    <w:p w:rsidRPr="00DE5D68" w:rsidR="00DB5267" w:rsidP="00C27D12" w:rsidRDefault="00170F35" w14:paraId="063376F4" w14:textId="6BC1DCBD">
      <w:pPr>
        <w:ind w:left="709"/>
        <w:rPr>
          <w:rFonts w:cs="Arial"/>
        </w:rPr>
      </w:pPr>
      <w:r w:rsidRPr="00DE5D68">
        <w:rPr>
          <w:rFonts w:cs="Arial"/>
        </w:rPr>
        <w:t>"</w:t>
      </w:r>
      <w:r w:rsidR="006873BD">
        <w:rPr>
          <w:rStyle w:val="Level3asHeadingtext"/>
          <w:rFonts w:cs="Arial"/>
          <w:b w:val="0"/>
        </w:rPr>
        <w:t>A</w:t>
      </w:r>
      <w:r w:rsidR="00543DDB">
        <w:rPr>
          <w:rStyle w:val="Level3asHeadingtext"/>
          <w:rFonts w:cs="Arial"/>
          <w:b w:val="0"/>
        </w:rPr>
        <w:t>CHILLES INVESTMENT COMPANY</w:t>
      </w:r>
      <w:r w:rsidRPr="00DE5D68" w:rsidR="00C64E62">
        <w:rPr>
          <w:rFonts w:cs="Arial"/>
        </w:rPr>
        <w:t xml:space="preserve"> LIMITED</w:t>
      </w:r>
      <w:r w:rsidRPr="00DE5D68" w:rsidR="00DB5267">
        <w:rPr>
          <w:rFonts w:cs="Arial"/>
        </w:rPr>
        <w:t xml:space="preserve"> (THE </w:t>
      </w:r>
      <w:r w:rsidRPr="00DE5D68">
        <w:rPr>
          <w:rFonts w:cs="Arial"/>
        </w:rPr>
        <w:t>"</w:t>
      </w:r>
      <w:r w:rsidRPr="00DE5D68" w:rsidR="00DB5267">
        <w:rPr>
          <w:rFonts w:cs="Arial"/>
          <w:b/>
        </w:rPr>
        <w:t>COMPANY</w:t>
      </w:r>
      <w:r w:rsidRPr="00DE5D68">
        <w:rPr>
          <w:rFonts w:cs="Arial"/>
        </w:rPr>
        <w:t>"</w:t>
      </w:r>
      <w:r w:rsidRPr="00DE5D68" w:rsidR="00DB5267">
        <w:rPr>
          <w:rFonts w:cs="Arial"/>
        </w:rPr>
        <w:t xml:space="preserve">) HAS NOT BEEN AND WILL NOT BE REGISTERED UNDER THE U.S. INVESTMENT COMPANY ACT OF 1940, AS AMENDED (THE </w:t>
      </w:r>
      <w:r w:rsidRPr="00DE5D68">
        <w:rPr>
          <w:rFonts w:cs="Arial"/>
        </w:rPr>
        <w:t>"</w:t>
      </w:r>
      <w:r w:rsidRPr="00DE5D68" w:rsidR="00DB5267">
        <w:rPr>
          <w:rFonts w:cs="Arial"/>
          <w:b/>
        </w:rPr>
        <w:t>INVESTMENT COMPANY ACT</w:t>
      </w:r>
      <w:r w:rsidRPr="00DE5D68">
        <w:rPr>
          <w:rFonts w:cs="Arial"/>
        </w:rPr>
        <w:t>"</w:t>
      </w:r>
      <w:r w:rsidRPr="00DE5D68" w:rsidR="00DB5267">
        <w:rPr>
          <w:rFonts w:cs="Arial"/>
        </w:rPr>
        <w:t>). IN ADDITION, THE SECURITIES OF THE COMPANY REPRESENTED BY THIS CERTIFICATE HAVE NOT BEEN AND WILL NOT BE REGISTERED UNDER THE U.S. SECURITIES ACT OF 1933, AS AMENDED (</w:t>
      </w:r>
      <w:r w:rsidR="00640CB6">
        <w:rPr>
          <w:rFonts w:cs="Arial"/>
        </w:rPr>
        <w:fldChar w:fldCharType="begin">
          <w:fldData xml:space="preserve">dgAxAHwAMQAwADEAMQA1AHwAVABIAEUAIAAiAFMARQBDAFUAUgBJAFQASQBFAFMAIABBAEMAVAB8
AEIARQBTAFQAQgBMAFQASQBUAEwARQA3ADEAMAA0ADMAOQB8AHwA
</w:fldData>
        </w:fldChar>
      </w:r>
      <w:r w:rsidR="00640CB6">
        <w:rPr>
          <w:rFonts w:cs="Arial"/>
        </w:rPr>
        <w:instrText xml:space="preserve"> ADDIN CiteCheck Marker </w:instrText>
      </w:r>
      <w:r w:rsidR="00640CB6">
        <w:rPr>
          <w:rFonts w:cs="Arial"/>
        </w:rPr>
      </w:r>
      <w:r w:rsidR="00640CB6">
        <w:rPr>
          <w:rFonts w:cs="Arial"/>
        </w:rPr>
        <w:fldChar w:fldCharType="end"/>
      </w:r>
      <w:r w:rsidRPr="00DE5D68" w:rsidR="00DB5267">
        <w:rPr>
          <w:rFonts w:cs="Arial"/>
        </w:rPr>
        <w:t xml:space="preserve">THE </w:t>
      </w:r>
      <w:r w:rsidRPr="00DE5D68">
        <w:rPr>
          <w:rFonts w:cs="Arial"/>
        </w:rPr>
        <w:t>"</w:t>
      </w:r>
      <w:r w:rsidRPr="00DE5D68" w:rsidR="00DB5267">
        <w:rPr>
          <w:rFonts w:cs="Arial"/>
          <w:b/>
        </w:rPr>
        <w:t>SECURITIES ACT</w:t>
      </w:r>
      <w:r w:rsidRPr="00DE5D68">
        <w:rPr>
          <w:rFonts w:cs="Arial"/>
        </w:rPr>
        <w:t>"</w:t>
      </w:r>
      <w:r w:rsidRPr="00DE5D68" w:rsidR="00DB5267">
        <w:rPr>
          <w:rFonts w:cs="Arial"/>
        </w:rPr>
        <w:t xml:space="preserve">), OR WITH ANY SECURITIES REGULATORY AUTHORITY OF ANY STATE OR OTHER JURISDICTION OF THE UNITED STATES. ACCORDINGLY, THIS SECURITY MAY NOT BE OFFERED, SOLD, PLEDGED, EXERCISED OR OTHERWISE TRANSFERRED WITHIN THE UNITED STATES OR TO, OR FOR THE ACCOUNT OR BENEFIT OF, U.S. PERSONS EXCEPT IN ACCORDANCE WITH </w:t>
      </w:r>
      <w:r w:rsidR="00640CB6">
        <w:rPr>
          <w:rFonts w:cs="Arial"/>
        </w:rPr>
        <w:fldChar w:fldCharType="begin">
          <w:fldData xml:space="preserve">dgAxAHwAMQAwADEAMQA2AHwAVABIAEUAIABTAEUAQwBVAFIASQBUAEkARQBTACAAQQBDAFQAfABC
AEUAUwBUAEIATABUAEkAVABMAEUANwAxADAANAAzADkAfAB8AA==
</w:fldData>
        </w:fldChar>
      </w:r>
      <w:r w:rsidR="00640CB6">
        <w:rPr>
          <w:rFonts w:cs="Arial"/>
        </w:rPr>
        <w:instrText xml:space="preserve"> ADDIN CiteCheck Marker </w:instrText>
      </w:r>
      <w:r w:rsidR="00640CB6">
        <w:rPr>
          <w:rFonts w:cs="Arial"/>
        </w:rPr>
      </w:r>
      <w:r w:rsidR="00640CB6">
        <w:rPr>
          <w:rFonts w:cs="Arial"/>
        </w:rPr>
        <w:fldChar w:fldCharType="end"/>
      </w:r>
      <w:r w:rsidRPr="00DE5D68" w:rsidR="00DB5267">
        <w:rPr>
          <w:rFonts w:cs="Arial"/>
        </w:rPr>
        <w:t xml:space="preserve">THE SECURITIES ACT OR AN EXEMPTION THEREFROM AND UNDER CIRCUMSTANCES WHICH WILL NOT REQUIRE THE COMPANY TO REGISTER UNDER THE INVESTMENT COMPANY ACT, IN EACH CASE IN ACCORDANCE WITH ALL APPLICABLE SECURITIES LAWS. FURTHER, NO PURCHASE, SALE OR TRANSFER OF THE SECURITIES REPRESENTED BY THIS CERTIFICATE MAY BE MADE UNLESS SUCH PURCHASE, SALE OR TRANSFER WILL NOT RESULT IN THE ASSETS OF THE COMPANY CONSTITUTING </w:t>
      </w:r>
      <w:r w:rsidRPr="00DE5D68">
        <w:rPr>
          <w:rFonts w:cs="Arial"/>
        </w:rPr>
        <w:t>"</w:t>
      </w:r>
      <w:r w:rsidRPr="00DE5D68" w:rsidR="00DB5267">
        <w:rPr>
          <w:rFonts w:cs="Arial"/>
        </w:rPr>
        <w:t>PLAN ASSETS</w:t>
      </w:r>
      <w:r w:rsidRPr="00DE5D68">
        <w:rPr>
          <w:rFonts w:cs="Arial"/>
        </w:rPr>
        <w:t>"</w:t>
      </w:r>
      <w:r w:rsidRPr="00DE5D68" w:rsidR="00DB5267">
        <w:rPr>
          <w:rFonts w:cs="Arial"/>
        </w:rPr>
        <w:t xml:space="preserve"> WITHIN THE MEANING OF THE EMPLOYEE RETIREMENT INCOME SECURITY ACT OF 1974, AS AMENDED (</w:t>
      </w:r>
      <w:r w:rsidRPr="00DE5D68">
        <w:rPr>
          <w:rFonts w:cs="Arial"/>
        </w:rPr>
        <w:t>"</w:t>
      </w:r>
      <w:r w:rsidRPr="00DE5D68" w:rsidR="00DB5267">
        <w:rPr>
          <w:rFonts w:cs="Arial"/>
          <w:b/>
        </w:rPr>
        <w:t>ERISA</w:t>
      </w:r>
      <w:r w:rsidRPr="00DE5D68">
        <w:rPr>
          <w:rFonts w:cs="Arial"/>
        </w:rPr>
        <w:t>"</w:t>
      </w:r>
      <w:r w:rsidRPr="00DE5D68" w:rsidR="00DB5267">
        <w:rPr>
          <w:rFonts w:cs="Arial"/>
        </w:rPr>
        <w:t>) OR THE PLAN ASSETS REGULATION;</w:t>
      </w:r>
      <w:r w:rsidRPr="00DE5D68">
        <w:rPr>
          <w:rFonts w:cs="Arial"/>
        </w:rPr>
        <w:t>"</w:t>
      </w:r>
    </w:p>
    <w:p w:rsidRPr="00DE5D68" w:rsidR="00DB5267" w:rsidP="007944C6" w:rsidRDefault="00DB5267" w14:paraId="7F67141A" w14:textId="42F28721">
      <w:pPr>
        <w:pStyle w:val="Heading2"/>
        <w:rPr>
          <w:rFonts w:cs="Arial"/>
        </w:rPr>
      </w:pPr>
      <w:r w:rsidRPr="00DE5D68">
        <w:rPr>
          <w:rFonts w:cs="Arial"/>
        </w:rPr>
        <w:t xml:space="preserve">if in the future the investor decides to offer, sell, transfer, assign or otherwise dispose of the </w:t>
      </w:r>
      <w:r w:rsidR="006873BD">
        <w:rPr>
          <w:rFonts w:cs="Arial"/>
        </w:rPr>
        <w:t>Ordinary Shares</w:t>
      </w:r>
      <w:r w:rsidRPr="00DE5D68">
        <w:rPr>
          <w:rFonts w:cs="Arial"/>
        </w:rPr>
        <w:t xml:space="preserve">, it will do so only in compliance with an exemption from the registration requirements of the U.S. Securities Act and under circumstances which: (a) will not require the Company to register under the U.S. Investment Company Act; and (b) will not result in the assets of the Company constituting </w:t>
      </w:r>
      <w:r w:rsidRPr="00DE5D68" w:rsidR="00170F35">
        <w:rPr>
          <w:rFonts w:cs="Arial"/>
        </w:rPr>
        <w:t>"</w:t>
      </w:r>
      <w:r w:rsidRPr="00DE5D68">
        <w:rPr>
          <w:rFonts w:cs="Arial"/>
        </w:rPr>
        <w:t>plan assets</w:t>
      </w:r>
      <w:r w:rsidRPr="00DE5D68" w:rsidR="00170F35">
        <w:rPr>
          <w:rFonts w:cs="Arial"/>
        </w:rPr>
        <w:t>"</w:t>
      </w:r>
      <w:r w:rsidRPr="00DE5D68">
        <w:rPr>
          <w:rFonts w:cs="Arial"/>
        </w:rPr>
        <w:t xml:space="preserve"> within the meaning of ERISA or the Plan Assets Regulation;</w:t>
      </w:r>
      <w:r w:rsidRPr="00DE5D68" w:rsidR="00341172">
        <w:rPr>
          <w:rFonts w:cs="Arial"/>
        </w:rPr>
        <w:t xml:space="preserve"> </w:t>
      </w:r>
    </w:p>
    <w:p w:rsidRPr="00DE5D68" w:rsidR="00DB5267" w:rsidP="007944C6" w:rsidRDefault="00DB5267" w14:paraId="307B22C1" w14:textId="6296A427">
      <w:pPr>
        <w:pStyle w:val="Heading2"/>
        <w:rPr>
          <w:rFonts w:cs="Arial"/>
        </w:rPr>
      </w:pPr>
      <w:r w:rsidRPr="00DE5D68">
        <w:rPr>
          <w:rFonts w:cs="Arial"/>
        </w:rPr>
        <w:t xml:space="preserve">it is purchasing the </w:t>
      </w:r>
      <w:r w:rsidR="006873BD">
        <w:rPr>
          <w:rFonts w:cs="Arial"/>
        </w:rPr>
        <w:t>Ordinary Shares</w:t>
      </w:r>
      <w:r w:rsidRPr="00DE5D68">
        <w:rPr>
          <w:rFonts w:cs="Arial"/>
        </w:rPr>
        <w:t xml:space="preserve"> for its own account or for one or more investment accounts for which it is acting as a fiduciary or agent, in each case for investment only, and not with a view to or </w:t>
      </w:r>
      <w:r w:rsidRPr="00DE5D68">
        <w:rPr>
          <w:rFonts w:cs="Arial"/>
        </w:rPr>
        <w:lastRenderedPageBreak/>
        <w:t xml:space="preserve">for sale or other transfer in connection with any distribution of the </w:t>
      </w:r>
      <w:r w:rsidR="006873BD">
        <w:rPr>
          <w:rFonts w:cs="Arial"/>
        </w:rPr>
        <w:t>Ordinary Shares</w:t>
      </w:r>
      <w:r w:rsidRPr="00DE5D68">
        <w:rPr>
          <w:rFonts w:cs="Arial"/>
        </w:rPr>
        <w:t xml:space="preserve"> in any manner that would violate the U.S. Securities Act, the U.S. Investment Company Act or any other applicable securities laws;</w:t>
      </w:r>
    </w:p>
    <w:p w:rsidRPr="00DE5D68" w:rsidR="00DB5267" w:rsidP="007944C6" w:rsidRDefault="00DB5267" w14:paraId="7EF122F2" w14:textId="2DC04FC1">
      <w:pPr>
        <w:pStyle w:val="Heading2"/>
        <w:rPr>
          <w:rFonts w:cs="Arial"/>
        </w:rPr>
      </w:pPr>
      <w:r w:rsidRPr="00DE5D68">
        <w:rPr>
          <w:rFonts w:cs="Arial"/>
        </w:rPr>
        <w:t xml:space="preserve">it acknowledges that the Company reserves the right to make inquiries of any holder of the </w:t>
      </w:r>
      <w:r w:rsidR="006873BD">
        <w:rPr>
          <w:rFonts w:cs="Arial"/>
        </w:rPr>
        <w:t>Ordinary Shares</w:t>
      </w:r>
      <w:r w:rsidRPr="00DE5D68">
        <w:rPr>
          <w:rFonts w:cs="Arial"/>
        </w:rPr>
        <w:t xml:space="preserve"> or interests therein at any time as to such person’s status under the U.S. federal securities laws and to require any such person that has not satisfied the Company that the holding of </w:t>
      </w:r>
      <w:r w:rsidR="006873BD">
        <w:rPr>
          <w:rFonts w:cs="Arial"/>
        </w:rPr>
        <w:t>Ordinary Shares</w:t>
      </w:r>
      <w:r w:rsidRPr="00DE5D68">
        <w:rPr>
          <w:rFonts w:cs="Arial"/>
        </w:rPr>
        <w:t xml:space="preserve"> by such person will not violate or require registration under the U.S. securities laws to transfer such </w:t>
      </w:r>
      <w:r w:rsidR="006873BD">
        <w:rPr>
          <w:rFonts w:cs="Arial"/>
        </w:rPr>
        <w:t>Ordinary Shares</w:t>
      </w:r>
      <w:r w:rsidRPr="00DE5D68">
        <w:rPr>
          <w:rFonts w:cs="Arial"/>
        </w:rPr>
        <w:t xml:space="preserve"> or interests in accordance with the Articles;</w:t>
      </w:r>
      <w:r w:rsidRPr="00DE5D68" w:rsidR="00341172">
        <w:rPr>
          <w:rFonts w:cs="Arial"/>
        </w:rPr>
        <w:t xml:space="preserve"> </w:t>
      </w:r>
    </w:p>
    <w:p w:rsidRPr="00DE5D68" w:rsidR="00DB5267" w:rsidP="007944C6" w:rsidRDefault="00DB5267" w14:paraId="03D6A025" w14:textId="5D225A92">
      <w:pPr>
        <w:pStyle w:val="Heading2"/>
        <w:rPr>
          <w:rFonts w:cs="Arial"/>
        </w:rPr>
      </w:pPr>
      <w:r w:rsidRPr="00DE5D68">
        <w:rPr>
          <w:rFonts w:cs="Arial"/>
        </w:rPr>
        <w:t xml:space="preserve">it is entitled to acquire the </w:t>
      </w:r>
      <w:r w:rsidR="006873BD">
        <w:rPr>
          <w:rFonts w:cs="Arial"/>
        </w:rPr>
        <w:t>Ordinary Shares</w:t>
      </w:r>
      <w:r w:rsidRPr="00DE5D68">
        <w:rPr>
          <w:rFonts w:cs="Arial"/>
        </w:rPr>
        <w:t xml:space="preserve"> under the laws of all relevant jurisdictions which apply to it, it has fully observed all such laws and obtained all governmental and other consents which may be required thereunder and complied with all necessary formalities and it has paid all issue, transfer or other taxes due in connection with its acceptance in any jurisdiction of the </w:t>
      </w:r>
      <w:r w:rsidR="006873BD">
        <w:rPr>
          <w:rFonts w:cs="Arial"/>
        </w:rPr>
        <w:t>Ordinary Shares</w:t>
      </w:r>
      <w:r w:rsidRPr="00DE5D68">
        <w:rPr>
          <w:rFonts w:cs="Arial"/>
        </w:rPr>
        <w:t xml:space="preserve"> and that it has not taken any action, or omitted to take any action, which may result in the Company, </w:t>
      </w:r>
      <w:r w:rsidR="006873BD">
        <w:rPr>
          <w:rFonts w:cs="Arial"/>
        </w:rPr>
        <w:t>Singer Capital Markets</w:t>
      </w:r>
      <w:r w:rsidRPr="00DE5D68">
        <w:rPr>
          <w:rFonts w:cs="Arial"/>
        </w:rPr>
        <w:t xml:space="preserve">, the </w:t>
      </w:r>
      <w:r w:rsidRPr="00DE5D68" w:rsidR="003C76F6">
        <w:rPr>
          <w:rFonts w:cs="Arial"/>
        </w:rPr>
        <w:t xml:space="preserve">Investment </w:t>
      </w:r>
      <w:r w:rsidRPr="00DE5D68">
        <w:rPr>
          <w:rFonts w:cs="Arial"/>
        </w:rPr>
        <w:t>Manager</w:t>
      </w:r>
      <w:r w:rsidRPr="00DE5D68" w:rsidR="00A86616">
        <w:rPr>
          <w:rFonts w:cs="Arial"/>
        </w:rPr>
        <w:t xml:space="preserve"> </w:t>
      </w:r>
      <w:r w:rsidRPr="00DE5D68">
        <w:rPr>
          <w:rFonts w:cs="Arial"/>
        </w:rPr>
        <w:t xml:space="preserve">or their respective directors, officers, agents, employees and advisers being in breach of the laws of any jurisdiction in connection with its acceptance </w:t>
      </w:r>
      <w:r w:rsidRPr="00DE5D68" w:rsidR="00341172">
        <w:rPr>
          <w:rFonts w:cs="Arial"/>
        </w:rPr>
        <w:t>of participation in the Placing;</w:t>
      </w:r>
    </w:p>
    <w:p w:rsidRPr="00DE5D68" w:rsidR="00DB5267" w:rsidP="007944C6" w:rsidRDefault="00DB5267" w14:paraId="5BCA533A" w14:textId="5F0D0079">
      <w:pPr>
        <w:pStyle w:val="Heading2"/>
        <w:rPr>
          <w:rFonts w:cs="Arial"/>
        </w:rPr>
      </w:pPr>
      <w:r w:rsidRPr="00DE5D68">
        <w:rPr>
          <w:rFonts w:cs="Arial"/>
        </w:rPr>
        <w:t>it has received, carefully read and understands this document, and has not, directly or indirectly, distributed, forwarded, transferred or otherwise transmitted this document or any other presentation or offering materials concerning the</w:t>
      </w:r>
      <w:r w:rsidRPr="00DE5D68" w:rsidR="00341172">
        <w:rPr>
          <w:rFonts w:cs="Arial"/>
        </w:rPr>
        <w:t xml:space="preserve"> </w:t>
      </w:r>
      <w:r w:rsidR="006873BD">
        <w:rPr>
          <w:rFonts w:cs="Arial"/>
        </w:rPr>
        <w:t>Ordinary Shares</w:t>
      </w:r>
      <w:r w:rsidRPr="00DE5D68">
        <w:rPr>
          <w:rFonts w:cs="Arial"/>
        </w:rPr>
        <w:t xml:space="preserve"> to or within the United States or to any U.S. Persons, nor will it do any of the foregoing; and</w:t>
      </w:r>
      <w:r w:rsidRPr="00DE5D68" w:rsidR="00341172">
        <w:rPr>
          <w:rFonts w:cs="Arial"/>
        </w:rPr>
        <w:t xml:space="preserve"> </w:t>
      </w:r>
    </w:p>
    <w:p w:rsidRPr="00DE5D68" w:rsidR="00DB5267" w:rsidP="007944C6" w:rsidRDefault="00DB5267" w14:paraId="7BE7C337" w14:textId="19CFCA43">
      <w:pPr>
        <w:pStyle w:val="Heading2"/>
        <w:rPr>
          <w:rFonts w:cs="Arial"/>
        </w:rPr>
      </w:pPr>
      <w:r w:rsidRPr="00DE5D68">
        <w:rPr>
          <w:rFonts w:cs="Arial"/>
        </w:rPr>
        <w:t xml:space="preserve">if it is acquiring any </w:t>
      </w:r>
      <w:r w:rsidR="006873BD">
        <w:rPr>
          <w:rFonts w:cs="Arial"/>
        </w:rPr>
        <w:t>Ordinary Shares</w:t>
      </w:r>
      <w:r w:rsidRPr="00DE5D68">
        <w:rPr>
          <w:rFonts w:cs="Arial"/>
        </w:rPr>
        <w:t xml:space="preserve"> as a fiduciary or agent for one or more accounts, it has sole investment discretion with respect to each such account and full power and authority to make such foregoing representations, warranties, acknowledgements and agreements on behalf of each such account.</w:t>
      </w:r>
    </w:p>
    <w:p w:rsidRPr="00DE5D68" w:rsidR="00DB5267" w:rsidP="00C27D12" w:rsidRDefault="00DB5267" w14:paraId="05390B72" w14:textId="2B8C3F16">
      <w:pPr>
        <w:ind w:left="709"/>
        <w:rPr>
          <w:rFonts w:cs="Arial"/>
        </w:rPr>
      </w:pPr>
      <w:r w:rsidRPr="00DE5D68">
        <w:rPr>
          <w:rFonts w:cs="Arial"/>
        </w:rPr>
        <w:t xml:space="preserve">The Company, </w:t>
      </w:r>
      <w:r w:rsidR="006873BD">
        <w:rPr>
          <w:rFonts w:cs="Arial"/>
        </w:rPr>
        <w:t>Singer Capital Markets</w:t>
      </w:r>
      <w:r w:rsidRPr="00DE5D68">
        <w:rPr>
          <w:rFonts w:cs="Arial"/>
        </w:rPr>
        <w:t xml:space="preserve">, the </w:t>
      </w:r>
      <w:r w:rsidRPr="00DE5D68" w:rsidR="003C76F6">
        <w:rPr>
          <w:rFonts w:cs="Arial"/>
        </w:rPr>
        <w:t xml:space="preserve">Investment </w:t>
      </w:r>
      <w:r w:rsidRPr="00DE5D68">
        <w:rPr>
          <w:rFonts w:cs="Arial"/>
        </w:rPr>
        <w:t>Manager</w:t>
      </w:r>
      <w:r w:rsidRPr="00DE5D68" w:rsidR="00A86616">
        <w:rPr>
          <w:rFonts w:cs="Arial"/>
        </w:rPr>
        <w:t xml:space="preserve"> </w:t>
      </w:r>
      <w:r w:rsidRPr="00DE5D68">
        <w:rPr>
          <w:rFonts w:cs="Arial"/>
        </w:rPr>
        <w:t>and their respective directors, officers, agents, employees, advisers and others will rely upon the truth and accuracy of the foregoing representations, warranties, acknowledgments and agreements. If any of the representations, warranties, acknowledgments or agreements made by the investor are no longer accurate or have not been complied with, the investor must immediately notify the Company</w:t>
      </w:r>
      <w:r w:rsidRPr="00DE5D68" w:rsidR="00AB05B5">
        <w:rPr>
          <w:rFonts w:cs="Arial"/>
        </w:rPr>
        <w:t xml:space="preserve"> and </w:t>
      </w:r>
      <w:r w:rsidR="006873BD">
        <w:rPr>
          <w:rFonts w:cs="Arial"/>
        </w:rPr>
        <w:t>Singer Capital Markets</w:t>
      </w:r>
      <w:r w:rsidRPr="00DE5D68">
        <w:rPr>
          <w:rFonts w:cs="Arial"/>
        </w:rPr>
        <w:t>.</w:t>
      </w:r>
    </w:p>
    <w:p w:rsidRPr="00DE5D68" w:rsidR="0068382C" w:rsidP="00061C03" w:rsidRDefault="0068382C" w14:paraId="4D9BFBDC" w14:textId="77777777">
      <w:pPr>
        <w:pStyle w:val="Heading1"/>
        <w:tabs>
          <w:tab w:val="clear" w:pos="709"/>
          <w:tab w:val="clear" w:pos="1134"/>
        </w:tabs>
        <w:ind w:left="709" w:hanging="709"/>
        <w:rPr>
          <w:rFonts w:cs="Arial"/>
          <w:caps w:val="0"/>
        </w:rPr>
      </w:pPr>
      <w:r w:rsidRPr="00DE5D68">
        <w:rPr>
          <w:rFonts w:cs="Arial"/>
          <w:caps w:val="0"/>
        </w:rPr>
        <w:t>SUPPLY OF INFORMATION</w:t>
      </w:r>
    </w:p>
    <w:p w:rsidRPr="00DE5D68" w:rsidR="0068382C" w:rsidP="00C27D12" w:rsidRDefault="0068382C" w14:paraId="741A0D0C" w14:textId="5B6B1EAB">
      <w:pPr>
        <w:ind w:left="709"/>
        <w:rPr>
          <w:rFonts w:cs="Arial"/>
        </w:rPr>
      </w:pPr>
      <w:r w:rsidRPr="00DE5D68">
        <w:rPr>
          <w:rFonts w:cs="Arial"/>
        </w:rPr>
        <w:t xml:space="preserve">If </w:t>
      </w:r>
      <w:r w:rsidR="006873BD">
        <w:rPr>
          <w:rFonts w:cs="Arial"/>
        </w:rPr>
        <w:t>Singer Capital Markets</w:t>
      </w:r>
      <w:r w:rsidRPr="00DE5D68">
        <w:rPr>
          <w:rFonts w:cs="Arial"/>
        </w:rPr>
        <w:t xml:space="preserve">, the Registrar or the Company or any of their agents request any information about a </w:t>
      </w:r>
      <w:proofErr w:type="spellStart"/>
      <w:r w:rsidRPr="00DE5D68">
        <w:rPr>
          <w:rFonts w:cs="Arial"/>
        </w:rPr>
        <w:t>Placee’s</w:t>
      </w:r>
      <w:proofErr w:type="spellEnd"/>
      <w:r w:rsidRPr="00DE5D68">
        <w:rPr>
          <w:rFonts w:cs="Arial"/>
        </w:rPr>
        <w:t xml:space="preserve"> agreement to subscribe for </w:t>
      </w:r>
      <w:r w:rsidR="006873BD">
        <w:rPr>
          <w:rFonts w:cs="Arial"/>
        </w:rPr>
        <w:t>Ordinary Shares</w:t>
      </w:r>
      <w:r w:rsidRPr="00DE5D68" w:rsidR="00341172">
        <w:rPr>
          <w:rFonts w:cs="Arial"/>
        </w:rPr>
        <w:t xml:space="preserve"> under the </w:t>
      </w:r>
      <w:r w:rsidRPr="00DE5D68" w:rsidR="005A708E">
        <w:rPr>
          <w:rFonts w:cs="Arial"/>
        </w:rPr>
        <w:t xml:space="preserve">Initial </w:t>
      </w:r>
      <w:r w:rsidRPr="00DE5D68">
        <w:rPr>
          <w:rFonts w:cs="Arial"/>
        </w:rPr>
        <w:t>Placing</w:t>
      </w:r>
      <w:r w:rsidRPr="00DE5D68" w:rsidR="005A708E">
        <w:rPr>
          <w:rFonts w:cs="Arial"/>
        </w:rPr>
        <w:t xml:space="preserve"> and/or Subsequent Placing</w:t>
      </w:r>
      <w:r w:rsidRPr="00DE5D68">
        <w:rPr>
          <w:rFonts w:cs="Arial"/>
        </w:rPr>
        <w:t xml:space="preserve">, such </w:t>
      </w:r>
      <w:proofErr w:type="spellStart"/>
      <w:r w:rsidRPr="00DE5D68">
        <w:rPr>
          <w:rFonts w:cs="Arial"/>
        </w:rPr>
        <w:t>Placee</w:t>
      </w:r>
      <w:proofErr w:type="spellEnd"/>
      <w:r w:rsidRPr="00DE5D68">
        <w:rPr>
          <w:rFonts w:cs="Arial"/>
        </w:rPr>
        <w:t xml:space="preserve"> must promptly disclose it to them.</w:t>
      </w:r>
    </w:p>
    <w:p w:rsidRPr="00DE5D68" w:rsidR="00203056" w:rsidP="00061C03" w:rsidRDefault="00203056" w14:paraId="2673754E" w14:textId="77777777">
      <w:pPr>
        <w:pStyle w:val="Heading1"/>
        <w:tabs>
          <w:tab w:val="clear" w:pos="1134"/>
          <w:tab w:val="num" w:pos="709"/>
        </w:tabs>
        <w:rPr>
          <w:rFonts w:cs="Arial"/>
          <w:caps w:val="0"/>
        </w:rPr>
      </w:pPr>
      <w:r w:rsidRPr="00DE5D68">
        <w:rPr>
          <w:rFonts w:cs="Arial"/>
          <w:caps w:val="0"/>
        </w:rPr>
        <w:t>MONEY LAUNDERING</w:t>
      </w:r>
    </w:p>
    <w:p w:rsidRPr="00DE5D68" w:rsidR="00203056" w:rsidP="00C27D12" w:rsidRDefault="00203056" w14:paraId="3667F333" w14:textId="77777777">
      <w:pPr>
        <w:ind w:left="709"/>
        <w:rPr>
          <w:rFonts w:cs="Arial"/>
        </w:rPr>
      </w:pPr>
      <w:r w:rsidRPr="00DE5D68">
        <w:rPr>
          <w:rFonts w:cs="Arial"/>
        </w:rPr>
        <w:t xml:space="preserve">Each </w:t>
      </w:r>
      <w:proofErr w:type="spellStart"/>
      <w:r w:rsidRPr="00DE5D68">
        <w:rPr>
          <w:rFonts w:cs="Arial"/>
        </w:rPr>
        <w:t>Placee</w:t>
      </w:r>
      <w:proofErr w:type="spellEnd"/>
      <w:r w:rsidRPr="00DE5D68">
        <w:rPr>
          <w:rFonts w:cs="Arial"/>
        </w:rPr>
        <w:t xml:space="preserve"> acknowledges and agrees that:</w:t>
      </w:r>
    </w:p>
    <w:p w:rsidRPr="00DE5D68" w:rsidR="00203056" w:rsidP="007944C6" w:rsidRDefault="00203056" w14:paraId="3D542F32" w14:textId="455B23B2">
      <w:pPr>
        <w:pStyle w:val="Heading2"/>
        <w:rPr>
          <w:rFonts w:cs="Arial"/>
        </w:rPr>
      </w:pPr>
      <w:r w:rsidRPr="00DE5D68">
        <w:rPr>
          <w:rFonts w:cs="Arial"/>
        </w:rPr>
        <w:t>in connection with its participation in the</w:t>
      </w:r>
      <w:r w:rsidRPr="00DE5D68" w:rsidR="00023584">
        <w:rPr>
          <w:rFonts w:cs="Arial"/>
        </w:rPr>
        <w:t xml:space="preserve"> Initial</w:t>
      </w:r>
      <w:r w:rsidRPr="00DE5D68" w:rsidR="00341172">
        <w:rPr>
          <w:rFonts w:cs="Arial"/>
        </w:rPr>
        <w:t xml:space="preserve"> </w:t>
      </w:r>
      <w:r w:rsidRPr="00DE5D68">
        <w:rPr>
          <w:rFonts w:cs="Arial"/>
        </w:rPr>
        <w:t>Placing</w:t>
      </w:r>
      <w:r w:rsidRPr="00DE5D68" w:rsidR="00023584">
        <w:rPr>
          <w:rFonts w:cs="Arial"/>
        </w:rPr>
        <w:t xml:space="preserve"> or a Subsequent Placing</w:t>
      </w:r>
      <w:r w:rsidRPr="00DE5D68" w:rsidR="00CA0B29">
        <w:rPr>
          <w:rFonts w:cs="Arial"/>
        </w:rPr>
        <w:t xml:space="preserve"> </w:t>
      </w:r>
      <w:r w:rsidRPr="00DE5D68">
        <w:rPr>
          <w:rFonts w:cs="Arial"/>
        </w:rPr>
        <w:t xml:space="preserve">it has observed all relevant legislation and regulations, in particular (but without limitation) </w:t>
      </w:r>
      <w:r w:rsidRPr="00DE5D68" w:rsidR="00023584">
        <w:rPr>
          <w:rFonts w:cs="Arial"/>
        </w:rPr>
        <w:t>the AML Legislation</w:t>
      </w:r>
      <w:r w:rsidRPr="00DE5D68">
        <w:rPr>
          <w:rFonts w:cs="Arial"/>
        </w:rPr>
        <w:t xml:space="preserve"> and that its application is only made on the basis that it accepts full responsibility for any requirement to verify the identity of its clients and other persons in respect of whom it has applied. In addition, it warrants that it is a person: (</w:t>
      </w:r>
      <w:proofErr w:type="spellStart"/>
      <w:r w:rsidRPr="00DE5D68">
        <w:rPr>
          <w:rFonts w:cs="Arial"/>
        </w:rPr>
        <w:t>i</w:t>
      </w:r>
      <w:proofErr w:type="spellEnd"/>
      <w:r w:rsidRPr="00DE5D68">
        <w:rPr>
          <w:rFonts w:cs="Arial"/>
        </w:rPr>
        <w:t>) subject to the Money Laundering Regulations in force in the United Kingdom; or (ii) subject to the Money Laundering Directive; or (iii) acting in the course of a business in relation to which an overseas regulatory authority exercises regulatory functions and is based or incorporated in, or formed under the law of, a country in which there are in force provisions at least equivalent to those required by the Money Laundering Directive;</w:t>
      </w:r>
    </w:p>
    <w:p w:rsidRPr="00DE5D68" w:rsidR="00203056" w:rsidP="007944C6" w:rsidRDefault="00203056" w14:paraId="61A35A98" w14:textId="6963A1B5">
      <w:pPr>
        <w:pStyle w:val="Heading2"/>
        <w:rPr>
          <w:rFonts w:cs="Arial"/>
        </w:rPr>
      </w:pPr>
      <w:r w:rsidRPr="00DE5D68">
        <w:rPr>
          <w:rFonts w:cs="Arial"/>
        </w:rPr>
        <w:t xml:space="preserve">due to anti-money laundering requirements, </w:t>
      </w:r>
      <w:r w:rsidR="006873BD">
        <w:rPr>
          <w:rFonts w:cs="Arial"/>
        </w:rPr>
        <w:t>Singer Capital Markets</w:t>
      </w:r>
      <w:r w:rsidRPr="00DE5D68" w:rsidR="00631C3F">
        <w:rPr>
          <w:rFonts w:cs="Arial"/>
        </w:rPr>
        <w:t xml:space="preserve"> </w:t>
      </w:r>
      <w:r w:rsidRPr="00DE5D68">
        <w:rPr>
          <w:rFonts w:cs="Arial"/>
        </w:rPr>
        <w:t xml:space="preserve">and the Company and/or their agents may require proof of identity and verification of the source of the payment before the application can be processed and that, in the event of delay or failure by the applicant to produce any information required for verification purposes, </w:t>
      </w:r>
      <w:r w:rsidR="006873BD">
        <w:rPr>
          <w:rFonts w:cs="Arial"/>
        </w:rPr>
        <w:t>Singer Capital Markets</w:t>
      </w:r>
      <w:r w:rsidRPr="00DE5D68">
        <w:rPr>
          <w:rFonts w:cs="Arial"/>
        </w:rPr>
        <w:t xml:space="preserve">, the Company and/or their agents may refuse to accept the application and the subscription moneys relating thereto. It holds harmless and will indemnify </w:t>
      </w:r>
      <w:r w:rsidR="006873BD">
        <w:rPr>
          <w:rFonts w:cs="Arial"/>
        </w:rPr>
        <w:t>Singer Capital Markets</w:t>
      </w:r>
      <w:r w:rsidRPr="00DE5D68">
        <w:rPr>
          <w:rFonts w:cs="Arial"/>
        </w:rPr>
        <w:t xml:space="preserve">, the Company and/or their agents against </w:t>
      </w:r>
      <w:r w:rsidRPr="00DE5D68">
        <w:rPr>
          <w:rFonts w:cs="Arial"/>
        </w:rPr>
        <w:lastRenderedPageBreak/>
        <w:t>any liability, loss or cost ensuing due to the failure to process such application, if such information as has been required has not been provided by it or has not been provided on a timely basis.</w:t>
      </w:r>
    </w:p>
    <w:p w:rsidRPr="00DE5D68" w:rsidR="0068382C" w:rsidP="00061C03" w:rsidRDefault="0068382C" w14:paraId="52D7535B" w14:textId="77777777">
      <w:pPr>
        <w:pStyle w:val="Heading1"/>
        <w:tabs>
          <w:tab w:val="clear" w:pos="1134"/>
          <w:tab w:val="num" w:pos="709"/>
        </w:tabs>
        <w:rPr>
          <w:rFonts w:cs="Arial"/>
          <w:caps w:val="0"/>
        </w:rPr>
      </w:pPr>
      <w:r w:rsidRPr="00DE5D68">
        <w:rPr>
          <w:rFonts w:cs="Arial"/>
          <w:caps w:val="0"/>
        </w:rPr>
        <w:t>DATA PROTECTION</w:t>
      </w:r>
    </w:p>
    <w:p w:rsidRPr="00DE5D68" w:rsidR="00D7471B" w:rsidP="007944C6" w:rsidRDefault="00D7471B" w14:paraId="29A5B79B" w14:textId="0B97E81D">
      <w:pPr>
        <w:pStyle w:val="Heading2"/>
        <w:keepNext/>
        <w:rPr>
          <w:rFonts w:cs="Arial"/>
        </w:rPr>
      </w:pPr>
      <w:r w:rsidRPr="00DE5D68">
        <w:rPr>
          <w:rFonts w:cs="Arial"/>
        </w:rPr>
        <w:t xml:space="preserve">Each </w:t>
      </w:r>
      <w:proofErr w:type="spellStart"/>
      <w:r w:rsidRPr="00DE5D68" w:rsidR="00DC79E9">
        <w:rPr>
          <w:rFonts w:cs="Arial"/>
        </w:rPr>
        <w:t>Placee</w:t>
      </w:r>
      <w:proofErr w:type="spellEnd"/>
      <w:r w:rsidRPr="00DE5D68" w:rsidR="00DC79E9">
        <w:rPr>
          <w:rFonts w:cs="Arial"/>
        </w:rPr>
        <w:t xml:space="preserve"> </w:t>
      </w:r>
      <w:r w:rsidRPr="00DE5D68">
        <w:rPr>
          <w:rFonts w:cs="Arial"/>
        </w:rPr>
        <w:t xml:space="preserve">acknowledges </w:t>
      </w:r>
      <w:r w:rsidRPr="00DE5D68" w:rsidR="00FA179E">
        <w:rPr>
          <w:rFonts w:cs="Arial"/>
        </w:rPr>
        <w:t xml:space="preserve">that it has been informed </w:t>
      </w:r>
      <w:r w:rsidRPr="00DE5D68">
        <w:rPr>
          <w:rFonts w:cs="Arial"/>
        </w:rPr>
        <w:t>that, pursuant to</w:t>
      </w:r>
      <w:r w:rsidRPr="00DE5D68" w:rsidR="00DC79E9">
        <w:rPr>
          <w:rFonts w:cs="Arial"/>
        </w:rPr>
        <w:t xml:space="preserve"> </w:t>
      </w:r>
      <w:r w:rsidRPr="00DE5D68" w:rsidR="00861EA1">
        <w:rPr>
          <w:rFonts w:cs="Arial"/>
        </w:rPr>
        <w:t xml:space="preserve">DP Legislation </w:t>
      </w:r>
      <w:r w:rsidRPr="00DE5D68">
        <w:rPr>
          <w:rFonts w:cs="Arial"/>
        </w:rPr>
        <w:t xml:space="preserve">the Company and/or the Registrar </w:t>
      </w:r>
      <w:r w:rsidRPr="00DE5D68" w:rsidR="00341172">
        <w:rPr>
          <w:rFonts w:cs="Arial"/>
        </w:rPr>
        <w:t xml:space="preserve">will following </w:t>
      </w:r>
      <w:r w:rsidRPr="00DE5D68" w:rsidR="00861EA1">
        <w:rPr>
          <w:rFonts w:cs="Arial"/>
        </w:rPr>
        <w:t xml:space="preserve">Initial </w:t>
      </w:r>
      <w:r w:rsidRPr="00DE5D68" w:rsidR="00DC79E9">
        <w:rPr>
          <w:rFonts w:cs="Arial"/>
        </w:rPr>
        <w:t>Admission</w:t>
      </w:r>
      <w:r w:rsidR="00CA424F">
        <w:rPr>
          <w:rFonts w:cs="Arial"/>
        </w:rPr>
        <w:t xml:space="preserve"> and any subsequent Admission</w:t>
      </w:r>
      <w:r w:rsidRPr="00DE5D68" w:rsidR="00DC79E9">
        <w:rPr>
          <w:rFonts w:cs="Arial"/>
        </w:rPr>
        <w:t xml:space="preserve">, </w:t>
      </w:r>
      <w:r w:rsidRPr="00DE5D68">
        <w:rPr>
          <w:rFonts w:cs="Arial"/>
        </w:rPr>
        <w:t xml:space="preserve">hold personal data (as defined in the DP Legislation) relating to past and present </w:t>
      </w:r>
      <w:r w:rsidRPr="00DE5D68" w:rsidR="00DC79E9">
        <w:rPr>
          <w:rFonts w:cs="Arial"/>
        </w:rPr>
        <w:t>Shareholders</w:t>
      </w:r>
      <w:r w:rsidRPr="00DE5D68">
        <w:rPr>
          <w:rFonts w:cs="Arial"/>
        </w:rPr>
        <w:t xml:space="preserve">. Personal data </w:t>
      </w:r>
      <w:r w:rsidRPr="00DE5D68" w:rsidR="00DC79E9">
        <w:rPr>
          <w:rFonts w:cs="Arial"/>
        </w:rPr>
        <w:t xml:space="preserve">will </w:t>
      </w:r>
      <w:r w:rsidRPr="00DE5D68">
        <w:rPr>
          <w:rFonts w:cs="Arial"/>
        </w:rPr>
        <w:t>be retained on record for a period exceeding six years after it is no longer used</w:t>
      </w:r>
      <w:r w:rsidRPr="00DE5D68" w:rsidR="00FA179E">
        <w:rPr>
          <w:rFonts w:cs="Arial"/>
        </w:rPr>
        <w:t xml:space="preserve"> (subject to any limitations on retention periods set out in applicable law)</w:t>
      </w:r>
      <w:r w:rsidRPr="00DE5D68">
        <w:rPr>
          <w:rFonts w:cs="Arial"/>
        </w:rPr>
        <w:t>.</w:t>
      </w:r>
      <w:r w:rsidRPr="00DE5D68" w:rsidR="00341172">
        <w:rPr>
          <w:rFonts w:cs="Arial"/>
        </w:rPr>
        <w:t xml:space="preserve"> </w:t>
      </w:r>
      <w:r w:rsidRPr="00DE5D68">
        <w:rPr>
          <w:rFonts w:cs="Arial"/>
        </w:rPr>
        <w:t>The Registrar</w:t>
      </w:r>
      <w:r w:rsidRPr="00DE5D68" w:rsidR="00FA179E">
        <w:rPr>
          <w:rFonts w:cs="Arial"/>
        </w:rPr>
        <w:t xml:space="preserve"> will process such personal data at all times in compliance with DP Legislation and shall only process </w:t>
      </w:r>
      <w:r w:rsidRPr="00DE5D68">
        <w:rPr>
          <w:rFonts w:cs="Arial"/>
        </w:rPr>
        <w:t xml:space="preserve">for the purposes set out </w:t>
      </w:r>
      <w:r w:rsidRPr="00DE5D68" w:rsidR="00DC79E9">
        <w:rPr>
          <w:rFonts w:cs="Arial"/>
        </w:rPr>
        <w:t>in the Company's privacy notice (the "</w:t>
      </w:r>
      <w:r w:rsidRPr="00DE5D68" w:rsidR="00DC79E9">
        <w:rPr>
          <w:rFonts w:cs="Arial"/>
          <w:b/>
        </w:rPr>
        <w:t>Purposes</w:t>
      </w:r>
      <w:r w:rsidRPr="00DE5D68" w:rsidR="00DC79E9">
        <w:rPr>
          <w:rFonts w:cs="Arial"/>
        </w:rPr>
        <w:t xml:space="preserve">") which is available for consultation on the Company's website at </w:t>
      </w:r>
      <w:r w:rsidRPr="007A04B4" w:rsidR="000D5F79">
        <w:rPr>
          <w:rFonts w:eastAsia="Arial" w:cs="Arial"/>
          <w:u w:val="single"/>
          <w:lang w:eastAsia="en-US"/>
        </w:rPr>
        <w:t>www.</w:t>
      </w:r>
      <w:r w:rsidR="00137B97">
        <w:rPr>
          <w:rFonts w:eastAsia="Arial" w:cs="Arial"/>
          <w:u w:val="single"/>
          <w:lang w:eastAsia="en-US"/>
        </w:rPr>
        <w:t>achillesic.com</w:t>
      </w:r>
      <w:r w:rsidRPr="00DE5D68" w:rsidR="00DC79E9">
        <w:rPr>
          <w:rFonts w:cs="Arial"/>
        </w:rPr>
        <w:t xml:space="preserve"> (the "</w:t>
      </w:r>
      <w:r w:rsidRPr="00DE5D68" w:rsidR="00DC79E9">
        <w:rPr>
          <w:rFonts w:cs="Arial"/>
          <w:b/>
        </w:rPr>
        <w:t>Privacy Notice</w:t>
      </w:r>
      <w:r w:rsidRPr="00DE5D68" w:rsidR="00DC79E9">
        <w:rPr>
          <w:rFonts w:cs="Arial"/>
        </w:rPr>
        <w:t>"</w:t>
      </w:r>
      <w:r w:rsidRPr="00DE5D68" w:rsidR="003D3C87">
        <w:rPr>
          <w:rFonts w:cs="Arial"/>
        </w:rPr>
        <w:t>)</w:t>
      </w:r>
      <w:r w:rsidRPr="00DE5D68" w:rsidR="00DC79E9">
        <w:rPr>
          <w:rFonts w:cs="Arial"/>
        </w:rPr>
        <w:t xml:space="preserve"> which include to</w:t>
      </w:r>
      <w:r w:rsidRPr="00DE5D68">
        <w:rPr>
          <w:rFonts w:cs="Arial"/>
        </w:rPr>
        <w:t>:</w:t>
      </w:r>
    </w:p>
    <w:p w:rsidRPr="00DE5D68" w:rsidR="00D7471B" w:rsidP="007944C6" w:rsidRDefault="00D7471B" w14:paraId="55817E36" w14:textId="41DEF6FF">
      <w:pPr>
        <w:pStyle w:val="Heading3"/>
        <w:rPr>
          <w:rFonts w:cs="Arial"/>
        </w:rPr>
      </w:pPr>
      <w:r w:rsidRPr="00DE5D68">
        <w:rPr>
          <w:rFonts w:cs="Arial"/>
        </w:rPr>
        <w:t xml:space="preserve">process its personal data </w:t>
      </w:r>
      <w:r w:rsidRPr="00DE5D68" w:rsidR="00FA179E">
        <w:rPr>
          <w:rFonts w:cs="Arial"/>
        </w:rPr>
        <w:t xml:space="preserve">to the extent and in such manner as is necessary for the performance of </w:t>
      </w:r>
      <w:r w:rsidRPr="00DE5D68" w:rsidR="00DC79E9">
        <w:rPr>
          <w:rFonts w:cs="Arial"/>
        </w:rPr>
        <w:t xml:space="preserve">its </w:t>
      </w:r>
      <w:r w:rsidRPr="00DE5D68" w:rsidR="00FA179E">
        <w:rPr>
          <w:rFonts w:cs="Arial"/>
        </w:rPr>
        <w:t xml:space="preserve">obligations under </w:t>
      </w:r>
      <w:r w:rsidRPr="00DE5D68" w:rsidR="00DC79E9">
        <w:rPr>
          <w:rFonts w:cs="Arial"/>
        </w:rPr>
        <w:t xml:space="preserve">its </w:t>
      </w:r>
      <w:r w:rsidRPr="00DE5D68" w:rsidR="00FA179E">
        <w:rPr>
          <w:rFonts w:cs="Arial"/>
        </w:rPr>
        <w:t xml:space="preserve">respective service contracts, including </w:t>
      </w:r>
      <w:r w:rsidRPr="00DE5D68">
        <w:rPr>
          <w:rFonts w:cs="Arial"/>
        </w:rPr>
        <w:t xml:space="preserve">as required by or in connection with </w:t>
      </w:r>
      <w:r w:rsidRPr="00DE5D68" w:rsidR="00DC79E9">
        <w:rPr>
          <w:rFonts w:cs="Arial"/>
        </w:rPr>
        <w:t xml:space="preserve">the </w:t>
      </w:r>
      <w:proofErr w:type="spellStart"/>
      <w:r w:rsidRPr="00DE5D68" w:rsidR="00DC79E9">
        <w:rPr>
          <w:rFonts w:cs="Arial"/>
        </w:rPr>
        <w:t>Placee's</w:t>
      </w:r>
      <w:proofErr w:type="spellEnd"/>
      <w:r w:rsidRPr="00DE5D68">
        <w:rPr>
          <w:rFonts w:cs="Arial"/>
        </w:rPr>
        <w:t xml:space="preserve"> holding of </w:t>
      </w:r>
      <w:r w:rsidR="006873BD">
        <w:rPr>
          <w:rFonts w:cs="Arial"/>
        </w:rPr>
        <w:t>Ordinary Shares</w:t>
      </w:r>
      <w:r w:rsidRPr="00DE5D68">
        <w:rPr>
          <w:rFonts w:cs="Arial"/>
        </w:rPr>
        <w:t>, including processing personal data in connection with credit and</w:t>
      </w:r>
      <w:r w:rsidRPr="00DE5D68" w:rsidR="00EC2169">
        <w:rPr>
          <w:rFonts w:cs="Arial"/>
        </w:rPr>
        <w:t xml:space="preserve"> anti-</w:t>
      </w:r>
      <w:r w:rsidRPr="00DE5D68">
        <w:rPr>
          <w:rFonts w:cs="Arial"/>
        </w:rPr>
        <w:t>money laundering checks on it;</w:t>
      </w:r>
    </w:p>
    <w:p w:rsidRPr="00DE5D68" w:rsidR="00D7471B" w:rsidP="007944C6" w:rsidRDefault="00D7471B" w14:paraId="63D3D3B4" w14:textId="105B810A">
      <w:pPr>
        <w:pStyle w:val="Heading3"/>
        <w:rPr>
          <w:rFonts w:cs="Arial"/>
        </w:rPr>
      </w:pPr>
      <w:r w:rsidRPr="00DE5D68">
        <w:rPr>
          <w:rFonts w:cs="Arial"/>
        </w:rPr>
        <w:t xml:space="preserve">communicate with it as necessary in connection with its affairs and generally in connection with its holding of </w:t>
      </w:r>
      <w:r w:rsidR="006873BD">
        <w:rPr>
          <w:rFonts w:cs="Arial"/>
        </w:rPr>
        <w:t>Ordinary Shares</w:t>
      </w:r>
      <w:r w:rsidRPr="00DE5D68">
        <w:rPr>
          <w:rFonts w:cs="Arial"/>
        </w:rPr>
        <w:t>;</w:t>
      </w:r>
    </w:p>
    <w:p w:rsidRPr="00DE5D68" w:rsidR="00FA179E" w:rsidP="007944C6" w:rsidRDefault="00FA179E" w14:paraId="506D846B" w14:textId="77777777">
      <w:pPr>
        <w:pStyle w:val="Heading3"/>
        <w:rPr>
          <w:rFonts w:cs="Arial"/>
        </w:rPr>
      </w:pPr>
      <w:r w:rsidRPr="00DE5D68">
        <w:rPr>
          <w:rFonts w:cs="Arial"/>
        </w:rPr>
        <w:t>comply with the legal and regulatory obligations of the Company and/or the Registrar; and</w:t>
      </w:r>
    </w:p>
    <w:p w:rsidRPr="00DE5D68" w:rsidR="00D7471B" w:rsidP="007944C6" w:rsidRDefault="00D7471B" w14:paraId="147DE985" w14:textId="77777777">
      <w:pPr>
        <w:pStyle w:val="Heading3"/>
        <w:rPr>
          <w:rFonts w:cs="Arial"/>
        </w:rPr>
      </w:pPr>
      <w:r w:rsidRPr="00DE5D68">
        <w:rPr>
          <w:rFonts w:cs="Arial"/>
        </w:rPr>
        <w:t>process its personal data for the Registrar's internal administration.</w:t>
      </w:r>
    </w:p>
    <w:p w:rsidRPr="00DE5D68" w:rsidR="00FA179E" w:rsidP="007944C6" w:rsidRDefault="004C0501" w14:paraId="3D745554" w14:textId="77777777">
      <w:pPr>
        <w:pStyle w:val="Heading2"/>
        <w:keepNext/>
        <w:rPr>
          <w:rFonts w:cs="Arial"/>
        </w:rPr>
      </w:pPr>
      <w:r w:rsidRPr="00DE5D68">
        <w:rPr>
          <w:rFonts w:cs="Arial"/>
        </w:rPr>
        <w:t>Where necessary to fulfil</w:t>
      </w:r>
      <w:r w:rsidRPr="00DE5D68" w:rsidR="00FA179E">
        <w:rPr>
          <w:rFonts w:cs="Arial"/>
        </w:rPr>
        <w:t xml:space="preserve"> the Purposes</w:t>
      </w:r>
      <w:r w:rsidRPr="00DE5D68" w:rsidR="00BE691E">
        <w:rPr>
          <w:rFonts w:cs="Arial"/>
        </w:rPr>
        <w:t xml:space="preserve">, the Company </w:t>
      </w:r>
      <w:r w:rsidRPr="00DE5D68">
        <w:rPr>
          <w:rFonts w:cs="Arial"/>
        </w:rPr>
        <w:t>will disclose</w:t>
      </w:r>
      <w:r w:rsidRPr="00DE5D68" w:rsidR="00BE691E">
        <w:rPr>
          <w:rFonts w:cs="Arial"/>
        </w:rPr>
        <w:t xml:space="preserve"> personal data to: </w:t>
      </w:r>
    </w:p>
    <w:p w:rsidRPr="00DE5D68" w:rsidR="00BE691E" w:rsidP="007944C6" w:rsidRDefault="00BE691E" w14:paraId="32FA5254" w14:textId="395F8267">
      <w:pPr>
        <w:pStyle w:val="Heading3"/>
        <w:rPr>
          <w:rFonts w:cs="Arial"/>
        </w:rPr>
      </w:pPr>
      <w:r w:rsidRPr="00DE5D68">
        <w:rPr>
          <w:rFonts w:cs="Arial"/>
        </w:rPr>
        <w:t xml:space="preserve">third parties located either within, or outside of </w:t>
      </w:r>
      <w:r w:rsidRPr="00DE5D68" w:rsidR="001650C8">
        <w:rPr>
          <w:rFonts w:cs="Arial"/>
        </w:rPr>
        <w:t>Guernsey</w:t>
      </w:r>
      <w:r w:rsidRPr="00DE5D68">
        <w:rPr>
          <w:rFonts w:cs="Arial"/>
        </w:rPr>
        <w:t xml:space="preserve">, if necessary for the Registrar to perform </w:t>
      </w:r>
      <w:r w:rsidRPr="00DE5D68" w:rsidR="004C0501">
        <w:rPr>
          <w:rFonts w:cs="Arial"/>
        </w:rPr>
        <w:t xml:space="preserve">its </w:t>
      </w:r>
      <w:r w:rsidRPr="00DE5D68">
        <w:rPr>
          <w:rFonts w:cs="Arial"/>
        </w:rPr>
        <w:t>functions, or when it</w:t>
      </w:r>
      <w:r w:rsidRPr="00DE5D68" w:rsidR="00250DF0">
        <w:rPr>
          <w:rFonts w:cs="Arial"/>
        </w:rPr>
        <w:t xml:space="preserve"> is</w:t>
      </w:r>
      <w:r w:rsidRPr="00DE5D68">
        <w:rPr>
          <w:rFonts w:cs="Arial"/>
        </w:rPr>
        <w:t xml:space="preserve"> </w:t>
      </w:r>
      <w:r w:rsidRPr="00DE5D68" w:rsidR="004C0501">
        <w:rPr>
          <w:rFonts w:cs="Arial"/>
        </w:rPr>
        <w:t>within</w:t>
      </w:r>
      <w:r w:rsidRPr="00DE5D68">
        <w:rPr>
          <w:rFonts w:cs="Arial"/>
        </w:rPr>
        <w:t xml:space="preserve"> its legitimate interests, and in particular in connection with the holding of </w:t>
      </w:r>
      <w:r w:rsidR="006873BD">
        <w:rPr>
          <w:rFonts w:cs="Arial"/>
        </w:rPr>
        <w:t>Ordinary Shares</w:t>
      </w:r>
      <w:r w:rsidRPr="00DE5D68">
        <w:rPr>
          <w:rFonts w:cs="Arial"/>
        </w:rPr>
        <w:t xml:space="preserve">; or </w:t>
      </w:r>
    </w:p>
    <w:p w:rsidRPr="00DE5D68" w:rsidR="004C0501" w:rsidP="007944C6" w:rsidRDefault="00BE691E" w14:paraId="4835400D" w14:textId="2F9D22F6">
      <w:pPr>
        <w:pStyle w:val="Heading3"/>
        <w:rPr>
          <w:rFonts w:cs="Arial"/>
        </w:rPr>
      </w:pPr>
      <w:r w:rsidRPr="00DE5D68">
        <w:rPr>
          <w:rFonts w:cs="Arial"/>
        </w:rPr>
        <w:t xml:space="preserve">its affiliates, </w:t>
      </w:r>
      <w:r w:rsidRPr="00DE5D68" w:rsidR="00A86616">
        <w:rPr>
          <w:rFonts w:cs="Arial"/>
        </w:rPr>
        <w:t>the Registrar or</w:t>
      </w:r>
      <w:r w:rsidRPr="00DE5D68" w:rsidR="001650C8">
        <w:rPr>
          <w:rFonts w:cs="Arial"/>
        </w:rPr>
        <w:t xml:space="preserve"> </w:t>
      </w:r>
      <w:r w:rsidRPr="00DE5D68">
        <w:rPr>
          <w:rFonts w:cs="Arial"/>
        </w:rPr>
        <w:t>the Investment Manager</w:t>
      </w:r>
      <w:r w:rsidRPr="00DE5D68" w:rsidR="001650C8">
        <w:rPr>
          <w:rFonts w:cs="Arial"/>
        </w:rPr>
        <w:t xml:space="preserve"> </w:t>
      </w:r>
      <w:r w:rsidRPr="00DE5D68">
        <w:rPr>
          <w:rFonts w:cs="Arial"/>
        </w:rPr>
        <w:t xml:space="preserve">and their respective associates, some of which may be located outside </w:t>
      </w:r>
      <w:r w:rsidRPr="00DE5D68" w:rsidR="001650C8">
        <w:rPr>
          <w:rFonts w:cs="Arial"/>
        </w:rPr>
        <w:t>of Guernsey</w:t>
      </w:r>
      <w:r w:rsidRPr="00DE5D68">
        <w:rPr>
          <w:rFonts w:cs="Arial"/>
        </w:rPr>
        <w:t xml:space="preserve">. </w:t>
      </w:r>
    </w:p>
    <w:p w:rsidRPr="00DE5D68" w:rsidR="004C0501" w:rsidP="007944C6" w:rsidRDefault="004C0501" w14:paraId="3DE6FCE7" w14:textId="77777777">
      <w:pPr>
        <w:pStyle w:val="Heading2"/>
        <w:rPr>
          <w:rFonts w:cs="Arial" w:eastAsiaTheme="minorHAnsi"/>
        </w:rPr>
      </w:pPr>
      <w:r w:rsidRPr="00DE5D68">
        <w:rPr>
          <w:rFonts w:cs="Arial" w:eastAsiaTheme="minorHAnsi"/>
        </w:rPr>
        <w:t>Any sharing of personal data between parties will be carried out in compliance with the DP Legislation and as set out in the Company's Privacy Notice.</w:t>
      </w:r>
    </w:p>
    <w:p w:rsidRPr="00DE5D68" w:rsidR="00AC227E" w:rsidP="007944C6" w:rsidRDefault="00AC227E" w14:paraId="6180FD03" w14:textId="50A2089A">
      <w:pPr>
        <w:pStyle w:val="Heading2"/>
        <w:rPr>
          <w:rFonts w:cs="Arial"/>
        </w:rPr>
      </w:pPr>
      <w:r w:rsidRPr="00DE5D68">
        <w:rPr>
          <w:rFonts w:cs="Arial"/>
        </w:rPr>
        <w:t xml:space="preserve">By becoming registered as a holder of </w:t>
      </w:r>
      <w:r w:rsidR="006873BD">
        <w:rPr>
          <w:rFonts w:cs="Arial"/>
        </w:rPr>
        <w:t>Ordinary Shares</w:t>
      </w:r>
      <w:r w:rsidRPr="00DE5D68">
        <w:rPr>
          <w:rFonts w:cs="Arial"/>
        </w:rPr>
        <w:t xml:space="preserve"> a person becomes a data subject (as defined under DP Legislation). In providing the Registrar with information, the </w:t>
      </w:r>
      <w:proofErr w:type="spellStart"/>
      <w:r w:rsidRPr="00DE5D68">
        <w:rPr>
          <w:rFonts w:cs="Arial"/>
        </w:rPr>
        <w:t>Placee</w:t>
      </w:r>
      <w:proofErr w:type="spellEnd"/>
      <w:r w:rsidRPr="00DE5D68">
        <w:rPr>
          <w:rFonts w:cs="Arial"/>
        </w:rPr>
        <w:t xml:space="preserve"> hereby represents and warrants to the Company, the Registrar and the Administrator that: (</w:t>
      </w:r>
      <w:proofErr w:type="spellStart"/>
      <w:r w:rsidRPr="00DE5D68">
        <w:rPr>
          <w:rFonts w:cs="Arial"/>
        </w:rPr>
        <w:t>i</w:t>
      </w:r>
      <w:proofErr w:type="spellEnd"/>
      <w:r w:rsidRPr="00DE5D68">
        <w:rPr>
          <w:rFonts w:cs="Arial"/>
        </w:rPr>
        <w:t>) it complies in all material aspects with its data controller obligations under DP Legislation, and in particular, it has notified any data subject of the Purposes for which personal data will be used and by which parties it will be used and it has provided a copy of the Company's Privacy Notice; and (i</w:t>
      </w:r>
      <w:r w:rsidRPr="00DE5D68" w:rsidR="003D3C87">
        <w:rPr>
          <w:rFonts w:cs="Arial"/>
        </w:rPr>
        <w:t>i</w:t>
      </w:r>
      <w:r w:rsidRPr="00DE5D68">
        <w:rPr>
          <w:rFonts w:cs="Arial"/>
        </w:rPr>
        <w:t xml:space="preserve">) where consent is legally competent and/or required under DP Legislation the </w:t>
      </w:r>
      <w:proofErr w:type="spellStart"/>
      <w:r w:rsidRPr="00DE5D68">
        <w:rPr>
          <w:rFonts w:cs="Arial"/>
        </w:rPr>
        <w:t>Placee</w:t>
      </w:r>
      <w:proofErr w:type="spellEnd"/>
      <w:r w:rsidRPr="00DE5D68">
        <w:rPr>
          <w:rFonts w:cs="Arial"/>
        </w:rPr>
        <w:t xml:space="preserve"> has obtained the consent of any data subject to the Company and Registrar and their respective affiliates and group companies, holding and using their personal data for the Purposes (including the explicit consent of the data subjects for the processing of any sensitive personal data for the Purposes). </w:t>
      </w:r>
    </w:p>
    <w:p w:rsidRPr="00DE5D68" w:rsidR="00BE691E" w:rsidP="007944C6" w:rsidRDefault="00BE691E" w14:paraId="2C7746CA" w14:textId="77777777">
      <w:pPr>
        <w:pStyle w:val="Heading2"/>
        <w:rPr>
          <w:rFonts w:cs="Arial"/>
        </w:rPr>
      </w:pPr>
      <w:r w:rsidRPr="00DE5D68">
        <w:rPr>
          <w:rFonts w:cs="Arial"/>
        </w:rPr>
        <w:t xml:space="preserve">Each </w:t>
      </w:r>
      <w:proofErr w:type="spellStart"/>
      <w:r w:rsidRPr="00DE5D68" w:rsidR="00AC227E">
        <w:rPr>
          <w:rFonts w:cs="Arial"/>
        </w:rPr>
        <w:t>P</w:t>
      </w:r>
      <w:r w:rsidRPr="00DE5D68">
        <w:rPr>
          <w:rFonts w:cs="Arial"/>
        </w:rPr>
        <w:t>lacee</w:t>
      </w:r>
      <w:proofErr w:type="spellEnd"/>
      <w:r w:rsidRPr="00DE5D68">
        <w:rPr>
          <w:rFonts w:cs="Arial"/>
        </w:rPr>
        <w:t xml:space="preserve"> acknowledges that by submitting personal data to the Registrar (acting for and on behalf of the Company) where the </w:t>
      </w:r>
      <w:proofErr w:type="spellStart"/>
      <w:r w:rsidRPr="00DE5D68" w:rsidR="00AC227E">
        <w:rPr>
          <w:rFonts w:cs="Arial"/>
        </w:rPr>
        <w:t>P</w:t>
      </w:r>
      <w:r w:rsidRPr="00DE5D68">
        <w:rPr>
          <w:rFonts w:cs="Arial"/>
        </w:rPr>
        <w:t>lacee</w:t>
      </w:r>
      <w:proofErr w:type="spellEnd"/>
      <w:r w:rsidRPr="00DE5D68">
        <w:rPr>
          <w:rFonts w:cs="Arial"/>
        </w:rPr>
        <w:t xml:space="preserve"> is a natural person he or she has read and understood the terms of the Company’s </w:t>
      </w:r>
      <w:r w:rsidRPr="00DE5D68" w:rsidR="00AC227E">
        <w:rPr>
          <w:rFonts w:cs="Arial"/>
        </w:rPr>
        <w:t>P</w:t>
      </w:r>
      <w:r w:rsidRPr="00DE5D68">
        <w:rPr>
          <w:rFonts w:cs="Arial"/>
        </w:rPr>
        <w:t xml:space="preserve">rivacy </w:t>
      </w:r>
      <w:r w:rsidRPr="00DE5D68" w:rsidR="00AC227E">
        <w:rPr>
          <w:rFonts w:cs="Arial"/>
        </w:rPr>
        <w:t>N</w:t>
      </w:r>
      <w:r w:rsidRPr="00DE5D68">
        <w:rPr>
          <w:rFonts w:cs="Arial"/>
        </w:rPr>
        <w:t xml:space="preserve">otice. </w:t>
      </w:r>
    </w:p>
    <w:p w:rsidRPr="00DE5D68" w:rsidR="00BE691E" w:rsidP="007944C6" w:rsidRDefault="00BE691E" w14:paraId="76E38008" w14:textId="77777777">
      <w:pPr>
        <w:pStyle w:val="Heading2"/>
        <w:keepNext/>
        <w:rPr>
          <w:rFonts w:cs="Arial"/>
        </w:rPr>
      </w:pPr>
      <w:r w:rsidRPr="00DE5D68">
        <w:rPr>
          <w:rFonts w:cs="Arial"/>
        </w:rPr>
        <w:t xml:space="preserve">Each </w:t>
      </w:r>
      <w:proofErr w:type="spellStart"/>
      <w:r w:rsidRPr="00DE5D68" w:rsidR="00AC227E">
        <w:rPr>
          <w:rFonts w:cs="Arial"/>
        </w:rPr>
        <w:t>Placee</w:t>
      </w:r>
      <w:proofErr w:type="spellEnd"/>
      <w:r w:rsidRPr="00DE5D68" w:rsidR="00AC227E">
        <w:rPr>
          <w:rFonts w:cs="Arial"/>
        </w:rPr>
        <w:t xml:space="preserve"> </w:t>
      </w:r>
      <w:r w:rsidRPr="00DE5D68">
        <w:rPr>
          <w:rFonts w:cs="Arial"/>
        </w:rPr>
        <w:t xml:space="preserve">acknowledges that by submitting personal data to the Registrar (acting for and on behalf of the Company) where the </w:t>
      </w:r>
      <w:proofErr w:type="spellStart"/>
      <w:r w:rsidRPr="00DE5D68" w:rsidR="00AC227E">
        <w:rPr>
          <w:rFonts w:cs="Arial"/>
        </w:rPr>
        <w:t>Placee</w:t>
      </w:r>
      <w:proofErr w:type="spellEnd"/>
      <w:r w:rsidRPr="00DE5D68" w:rsidR="00AC227E">
        <w:rPr>
          <w:rFonts w:cs="Arial"/>
        </w:rPr>
        <w:t xml:space="preserve"> </w:t>
      </w:r>
      <w:r w:rsidRPr="00DE5D68">
        <w:rPr>
          <w:rFonts w:cs="Arial"/>
        </w:rPr>
        <w:t xml:space="preserve">is not a natural person it represents and warrants that: </w:t>
      </w:r>
    </w:p>
    <w:p w:rsidRPr="00DE5D68" w:rsidR="00184FBB" w:rsidP="007944C6" w:rsidRDefault="00BE691E" w14:paraId="10B3AC25" w14:textId="41C4EEC9">
      <w:pPr>
        <w:pStyle w:val="Heading3"/>
        <w:rPr>
          <w:rFonts w:cs="Arial"/>
        </w:rPr>
      </w:pPr>
      <w:r w:rsidRPr="00DE5D68">
        <w:rPr>
          <w:rFonts w:cs="Arial"/>
        </w:rPr>
        <w:t xml:space="preserve">it has brought the Company’s Privacy Notice to the attention of any underlying data subjects on whose behalf or account the </w:t>
      </w:r>
      <w:proofErr w:type="spellStart"/>
      <w:r w:rsidRPr="00DE5D68" w:rsidR="00AC227E">
        <w:rPr>
          <w:rFonts w:cs="Arial"/>
        </w:rPr>
        <w:t>Placee</w:t>
      </w:r>
      <w:proofErr w:type="spellEnd"/>
      <w:r w:rsidRPr="00DE5D68" w:rsidR="00AC227E">
        <w:rPr>
          <w:rFonts w:cs="Arial"/>
        </w:rPr>
        <w:t xml:space="preserve"> </w:t>
      </w:r>
      <w:r w:rsidRPr="00DE5D68">
        <w:rPr>
          <w:rFonts w:cs="Arial"/>
        </w:rPr>
        <w:t xml:space="preserve">may act or whose personal data will be disclosed to the Company as a result of the </w:t>
      </w:r>
      <w:proofErr w:type="spellStart"/>
      <w:r w:rsidRPr="00DE5D68" w:rsidR="00AC227E">
        <w:rPr>
          <w:rFonts w:cs="Arial"/>
        </w:rPr>
        <w:t>Placee</w:t>
      </w:r>
      <w:proofErr w:type="spellEnd"/>
      <w:r w:rsidRPr="00DE5D68" w:rsidR="00AC227E">
        <w:rPr>
          <w:rFonts w:cs="Arial"/>
        </w:rPr>
        <w:t xml:space="preserve"> </w:t>
      </w:r>
      <w:r w:rsidRPr="00DE5D68">
        <w:rPr>
          <w:rFonts w:cs="Arial"/>
        </w:rPr>
        <w:t xml:space="preserve">agreeing to subscribe for </w:t>
      </w:r>
      <w:r w:rsidR="006873BD">
        <w:rPr>
          <w:rFonts w:cs="Arial"/>
        </w:rPr>
        <w:t>Ordinary Shares</w:t>
      </w:r>
      <w:r w:rsidRPr="00DE5D68" w:rsidR="001650C8">
        <w:rPr>
          <w:rFonts w:cs="Arial"/>
        </w:rPr>
        <w:t xml:space="preserve"> under the Initial Placing or a Subsequent Placing</w:t>
      </w:r>
      <w:r w:rsidRPr="00DE5D68">
        <w:rPr>
          <w:rFonts w:cs="Arial"/>
        </w:rPr>
        <w:t xml:space="preserve">; </w:t>
      </w:r>
      <w:r w:rsidRPr="00DE5D68" w:rsidR="00AC227E">
        <w:rPr>
          <w:rFonts w:cs="Arial"/>
        </w:rPr>
        <w:t>and</w:t>
      </w:r>
    </w:p>
    <w:p w:rsidRPr="00DE5D68" w:rsidR="00184FBB" w:rsidP="007944C6" w:rsidRDefault="00BE691E" w14:paraId="57DFB705" w14:textId="77777777">
      <w:pPr>
        <w:pStyle w:val="Heading3"/>
        <w:rPr>
          <w:rFonts w:cs="Arial"/>
        </w:rPr>
      </w:pPr>
      <w:r w:rsidRPr="00DE5D68">
        <w:rPr>
          <w:rFonts w:cs="Arial"/>
        </w:rPr>
        <w:lastRenderedPageBreak/>
        <w:t xml:space="preserve">the </w:t>
      </w:r>
      <w:proofErr w:type="spellStart"/>
      <w:r w:rsidRPr="00DE5D68" w:rsidR="00AC227E">
        <w:rPr>
          <w:rFonts w:cs="Arial"/>
        </w:rPr>
        <w:t>Placee</w:t>
      </w:r>
      <w:proofErr w:type="spellEnd"/>
      <w:r w:rsidRPr="00DE5D68" w:rsidR="00AC227E">
        <w:rPr>
          <w:rFonts w:cs="Arial"/>
        </w:rPr>
        <w:t xml:space="preserve"> </w:t>
      </w:r>
      <w:r w:rsidRPr="00DE5D68">
        <w:rPr>
          <w:rFonts w:cs="Arial"/>
        </w:rPr>
        <w:t>has complied in all other respects with all applicable data protection legislation in respect of disclosure and provision of personal data to the Company</w:t>
      </w:r>
      <w:r w:rsidRPr="00DE5D68" w:rsidR="00AC227E">
        <w:rPr>
          <w:rFonts w:cs="Arial"/>
        </w:rPr>
        <w:t>.</w:t>
      </w:r>
      <w:r w:rsidRPr="00DE5D68">
        <w:rPr>
          <w:rFonts w:cs="Arial"/>
        </w:rPr>
        <w:t xml:space="preserve"> </w:t>
      </w:r>
    </w:p>
    <w:p w:rsidRPr="00DE5D68" w:rsidR="00184FBB" w:rsidP="007944C6" w:rsidRDefault="00184FBB" w14:paraId="3C7D21C5" w14:textId="77777777">
      <w:pPr>
        <w:pStyle w:val="Heading2"/>
        <w:keepNext/>
        <w:rPr>
          <w:rFonts w:cs="Arial" w:eastAsiaTheme="minorHAnsi"/>
        </w:rPr>
      </w:pPr>
      <w:r w:rsidRPr="00DE5D68">
        <w:rPr>
          <w:rFonts w:cs="Arial" w:eastAsiaTheme="minorHAnsi"/>
        </w:rPr>
        <w:t xml:space="preserve">Where the </w:t>
      </w:r>
      <w:proofErr w:type="spellStart"/>
      <w:r w:rsidRPr="00DE5D68">
        <w:rPr>
          <w:rFonts w:cs="Arial" w:eastAsiaTheme="minorHAnsi"/>
        </w:rPr>
        <w:t>Placee</w:t>
      </w:r>
      <w:proofErr w:type="spellEnd"/>
      <w:r w:rsidRPr="00DE5D68">
        <w:rPr>
          <w:rFonts w:cs="Arial" w:eastAsiaTheme="minorHAnsi"/>
        </w:rPr>
        <w:t xml:space="preserve"> acts for or on account of an underlying data subject or otherwise discloses the personal data of an underlying data subject, he/she/it shall, in respect of the personal data it processes in relation to or arising in relation to the Placing:</w:t>
      </w:r>
    </w:p>
    <w:p w:rsidRPr="00DE5D68" w:rsidR="00184FBB" w:rsidP="007944C6" w:rsidRDefault="00184FBB" w14:paraId="27854C13" w14:textId="21A8264F">
      <w:pPr>
        <w:pStyle w:val="Heading3"/>
        <w:rPr>
          <w:rFonts w:cs="Arial" w:eastAsiaTheme="minorHAnsi"/>
        </w:rPr>
      </w:pPr>
      <w:r w:rsidRPr="00DE5D68">
        <w:rPr>
          <w:rFonts w:cs="Arial" w:eastAsiaTheme="minorHAnsi"/>
          <w:szCs w:val="28"/>
        </w:rPr>
        <w:t>comply</w:t>
      </w:r>
      <w:r w:rsidRPr="00DE5D68">
        <w:rPr>
          <w:rFonts w:cs="Arial" w:eastAsiaTheme="minorHAnsi"/>
        </w:rPr>
        <w:t xml:space="preserve"> with all applicable </w:t>
      </w:r>
      <w:r w:rsidRPr="00DE5D68" w:rsidR="001650C8">
        <w:rPr>
          <w:rFonts w:cs="Arial" w:eastAsiaTheme="minorHAnsi"/>
        </w:rPr>
        <w:t>DP L</w:t>
      </w:r>
      <w:r w:rsidRPr="00DE5D68">
        <w:rPr>
          <w:rFonts w:cs="Arial" w:eastAsiaTheme="minorHAnsi"/>
        </w:rPr>
        <w:t xml:space="preserve">egislation; </w:t>
      </w:r>
    </w:p>
    <w:p w:rsidRPr="00DE5D68" w:rsidR="00184FBB" w:rsidP="007944C6" w:rsidRDefault="00184FBB" w14:paraId="3FC42FA5" w14:textId="77777777">
      <w:pPr>
        <w:pStyle w:val="Heading3"/>
        <w:rPr>
          <w:rFonts w:cs="Arial" w:eastAsiaTheme="minorHAnsi"/>
        </w:rPr>
      </w:pPr>
      <w:r w:rsidRPr="00DE5D68">
        <w:rPr>
          <w:rFonts w:cs="Arial" w:eastAsiaTheme="minorHAnsi"/>
        </w:rPr>
        <w:t xml:space="preserve">take appropriate technical and organisational measures against unauthorised or unlawful processing of the personal data and against accidental loss or destruction of, or damage to the personal data; </w:t>
      </w:r>
    </w:p>
    <w:p w:rsidRPr="00DE5D68" w:rsidR="00184FBB" w:rsidP="007944C6" w:rsidRDefault="00184FBB" w14:paraId="6464B65D" w14:textId="77777777">
      <w:pPr>
        <w:pStyle w:val="Heading3"/>
        <w:rPr>
          <w:rFonts w:cs="Arial" w:eastAsiaTheme="minorHAnsi"/>
        </w:rPr>
      </w:pPr>
      <w:r w:rsidRPr="00DE5D68">
        <w:rPr>
          <w:rFonts w:cs="Arial" w:eastAsiaTheme="minorHAnsi"/>
        </w:rPr>
        <w:t xml:space="preserve">if required, agree with the Company and the Registrar, the responsibilities of each such entity as regards relevant data subjects' rights and notice requirements; and </w:t>
      </w:r>
    </w:p>
    <w:p w:rsidRPr="00DE5D68" w:rsidR="00BE691E" w:rsidP="007944C6" w:rsidRDefault="00BE691E" w14:paraId="06B4FD6F" w14:textId="77777777">
      <w:pPr>
        <w:pStyle w:val="Heading3"/>
        <w:rPr>
          <w:rFonts w:cs="Arial" w:eastAsiaTheme="minorHAnsi"/>
        </w:rPr>
      </w:pPr>
      <w:r w:rsidRPr="00DE5D68">
        <w:rPr>
          <w:rFonts w:cs="Arial"/>
        </w:rPr>
        <w:t xml:space="preserve">it shall immediately on demand, fully indemnify each of the Company and the Registrar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the Company and/or the Registrar in connection with any failure by the </w:t>
      </w:r>
      <w:proofErr w:type="spellStart"/>
      <w:r w:rsidRPr="00DE5D68" w:rsidR="00AC227E">
        <w:rPr>
          <w:rFonts w:cs="Arial"/>
        </w:rPr>
        <w:t>Placee</w:t>
      </w:r>
      <w:proofErr w:type="spellEnd"/>
      <w:r w:rsidRPr="00DE5D68" w:rsidR="00AC227E">
        <w:rPr>
          <w:rFonts w:cs="Arial"/>
        </w:rPr>
        <w:t xml:space="preserve"> </w:t>
      </w:r>
      <w:r w:rsidRPr="00DE5D68">
        <w:rPr>
          <w:rFonts w:cs="Arial"/>
        </w:rPr>
        <w:t xml:space="preserve">to comply with the provisions </w:t>
      </w:r>
      <w:r w:rsidRPr="00DE5D68" w:rsidR="00184FBB">
        <w:rPr>
          <w:rFonts w:cs="Arial"/>
        </w:rPr>
        <w:t>set out above</w:t>
      </w:r>
      <w:r w:rsidRPr="00DE5D68">
        <w:rPr>
          <w:rFonts w:cs="Arial"/>
        </w:rPr>
        <w:t xml:space="preserve">. </w:t>
      </w:r>
    </w:p>
    <w:p w:rsidRPr="00DE5D68" w:rsidR="006C50CA" w:rsidP="00061C03" w:rsidRDefault="006C50CA" w14:paraId="686B3129" w14:textId="77777777">
      <w:pPr>
        <w:pStyle w:val="Heading1"/>
        <w:tabs>
          <w:tab w:val="clear" w:pos="1134"/>
          <w:tab w:val="num" w:pos="709"/>
        </w:tabs>
        <w:rPr>
          <w:rFonts w:cs="Arial"/>
          <w:caps w:val="0"/>
        </w:rPr>
      </w:pPr>
      <w:r w:rsidRPr="00DE5D68">
        <w:rPr>
          <w:rFonts w:cs="Arial"/>
          <w:caps w:val="0"/>
        </w:rPr>
        <w:t>MISCELLANEOUS</w:t>
      </w:r>
    </w:p>
    <w:p w:rsidRPr="00DE5D68" w:rsidR="00DB5267" w:rsidP="007944C6" w:rsidRDefault="00DB5267" w14:paraId="7349E7AE" w14:textId="090832E4">
      <w:pPr>
        <w:pStyle w:val="Heading2"/>
        <w:rPr>
          <w:rFonts w:cs="Arial"/>
        </w:rPr>
      </w:pPr>
      <w:r w:rsidRPr="00DE5D68">
        <w:rPr>
          <w:rFonts w:cs="Arial"/>
        </w:rPr>
        <w:t xml:space="preserve">The rights and remedies of the Company, </w:t>
      </w:r>
      <w:r w:rsidR="006873BD">
        <w:rPr>
          <w:rFonts w:cs="Arial"/>
        </w:rPr>
        <w:t>Singer Capital Markets</w:t>
      </w:r>
      <w:r w:rsidRPr="00DE5D68">
        <w:rPr>
          <w:rFonts w:cs="Arial"/>
        </w:rPr>
        <w:t xml:space="preserve">, the </w:t>
      </w:r>
      <w:r w:rsidRPr="00DE5D68" w:rsidR="003C76F6">
        <w:rPr>
          <w:rFonts w:cs="Arial"/>
        </w:rPr>
        <w:t xml:space="preserve">Investment </w:t>
      </w:r>
      <w:r w:rsidRPr="00DE5D68">
        <w:rPr>
          <w:rFonts w:cs="Arial"/>
        </w:rPr>
        <w:t>Manager</w:t>
      </w:r>
      <w:r w:rsidRPr="00DE5D68" w:rsidR="00A86616">
        <w:rPr>
          <w:rFonts w:cs="Arial"/>
        </w:rPr>
        <w:t xml:space="preserve"> </w:t>
      </w:r>
      <w:r w:rsidRPr="00DE5D68">
        <w:rPr>
          <w:rFonts w:cs="Arial"/>
        </w:rPr>
        <w:t>and the Registrar under these terms and conditions are in addition to any rights and remedies which would otherwise be available to each of them and the exercise or partial exercise of one will not prevent the exercise of others.</w:t>
      </w:r>
    </w:p>
    <w:p w:rsidRPr="00DE5D68" w:rsidR="00DB5267" w:rsidP="007944C6" w:rsidRDefault="00DB5267" w14:paraId="7549ECBA" w14:textId="0ABE0CC5">
      <w:pPr>
        <w:pStyle w:val="Heading2"/>
        <w:rPr>
          <w:rFonts w:cs="Arial"/>
        </w:rPr>
      </w:pPr>
      <w:r w:rsidRPr="00DE5D68">
        <w:rPr>
          <w:rFonts w:cs="Arial"/>
        </w:rPr>
        <w:t xml:space="preserve">On application, if a </w:t>
      </w:r>
      <w:proofErr w:type="spellStart"/>
      <w:r w:rsidRPr="00DE5D68">
        <w:rPr>
          <w:rFonts w:cs="Arial"/>
        </w:rPr>
        <w:t>Placee</w:t>
      </w:r>
      <w:proofErr w:type="spellEnd"/>
      <w:r w:rsidRPr="00DE5D68">
        <w:rPr>
          <w:rFonts w:cs="Arial"/>
        </w:rPr>
        <w:t xml:space="preserve"> is an individual, that </w:t>
      </w:r>
      <w:proofErr w:type="spellStart"/>
      <w:r w:rsidRPr="00DE5D68">
        <w:rPr>
          <w:rFonts w:cs="Arial"/>
        </w:rPr>
        <w:t>Placee</w:t>
      </w:r>
      <w:proofErr w:type="spellEnd"/>
      <w:r w:rsidRPr="00DE5D68">
        <w:rPr>
          <w:rFonts w:cs="Arial"/>
        </w:rPr>
        <w:t xml:space="preserve"> may be asked to disclose in writing or orally, his </w:t>
      </w:r>
      <w:r w:rsidR="00B43818">
        <w:rPr>
          <w:rFonts w:cs="Arial"/>
        </w:rPr>
        <w:t xml:space="preserve">or her </w:t>
      </w:r>
      <w:r w:rsidRPr="00DE5D68">
        <w:rPr>
          <w:rFonts w:cs="Arial"/>
        </w:rPr>
        <w:t xml:space="preserve">nationality. If a </w:t>
      </w:r>
      <w:proofErr w:type="spellStart"/>
      <w:r w:rsidRPr="00DE5D68">
        <w:rPr>
          <w:rFonts w:cs="Arial"/>
        </w:rPr>
        <w:t>Placee</w:t>
      </w:r>
      <w:proofErr w:type="spellEnd"/>
      <w:r w:rsidRPr="00DE5D68">
        <w:rPr>
          <w:rFonts w:cs="Arial"/>
        </w:rPr>
        <w:t xml:space="preserve"> is a discretionary fund manager, that </w:t>
      </w:r>
      <w:proofErr w:type="spellStart"/>
      <w:r w:rsidRPr="00DE5D68">
        <w:rPr>
          <w:rFonts w:cs="Arial"/>
        </w:rPr>
        <w:t>Placee</w:t>
      </w:r>
      <w:proofErr w:type="spellEnd"/>
      <w:r w:rsidRPr="00DE5D68">
        <w:rPr>
          <w:rFonts w:cs="Arial"/>
        </w:rPr>
        <w:t xml:space="preserve"> may be asked to disclose in writing or orally the jurisdiction in which its funds are managed or owned. All documents</w:t>
      </w:r>
      <w:r w:rsidRPr="00DE5D68" w:rsidR="00341172">
        <w:rPr>
          <w:rFonts w:cs="Arial"/>
        </w:rPr>
        <w:t xml:space="preserve"> provided in connection with the </w:t>
      </w:r>
      <w:r w:rsidRPr="00DE5D68" w:rsidR="001650C8">
        <w:rPr>
          <w:rFonts w:cs="Arial"/>
        </w:rPr>
        <w:t xml:space="preserve">Initial </w:t>
      </w:r>
      <w:r w:rsidRPr="00DE5D68">
        <w:rPr>
          <w:rFonts w:cs="Arial"/>
        </w:rPr>
        <w:t xml:space="preserve">Placing </w:t>
      </w:r>
      <w:r w:rsidRPr="00DE5D68" w:rsidR="001650C8">
        <w:rPr>
          <w:rFonts w:cs="Arial"/>
        </w:rPr>
        <w:t xml:space="preserve">and any Subsequent Placings </w:t>
      </w:r>
      <w:r w:rsidRPr="00DE5D68">
        <w:rPr>
          <w:rFonts w:cs="Arial"/>
        </w:rPr>
        <w:t xml:space="preserve">will be sent at the </w:t>
      </w:r>
      <w:proofErr w:type="spellStart"/>
      <w:r w:rsidRPr="00DE5D68">
        <w:rPr>
          <w:rFonts w:cs="Arial"/>
        </w:rPr>
        <w:t>Placee’s</w:t>
      </w:r>
      <w:proofErr w:type="spellEnd"/>
      <w:r w:rsidRPr="00DE5D68">
        <w:rPr>
          <w:rFonts w:cs="Arial"/>
        </w:rPr>
        <w:t xml:space="preserve"> risk. They may be returned by post to such </w:t>
      </w:r>
      <w:proofErr w:type="spellStart"/>
      <w:r w:rsidRPr="00DE5D68">
        <w:rPr>
          <w:rFonts w:cs="Arial"/>
        </w:rPr>
        <w:t>Placee</w:t>
      </w:r>
      <w:proofErr w:type="spellEnd"/>
      <w:r w:rsidRPr="00DE5D68">
        <w:rPr>
          <w:rFonts w:cs="Arial"/>
        </w:rPr>
        <w:t xml:space="preserve"> at the address notified by such </w:t>
      </w:r>
      <w:proofErr w:type="spellStart"/>
      <w:r w:rsidRPr="00DE5D68">
        <w:rPr>
          <w:rFonts w:cs="Arial"/>
        </w:rPr>
        <w:t>Placee</w:t>
      </w:r>
      <w:proofErr w:type="spellEnd"/>
      <w:r w:rsidRPr="00DE5D68">
        <w:rPr>
          <w:rFonts w:cs="Arial"/>
        </w:rPr>
        <w:t>.</w:t>
      </w:r>
    </w:p>
    <w:p w:rsidRPr="00DE5D68" w:rsidR="00DB5267" w:rsidP="007944C6" w:rsidRDefault="00DB5267" w14:paraId="300B98C7" w14:textId="70796EEC">
      <w:pPr>
        <w:pStyle w:val="Heading2"/>
        <w:rPr>
          <w:rFonts w:cs="Arial"/>
        </w:rPr>
      </w:pPr>
      <w:r w:rsidRPr="00DE5D68">
        <w:rPr>
          <w:rFonts w:cs="Arial"/>
        </w:rPr>
        <w:t xml:space="preserve">Each </w:t>
      </w:r>
      <w:proofErr w:type="spellStart"/>
      <w:r w:rsidRPr="00DE5D68">
        <w:rPr>
          <w:rFonts w:cs="Arial"/>
        </w:rPr>
        <w:t>Placee</w:t>
      </w:r>
      <w:proofErr w:type="spellEnd"/>
      <w:r w:rsidRPr="00DE5D68">
        <w:rPr>
          <w:rFonts w:cs="Arial"/>
        </w:rPr>
        <w:t xml:space="preserve"> agrees to be bound by the Articles once the </w:t>
      </w:r>
      <w:r w:rsidR="006873BD">
        <w:rPr>
          <w:rFonts w:cs="Arial"/>
        </w:rPr>
        <w:t>Ordinary Shares</w:t>
      </w:r>
      <w:r w:rsidRPr="00DE5D68">
        <w:rPr>
          <w:rFonts w:cs="Arial"/>
        </w:rPr>
        <w:t xml:space="preserve">, which the </w:t>
      </w:r>
      <w:proofErr w:type="spellStart"/>
      <w:r w:rsidRPr="00DE5D68">
        <w:rPr>
          <w:rFonts w:cs="Arial"/>
        </w:rPr>
        <w:t>Placee</w:t>
      </w:r>
      <w:proofErr w:type="spellEnd"/>
      <w:r w:rsidRPr="00DE5D68">
        <w:rPr>
          <w:rFonts w:cs="Arial"/>
        </w:rPr>
        <w:t xml:space="preserve"> has agreed to </w:t>
      </w:r>
      <w:r w:rsidRPr="00DE5D68" w:rsidR="00341172">
        <w:rPr>
          <w:rFonts w:cs="Arial"/>
        </w:rPr>
        <w:t xml:space="preserve">subscribe for pursuant to the </w:t>
      </w:r>
      <w:r w:rsidRPr="00DE5D68" w:rsidR="001650C8">
        <w:rPr>
          <w:rFonts w:cs="Arial"/>
        </w:rPr>
        <w:t xml:space="preserve">Initial </w:t>
      </w:r>
      <w:r w:rsidRPr="00DE5D68">
        <w:rPr>
          <w:rFonts w:cs="Arial"/>
        </w:rPr>
        <w:t>Placing</w:t>
      </w:r>
      <w:r w:rsidRPr="00DE5D68" w:rsidR="001650C8">
        <w:rPr>
          <w:rFonts w:cs="Arial"/>
        </w:rPr>
        <w:t xml:space="preserve"> and/or the relevant Subsequent Placing</w:t>
      </w:r>
      <w:r w:rsidRPr="00DE5D68">
        <w:rPr>
          <w:rFonts w:cs="Arial"/>
        </w:rPr>
        <w:t xml:space="preserve">, have been acquired by the </w:t>
      </w:r>
      <w:proofErr w:type="spellStart"/>
      <w:r w:rsidRPr="00DE5D68">
        <w:rPr>
          <w:rFonts w:cs="Arial"/>
        </w:rPr>
        <w:t>Placee</w:t>
      </w:r>
      <w:proofErr w:type="spellEnd"/>
      <w:r w:rsidRPr="00DE5D68">
        <w:rPr>
          <w:rFonts w:cs="Arial"/>
        </w:rPr>
        <w:t xml:space="preserve">. The contract to subscribe for </w:t>
      </w:r>
      <w:r w:rsidR="006873BD">
        <w:rPr>
          <w:rFonts w:cs="Arial"/>
        </w:rPr>
        <w:t>Ordinary Shares</w:t>
      </w:r>
      <w:r w:rsidRPr="00DE5D68">
        <w:rPr>
          <w:rFonts w:cs="Arial"/>
        </w:rPr>
        <w:t xml:space="preserve"> under the </w:t>
      </w:r>
      <w:r w:rsidRPr="00DE5D68" w:rsidR="001650C8">
        <w:rPr>
          <w:rFonts w:cs="Arial"/>
        </w:rPr>
        <w:t xml:space="preserve">Initial </w:t>
      </w:r>
      <w:r w:rsidRPr="00DE5D68">
        <w:rPr>
          <w:rFonts w:cs="Arial"/>
        </w:rPr>
        <w:t>Placing</w:t>
      </w:r>
      <w:r w:rsidRPr="00DE5D68" w:rsidR="001650C8">
        <w:rPr>
          <w:rFonts w:cs="Arial"/>
        </w:rPr>
        <w:t xml:space="preserve"> or relevant Subsequent Placing (as applicable)</w:t>
      </w:r>
      <w:r w:rsidRPr="00DE5D68">
        <w:rPr>
          <w:rFonts w:cs="Arial"/>
        </w:rPr>
        <w:t xml:space="preserve"> and the appointments and authorities mentioned in this document and all disputes and claims arising out of or in connection with its subject matter or formation (including non-contractual disputes or claims) will be governed by, and construed in accordance with, the laws of England and Wales. For the exclusive benefit of </w:t>
      </w:r>
      <w:r w:rsidR="006873BD">
        <w:rPr>
          <w:rFonts w:cs="Arial"/>
        </w:rPr>
        <w:t>Singer Capital Markets</w:t>
      </w:r>
      <w:r w:rsidRPr="00DE5D68">
        <w:rPr>
          <w:rFonts w:cs="Arial"/>
        </w:rPr>
        <w:t xml:space="preserve">, the Company and the Registrar, each </w:t>
      </w:r>
      <w:proofErr w:type="spellStart"/>
      <w:r w:rsidRPr="00DE5D68">
        <w:rPr>
          <w:rFonts w:cs="Arial"/>
        </w:rPr>
        <w:t>Placee</w:t>
      </w:r>
      <w:proofErr w:type="spellEnd"/>
      <w:r w:rsidRPr="00DE5D68">
        <w:rPr>
          <w:rFonts w:cs="Arial"/>
        </w:rPr>
        <w:t xml:space="preserve"> irrevocably submits to the jurisdiction of the courts of England and Wales and waives any objection to proceedings in any such court on the ground of venue or on the ground that proceedings have been brought in an inconvenient forum. This does not prevent an action being taken against the </w:t>
      </w:r>
      <w:proofErr w:type="spellStart"/>
      <w:r w:rsidRPr="00DE5D68">
        <w:rPr>
          <w:rFonts w:cs="Arial"/>
        </w:rPr>
        <w:t>Placee</w:t>
      </w:r>
      <w:proofErr w:type="spellEnd"/>
      <w:r w:rsidRPr="00DE5D68">
        <w:rPr>
          <w:rFonts w:cs="Arial"/>
        </w:rPr>
        <w:t xml:space="preserve"> in any other jurisdiction.</w:t>
      </w:r>
    </w:p>
    <w:p w:rsidRPr="00DE5D68" w:rsidR="00DB5267" w:rsidP="007944C6" w:rsidRDefault="00DB5267" w14:paraId="47F0D1D9" w14:textId="3E2C0870">
      <w:pPr>
        <w:pStyle w:val="Heading2"/>
        <w:rPr>
          <w:rFonts w:cs="Arial"/>
        </w:rPr>
      </w:pPr>
      <w:r w:rsidRPr="00DE5D68">
        <w:rPr>
          <w:rFonts w:cs="Arial"/>
        </w:rPr>
        <w:t xml:space="preserve">In the case of a joint agreement to subscribe for </w:t>
      </w:r>
      <w:r w:rsidR="006873BD">
        <w:rPr>
          <w:rFonts w:cs="Arial"/>
        </w:rPr>
        <w:t>Ordinary Shares</w:t>
      </w:r>
      <w:r w:rsidRPr="00DE5D68">
        <w:rPr>
          <w:rFonts w:cs="Arial"/>
        </w:rPr>
        <w:t xml:space="preserve"> under the</w:t>
      </w:r>
      <w:r w:rsidRPr="00DE5D68" w:rsidR="001650C8">
        <w:rPr>
          <w:rFonts w:cs="Arial"/>
        </w:rPr>
        <w:t xml:space="preserve"> Initial</w:t>
      </w:r>
      <w:r w:rsidRPr="00DE5D68">
        <w:rPr>
          <w:rFonts w:cs="Arial"/>
        </w:rPr>
        <w:t xml:space="preserve"> Placing</w:t>
      </w:r>
      <w:r w:rsidRPr="00DE5D68" w:rsidR="001650C8">
        <w:rPr>
          <w:rFonts w:cs="Arial"/>
        </w:rPr>
        <w:t xml:space="preserve"> or a Subsequent Placing</w:t>
      </w:r>
      <w:r w:rsidRPr="00DE5D68">
        <w:rPr>
          <w:rFonts w:cs="Arial"/>
        </w:rPr>
        <w:t xml:space="preserve">, references to a </w:t>
      </w:r>
      <w:proofErr w:type="spellStart"/>
      <w:r w:rsidRPr="00DE5D68">
        <w:rPr>
          <w:rFonts w:cs="Arial"/>
        </w:rPr>
        <w:t>Placee</w:t>
      </w:r>
      <w:proofErr w:type="spellEnd"/>
      <w:r w:rsidRPr="00DE5D68">
        <w:rPr>
          <w:rFonts w:cs="Arial"/>
        </w:rPr>
        <w:t xml:space="preserve"> in these terms and conditions are to each of the </w:t>
      </w:r>
      <w:proofErr w:type="spellStart"/>
      <w:r w:rsidRPr="00DE5D68">
        <w:rPr>
          <w:rFonts w:cs="Arial"/>
        </w:rPr>
        <w:t>Placees</w:t>
      </w:r>
      <w:proofErr w:type="spellEnd"/>
      <w:r w:rsidRPr="00DE5D68">
        <w:rPr>
          <w:rFonts w:cs="Arial"/>
        </w:rPr>
        <w:t xml:space="preserve"> who </w:t>
      </w:r>
      <w:proofErr w:type="gramStart"/>
      <w:r w:rsidRPr="00DE5D68">
        <w:rPr>
          <w:rFonts w:cs="Arial"/>
        </w:rPr>
        <w:t>are a party to that joint agreement and their liability</w:t>
      </w:r>
      <w:proofErr w:type="gramEnd"/>
      <w:r w:rsidRPr="00DE5D68">
        <w:rPr>
          <w:rFonts w:cs="Arial"/>
        </w:rPr>
        <w:t xml:space="preserve"> is joint and several.</w:t>
      </w:r>
    </w:p>
    <w:p w:rsidRPr="00DE5D68" w:rsidR="004070BD" w:rsidP="007944C6" w:rsidRDefault="006873BD" w14:paraId="7CAF5D93" w14:textId="36AC12D0">
      <w:pPr>
        <w:pStyle w:val="Heading2"/>
        <w:rPr>
          <w:rFonts w:cs="Arial"/>
        </w:rPr>
      </w:pPr>
      <w:r>
        <w:rPr>
          <w:rFonts w:cs="Arial"/>
        </w:rPr>
        <w:t>Singer Capital Markets</w:t>
      </w:r>
      <w:r w:rsidRPr="00DE5D68" w:rsidR="00631C3F">
        <w:rPr>
          <w:rFonts w:cs="Arial"/>
        </w:rPr>
        <w:t xml:space="preserve"> </w:t>
      </w:r>
      <w:r w:rsidRPr="00DE5D68" w:rsidR="00DB5267">
        <w:rPr>
          <w:rFonts w:cs="Arial"/>
        </w:rPr>
        <w:t>and the Company expressly r</w:t>
      </w:r>
      <w:r w:rsidRPr="00DE5D68" w:rsidR="00341172">
        <w:rPr>
          <w:rFonts w:cs="Arial"/>
        </w:rPr>
        <w:t>eserve the right to modify the</w:t>
      </w:r>
      <w:r w:rsidRPr="00DE5D68" w:rsidR="00C559DA">
        <w:rPr>
          <w:rFonts w:cs="Arial"/>
        </w:rPr>
        <w:t xml:space="preserve"> Initial</w:t>
      </w:r>
      <w:r w:rsidRPr="00DE5D68" w:rsidR="00341172">
        <w:rPr>
          <w:rFonts w:cs="Arial"/>
        </w:rPr>
        <w:t xml:space="preserve"> </w:t>
      </w:r>
      <w:r w:rsidRPr="00DE5D68" w:rsidR="00DB5267">
        <w:rPr>
          <w:rFonts w:cs="Arial"/>
        </w:rPr>
        <w:t>Placing</w:t>
      </w:r>
      <w:r w:rsidRPr="00DE5D68" w:rsidR="00C559DA">
        <w:rPr>
          <w:rFonts w:cs="Arial"/>
        </w:rPr>
        <w:t xml:space="preserve"> and/or any Subsequent Placing</w:t>
      </w:r>
      <w:r w:rsidRPr="00DE5D68" w:rsidR="00DB5267">
        <w:rPr>
          <w:rFonts w:cs="Arial"/>
        </w:rPr>
        <w:t xml:space="preserve"> (including, without limitation, their timetable and settlement) at any time before allocations are determined. The</w:t>
      </w:r>
      <w:r w:rsidRPr="00DE5D68" w:rsidR="00C559DA">
        <w:rPr>
          <w:rFonts w:cs="Arial"/>
        </w:rPr>
        <w:t xml:space="preserve"> Initial</w:t>
      </w:r>
      <w:r w:rsidRPr="00DE5D68" w:rsidR="00DB5267">
        <w:rPr>
          <w:rFonts w:cs="Arial"/>
        </w:rPr>
        <w:t xml:space="preserve"> Placing</w:t>
      </w:r>
      <w:r w:rsidRPr="00DE5D68" w:rsidR="00C559DA">
        <w:rPr>
          <w:rFonts w:cs="Arial"/>
        </w:rPr>
        <w:t xml:space="preserve"> and each Subsequent Placing</w:t>
      </w:r>
      <w:r w:rsidRPr="00DE5D68" w:rsidR="00DB5267">
        <w:rPr>
          <w:rFonts w:cs="Arial"/>
        </w:rPr>
        <w:t xml:space="preserve"> is subject to the satisfaction of the conditions contained in the </w:t>
      </w:r>
      <w:r w:rsidR="00020807">
        <w:rPr>
          <w:rFonts w:cs="Arial"/>
        </w:rPr>
        <w:t>Placing Agreement</w:t>
      </w:r>
      <w:r w:rsidRPr="00DE5D68" w:rsidR="00DB5267">
        <w:rPr>
          <w:rFonts w:cs="Arial"/>
        </w:rPr>
        <w:t xml:space="preserve"> and the </w:t>
      </w:r>
      <w:r w:rsidR="00020807">
        <w:rPr>
          <w:rFonts w:cs="Arial"/>
        </w:rPr>
        <w:t>Placing Agreement</w:t>
      </w:r>
      <w:r w:rsidRPr="00DE5D68" w:rsidR="00DB5267">
        <w:rPr>
          <w:rFonts w:cs="Arial"/>
        </w:rPr>
        <w:t xml:space="preserve"> not having been terminated. Further details of the terms of the </w:t>
      </w:r>
      <w:r w:rsidR="00020807">
        <w:rPr>
          <w:rFonts w:cs="Arial"/>
        </w:rPr>
        <w:t>Placing Agreement</w:t>
      </w:r>
      <w:r w:rsidRPr="00DE5D68" w:rsidR="00DB5267">
        <w:rPr>
          <w:rFonts w:cs="Arial"/>
        </w:rPr>
        <w:t xml:space="preserve"> are contained in paragraph</w:t>
      </w:r>
      <w:r w:rsidRPr="00DE5D68" w:rsidR="007006D4">
        <w:rPr>
          <w:rFonts w:cs="Arial"/>
        </w:rPr>
        <w:t xml:space="preserve"> </w:t>
      </w:r>
      <w:r w:rsidR="001942D0">
        <w:rPr>
          <w:rFonts w:cs="Arial"/>
        </w:rPr>
        <w:fldChar w:fldCharType="begin" w:fldLock="1"/>
      </w:r>
      <w:r w:rsidR="001942D0">
        <w:rPr>
          <w:rFonts w:cs="Arial"/>
        </w:rPr>
        <w:instrText xml:space="preserve"> REF _Ref188880853 \r \h </w:instrText>
      </w:r>
      <w:r w:rsidR="001942D0">
        <w:rPr>
          <w:rFonts w:cs="Arial"/>
        </w:rPr>
      </w:r>
      <w:r w:rsidR="001942D0">
        <w:rPr>
          <w:rFonts w:cs="Arial"/>
        </w:rPr>
        <w:fldChar w:fldCharType="separate"/>
      </w:r>
      <w:r w:rsidR="00DA4048">
        <w:rPr>
          <w:rFonts w:cs="Arial"/>
        </w:rPr>
        <w:t>6.1</w:t>
      </w:r>
      <w:r w:rsidR="001942D0">
        <w:rPr>
          <w:rFonts w:cs="Arial"/>
        </w:rPr>
        <w:fldChar w:fldCharType="end"/>
      </w:r>
      <w:r w:rsidR="00784F95">
        <w:rPr>
          <w:rFonts w:cs="Arial"/>
        </w:rPr>
        <w:t xml:space="preserve"> </w:t>
      </w:r>
      <w:r w:rsidRPr="00DE5D68" w:rsidR="00DB5267">
        <w:rPr>
          <w:rFonts w:cs="Arial"/>
        </w:rPr>
        <w:t xml:space="preserve">of </w:t>
      </w:r>
      <w:r w:rsidR="00577D1F">
        <w:rPr>
          <w:rFonts w:cs="Arial"/>
        </w:rPr>
        <w:fldChar w:fldCharType="begin" w:fldLock="1"/>
      </w:r>
      <w:r w:rsidR="00577D1F">
        <w:rPr>
          <w:rFonts w:cs="Arial"/>
        </w:rPr>
        <w:instrText xml:space="preserve"> REF _Ref65762141 \n \h </w:instrText>
      </w:r>
      <w:r w:rsidR="00577D1F">
        <w:rPr>
          <w:rFonts w:cs="Arial"/>
        </w:rPr>
      </w:r>
      <w:r w:rsidR="00577D1F">
        <w:rPr>
          <w:rFonts w:cs="Arial"/>
        </w:rPr>
        <w:fldChar w:fldCharType="separate"/>
      </w:r>
      <w:r w:rsidR="00DA4048">
        <w:rPr>
          <w:rFonts w:cs="Arial"/>
        </w:rPr>
        <w:t>Part 6</w:t>
      </w:r>
      <w:r w:rsidR="00577D1F">
        <w:rPr>
          <w:rFonts w:cs="Arial"/>
        </w:rPr>
        <w:fldChar w:fldCharType="end"/>
      </w:r>
      <w:r w:rsidRPr="00DE5D68" w:rsidR="00C559DA">
        <w:rPr>
          <w:rFonts w:cs="Arial"/>
        </w:rPr>
        <w:t xml:space="preserve"> </w:t>
      </w:r>
      <w:r w:rsidRPr="00DE5D68" w:rsidR="00DB5267">
        <w:rPr>
          <w:rFonts w:cs="Arial"/>
        </w:rPr>
        <w:t>of this document.</w:t>
      </w:r>
    </w:p>
    <w:p w:rsidR="001054A4" w:rsidRDefault="001054A4" w14:paraId="2B2D63D8" w14:textId="21D77B31">
      <w:pPr>
        <w:spacing w:after="0"/>
        <w:jc w:val="left"/>
        <w:rPr>
          <w:rFonts w:cs="Arial"/>
          <w:b/>
        </w:rPr>
      </w:pPr>
      <w:r>
        <w:rPr>
          <w:rFonts w:cs="Arial"/>
          <w:b/>
        </w:rPr>
        <w:br w:type="page"/>
      </w:r>
    </w:p>
    <w:p w:rsidRPr="00391D23" w:rsidR="001054A4" w:rsidP="001054A4" w:rsidRDefault="001054A4" w14:paraId="783EF09E" w14:textId="493D9F2C">
      <w:pPr>
        <w:jc w:val="center"/>
        <w:rPr>
          <w:rFonts w:cs="Arial"/>
          <w:b/>
        </w:rPr>
      </w:pPr>
      <w:bookmarkStart w:name="_Hlk184304632" w:id="332"/>
      <w:r w:rsidRPr="00391D23">
        <w:rPr>
          <w:rFonts w:cs="Arial"/>
          <w:b/>
        </w:rPr>
        <w:lastRenderedPageBreak/>
        <w:t xml:space="preserve">PART </w:t>
      </w:r>
      <w:r>
        <w:rPr>
          <w:rFonts w:cs="Arial"/>
          <w:b/>
        </w:rPr>
        <w:t>9</w:t>
      </w:r>
    </w:p>
    <w:p w:rsidRPr="00391D23" w:rsidR="001054A4" w:rsidP="001054A4" w:rsidRDefault="001054A4" w14:paraId="21A1D669" w14:textId="08242876">
      <w:pPr>
        <w:pStyle w:val="2style"/>
        <w:jc w:val="center"/>
        <w:rPr>
          <w:color w:val="000000"/>
          <w:lang w:val="x-none"/>
        </w:rPr>
      </w:pPr>
      <w:r>
        <w:rPr>
          <w:b/>
        </w:rPr>
        <w:t>REDEMPTION OF ORDINARY SHARES</w:t>
      </w:r>
      <w:r w:rsidR="00E11553">
        <w:rPr>
          <w:b/>
        </w:rPr>
        <w:t xml:space="preserve"> UNDER THE REDEMPTION MECHANISM</w:t>
      </w:r>
      <w:r w:rsidRPr="00391D23">
        <w:rPr>
          <w:b/>
        </w:rPr>
        <w:fldChar w:fldCharType="begin"/>
      </w:r>
      <w:r w:rsidRPr="00391D23">
        <w:instrText xml:space="preserve"> TC "</w:instrText>
      </w:r>
      <w:r w:rsidRPr="00391D23">
        <w:rPr>
          <w:b/>
        </w:rPr>
        <w:instrText xml:space="preserve"> </w:instrText>
      </w:r>
      <w:bookmarkStart w:name="_Toc146035833" w:id="333"/>
      <w:bookmarkStart w:name="_Toc190288039" w:id="334"/>
      <w:r w:rsidRPr="00391D23">
        <w:instrText xml:space="preserve">PART </w:instrText>
      </w:r>
      <w:r>
        <w:instrText>9</w:instrText>
      </w:r>
      <w:r w:rsidR="00676664">
        <w:instrText xml:space="preserve"> - </w:instrText>
      </w:r>
      <w:r>
        <w:instrText>REDEMPTION OF ORDINARY SHARES</w:instrText>
      </w:r>
      <w:bookmarkEnd w:id="333"/>
      <w:r w:rsidR="00E11553">
        <w:instrText xml:space="preserve"> UNDER THE REDEMPTION MECHANISM</w:instrText>
      </w:r>
      <w:bookmarkEnd w:id="334"/>
      <w:r w:rsidRPr="00391D23">
        <w:instrText xml:space="preserve">" \f C \l "1" </w:instrText>
      </w:r>
      <w:r w:rsidRPr="00391D23">
        <w:rPr>
          <w:b/>
        </w:rPr>
        <w:fldChar w:fldCharType="end"/>
      </w:r>
    </w:p>
    <w:p w:rsidR="001054A4" w:rsidP="001054A4" w:rsidRDefault="001054A4" w14:paraId="58AB3B1B" w14:textId="4783E19A">
      <w:pPr>
        <w:autoSpaceDE w:val="0"/>
        <w:autoSpaceDN w:val="0"/>
        <w:adjustRightInd w:val="0"/>
        <w:snapToGrid w:val="0"/>
        <w:rPr>
          <w:rFonts w:cs="Arial"/>
        </w:rPr>
      </w:pPr>
      <w:r>
        <w:rPr>
          <w:rFonts w:cs="Arial"/>
        </w:rPr>
        <w:t xml:space="preserve">The rights and restrictions attaching to the Ordinary Shares are set out in the Articles and are summarised at paragraph 4 of Part </w:t>
      </w:r>
      <w:r w:rsidR="0058738D">
        <w:rPr>
          <w:rFonts w:cs="Arial"/>
        </w:rPr>
        <w:t>6</w:t>
      </w:r>
      <w:r>
        <w:rPr>
          <w:rFonts w:cs="Arial"/>
        </w:rPr>
        <w:t xml:space="preserve"> of this document. The provisions of the Articles relating to the redemption of Ordinary Shares are detailed below. The Directors have absolute discretion to operate the </w:t>
      </w:r>
      <w:r w:rsidR="00AA24CD">
        <w:rPr>
          <w:rFonts w:cs="Arial"/>
        </w:rPr>
        <w:t>R</w:t>
      </w:r>
      <w:r>
        <w:rPr>
          <w:rFonts w:cs="Arial"/>
        </w:rPr>
        <w:t xml:space="preserve">edemption </w:t>
      </w:r>
      <w:r w:rsidR="00AA24CD">
        <w:rPr>
          <w:rFonts w:cs="Arial"/>
        </w:rPr>
        <w:t xml:space="preserve">Mechanism </w:t>
      </w:r>
      <w:r>
        <w:rPr>
          <w:rFonts w:cs="Arial"/>
        </w:rPr>
        <w:t>on any given Redemption Point.</w:t>
      </w:r>
    </w:p>
    <w:p w:rsidR="001054A4" w:rsidP="00565AD4" w:rsidRDefault="001054A4" w14:paraId="3C076728" w14:textId="77777777">
      <w:pPr>
        <w:pStyle w:val="1style"/>
        <w:numPr>
          <w:ilvl w:val="0"/>
          <w:numId w:val="59"/>
        </w:numPr>
        <w:jc w:val="left"/>
        <w:rPr>
          <w:rFonts w:ascii="Arial" w:hAnsi="Arial"/>
        </w:rPr>
      </w:pPr>
      <w:r w:rsidRPr="00E606B7">
        <w:rPr>
          <w:rFonts w:ascii="Arial" w:hAnsi="Arial"/>
        </w:rPr>
        <w:t>Redemption Procedure</w:t>
      </w:r>
    </w:p>
    <w:p w:rsidRPr="00357636" w:rsidR="001054A4" w:rsidP="001054A4" w:rsidRDefault="001054A4" w14:paraId="030D3609" w14:textId="77777777">
      <w:pPr>
        <w:pStyle w:val="ListParagraph"/>
        <w:numPr>
          <w:ilvl w:val="0"/>
          <w:numId w:val="0"/>
        </w:numPr>
        <w:autoSpaceDE w:val="0"/>
        <w:autoSpaceDN w:val="0"/>
        <w:adjustRightInd w:val="0"/>
        <w:ind w:left="709"/>
        <w:rPr>
          <w:b w:val="0"/>
          <w:bCs/>
        </w:rPr>
      </w:pPr>
      <w:r w:rsidRPr="00357636">
        <w:rPr>
          <w:b w:val="0"/>
          <w:bCs/>
        </w:rPr>
        <w:t>Subject to compliance with applicable law, it is intended that the procedure described below shall apply to the redemption of the Ordinary Shares.</w:t>
      </w:r>
    </w:p>
    <w:p w:rsidRPr="00357636" w:rsidR="002E42A5" w:rsidP="001054A4" w:rsidRDefault="002E42A5" w14:paraId="5FDAA999" w14:textId="05F7F5AC">
      <w:pPr>
        <w:pStyle w:val="ListParagraph"/>
        <w:numPr>
          <w:ilvl w:val="0"/>
          <w:numId w:val="0"/>
        </w:numPr>
        <w:autoSpaceDE w:val="0"/>
        <w:autoSpaceDN w:val="0"/>
        <w:adjustRightInd w:val="0"/>
        <w:ind w:left="709"/>
        <w:rPr>
          <w:b w:val="0"/>
          <w:bCs/>
        </w:rPr>
      </w:pPr>
      <w:bookmarkStart w:name="_Hlk188778946" w:id="335"/>
      <w:r w:rsidRPr="00357636">
        <w:rPr>
          <w:b w:val="0"/>
          <w:bCs/>
        </w:rPr>
        <w:t>The Directors shall have absolute discretion to scale back any Redemption Requests, in particular so that aggregate Redemption Requests do not exceed the maximum size of the proposed redemption.</w:t>
      </w:r>
    </w:p>
    <w:bookmarkEnd w:id="335"/>
    <w:p w:rsidRPr="00357636" w:rsidR="001054A4" w:rsidP="007D316D" w:rsidRDefault="001054A4" w14:paraId="77E6F4ED" w14:textId="1B39059F">
      <w:pPr>
        <w:pStyle w:val="ListParagraph"/>
        <w:numPr>
          <w:ilvl w:val="0"/>
          <w:numId w:val="0"/>
        </w:numPr>
        <w:autoSpaceDE w:val="0"/>
        <w:autoSpaceDN w:val="0"/>
        <w:adjustRightInd w:val="0"/>
        <w:ind w:left="709"/>
        <w:rPr>
          <w:b w:val="0"/>
          <w:bCs/>
        </w:rPr>
      </w:pPr>
      <w:r w:rsidRPr="00357636">
        <w:rPr>
          <w:b w:val="0"/>
          <w:bCs/>
        </w:rPr>
        <w:t>Shareholders may request the redemption of all or any of their Ordinary Shares on any Redemption Point.</w:t>
      </w:r>
      <w:r w:rsidRPr="00357636" w:rsidR="007D316D">
        <w:rPr>
          <w:b w:val="0"/>
          <w:bCs/>
        </w:rPr>
        <w:t xml:space="preserve"> </w:t>
      </w:r>
      <w:bookmarkStart w:name="_Hlk188780874" w:id="336"/>
      <w:r w:rsidRPr="00357636" w:rsidR="007D316D">
        <w:rPr>
          <w:b w:val="0"/>
          <w:bCs/>
        </w:rPr>
        <w:t>Upon redemption all Ordinary Shares so redeemed shall be cancelled.</w:t>
      </w:r>
      <w:r w:rsidRPr="00357636" w:rsidR="00834F73">
        <w:rPr>
          <w:b w:val="0"/>
          <w:bCs/>
        </w:rPr>
        <w:t xml:space="preserve"> </w:t>
      </w:r>
      <w:r w:rsidRPr="00357636" w:rsidR="00834F73">
        <w:rPr>
          <w:b w:val="0"/>
        </w:rPr>
        <w:t>The Company will not redeem fractions of Ordinary Shares.</w:t>
      </w:r>
    </w:p>
    <w:bookmarkEnd w:id="336"/>
    <w:p w:rsidRPr="00357636" w:rsidR="001054A4" w:rsidP="001054A4" w:rsidRDefault="001054A4" w14:paraId="724F175D" w14:textId="4D2938FC">
      <w:pPr>
        <w:pStyle w:val="ListParagraph"/>
        <w:numPr>
          <w:ilvl w:val="0"/>
          <w:numId w:val="0"/>
        </w:numPr>
        <w:autoSpaceDE w:val="0"/>
        <w:autoSpaceDN w:val="0"/>
        <w:adjustRightInd w:val="0"/>
        <w:ind w:left="709"/>
        <w:rPr>
          <w:b w:val="0"/>
          <w:bCs/>
        </w:rPr>
      </w:pPr>
      <w:r w:rsidRPr="00357636">
        <w:rPr>
          <w:b w:val="0"/>
          <w:bCs/>
        </w:rPr>
        <w:t xml:space="preserve">The right of Shareholders to request the redemption of all or any of their Ordinary Shares on any Redemption Point may be exercised by the Shareholder delivering to the </w:t>
      </w:r>
      <w:r w:rsidRPr="00357636" w:rsidR="007C2800">
        <w:rPr>
          <w:b w:val="0"/>
          <w:bCs/>
        </w:rPr>
        <w:t>Registrar</w:t>
      </w:r>
      <w:r w:rsidRPr="00357636">
        <w:rPr>
          <w:b w:val="0"/>
          <w:bCs/>
        </w:rPr>
        <w:t xml:space="preserve"> (or to such other person as the Directors may designate for this purpose) a duly completed Redemption Request.</w:t>
      </w:r>
    </w:p>
    <w:p w:rsidRPr="00357636" w:rsidR="001054A4" w:rsidP="001054A4" w:rsidRDefault="001054A4" w14:paraId="5F4040F2" w14:textId="77777777">
      <w:pPr>
        <w:pStyle w:val="ListParagraph"/>
        <w:numPr>
          <w:ilvl w:val="0"/>
          <w:numId w:val="0"/>
        </w:numPr>
        <w:autoSpaceDE w:val="0"/>
        <w:autoSpaceDN w:val="0"/>
        <w:adjustRightInd w:val="0"/>
        <w:ind w:left="709"/>
        <w:rPr>
          <w:b w:val="0"/>
          <w:bCs/>
        </w:rPr>
      </w:pPr>
      <w:bookmarkStart w:name="_Hlk188778920" w:id="337"/>
      <w:r w:rsidRPr="00357636">
        <w:rPr>
          <w:b w:val="0"/>
          <w:bCs/>
        </w:rPr>
        <w:t>A Redemption Request shall be deemed to include a representation and warranty to the Directors that the Ordinary Shares which are the subject of the Redemption Request are free from and clear of all liens, charges and other encumbrances whatsoever.</w:t>
      </w:r>
    </w:p>
    <w:bookmarkEnd w:id="337"/>
    <w:p w:rsidRPr="00357636" w:rsidR="001054A4" w:rsidP="001054A4" w:rsidRDefault="001054A4" w14:paraId="3F086EFD" w14:textId="44914DA3">
      <w:pPr>
        <w:pStyle w:val="ListParagraph"/>
        <w:numPr>
          <w:ilvl w:val="0"/>
          <w:numId w:val="0"/>
        </w:numPr>
        <w:autoSpaceDE w:val="0"/>
        <w:autoSpaceDN w:val="0"/>
        <w:adjustRightInd w:val="0"/>
        <w:ind w:left="709"/>
        <w:rPr>
          <w:b w:val="0"/>
          <w:bCs/>
        </w:rPr>
      </w:pPr>
      <w:r w:rsidRPr="00357636">
        <w:rPr>
          <w:b w:val="0"/>
          <w:bCs/>
        </w:rPr>
        <w:t>Shareholders holding Ordinary Shares in certificated form shall also be required to deliver with the Redemption Request the certificate(s) in respect of the Ordinary Shares which are the subject of the Redemption Request and such other evidence or information as the Directors may request the due execution by him</w:t>
      </w:r>
      <w:r w:rsidRPr="00357636" w:rsidR="00524A7C">
        <w:rPr>
          <w:b w:val="0"/>
          <w:bCs/>
        </w:rPr>
        <w:t>/her</w:t>
      </w:r>
      <w:r w:rsidRPr="00357636">
        <w:rPr>
          <w:b w:val="0"/>
          <w:bCs/>
        </w:rPr>
        <w:t xml:space="preserve"> of the Redemption Request or, if the Redemption Request is executed by some other person on his </w:t>
      </w:r>
      <w:r w:rsidRPr="00357636" w:rsidR="00B43818">
        <w:rPr>
          <w:b w:val="0"/>
          <w:bCs/>
        </w:rPr>
        <w:t xml:space="preserve">or her </w:t>
      </w:r>
      <w:r w:rsidRPr="00357636">
        <w:rPr>
          <w:b w:val="0"/>
          <w:bCs/>
        </w:rPr>
        <w:t>behalf, the authority of that other person to do so. Redemption Request forms for Shareholders who have lost or damaged their share certificates will be available upon request from the Registrar.</w:t>
      </w:r>
    </w:p>
    <w:p w:rsidRPr="00357636" w:rsidR="001054A4" w:rsidP="001054A4" w:rsidRDefault="001054A4" w14:paraId="4196A90A" w14:textId="33056826">
      <w:pPr>
        <w:pStyle w:val="ListParagraph"/>
        <w:numPr>
          <w:ilvl w:val="0"/>
          <w:numId w:val="0"/>
        </w:numPr>
        <w:autoSpaceDE w:val="0"/>
        <w:autoSpaceDN w:val="0"/>
        <w:adjustRightInd w:val="0"/>
        <w:ind w:left="709"/>
        <w:rPr>
          <w:b w:val="0"/>
          <w:bCs/>
        </w:rPr>
      </w:pPr>
      <w:bookmarkStart w:name="_Hlk188778336" w:id="338"/>
      <w:r w:rsidRPr="00357636">
        <w:rPr>
          <w:b w:val="0"/>
          <w:bCs/>
        </w:rPr>
        <w:t xml:space="preserve">Shareholders holding Ordinary Shares in uncertificated form (that is, in CREST) must send a properly authenticated Transfer to Escrow ("TTE") instruction to </w:t>
      </w:r>
      <w:proofErr w:type="gramStart"/>
      <w:r w:rsidRPr="00357636">
        <w:rPr>
          <w:b w:val="0"/>
          <w:bCs/>
        </w:rPr>
        <w:t>effect</w:t>
      </w:r>
      <w:proofErr w:type="gramEnd"/>
      <w:r w:rsidRPr="00357636">
        <w:rPr>
          <w:b w:val="0"/>
          <w:bCs/>
        </w:rPr>
        <w:t xml:space="preserve"> the transfer of the number of Ordinary Shares which the Shareholder wishes to redeem from his </w:t>
      </w:r>
      <w:r w:rsidRPr="00357636" w:rsidR="00B43818">
        <w:rPr>
          <w:b w:val="0"/>
          <w:bCs/>
        </w:rPr>
        <w:t xml:space="preserve">or her </w:t>
      </w:r>
      <w:r w:rsidRPr="00357636">
        <w:rPr>
          <w:b w:val="0"/>
          <w:bCs/>
        </w:rPr>
        <w:t>CREST account to the Re</w:t>
      </w:r>
      <w:r w:rsidRPr="00357636" w:rsidR="007C2800">
        <w:rPr>
          <w:b w:val="0"/>
          <w:bCs/>
        </w:rPr>
        <w:t>gistrar</w:t>
      </w:r>
      <w:r w:rsidRPr="00357636">
        <w:rPr>
          <w:b w:val="0"/>
          <w:bCs/>
        </w:rPr>
        <w:t xml:space="preserve">'s specified CREST account, together with such other evidence or information as the Directors may request. The TTE must be </w:t>
      </w:r>
      <w:proofErr w:type="gramStart"/>
      <w:r w:rsidRPr="00357636">
        <w:rPr>
          <w:b w:val="0"/>
          <w:bCs/>
        </w:rPr>
        <w:t>effected</w:t>
      </w:r>
      <w:proofErr w:type="gramEnd"/>
      <w:r w:rsidRPr="00357636">
        <w:rPr>
          <w:b w:val="0"/>
          <w:bCs/>
        </w:rPr>
        <w:t xml:space="preserve"> no later than 1.00 p.m. on the day falling 20 Business Days before the relevant Redemption Point. Such transfers of Ordinary Shares shall be at the risk and the expense of the relevant Shareholder. Following the TTE and pending redemption of all or part of the Ordinary Shares, Shareholders shall not be entitled to dispose of, encumber, charge or deal in any way whatsoever with the Ordinary Shares which have been so transferred except in the circumstances described below. In order for a TTE instruction to be valid, it will need to comply with the requirements set out in paragraph 6 of this Part </w:t>
      </w:r>
      <w:r w:rsidRPr="00357636" w:rsidR="00272A9D">
        <w:rPr>
          <w:b w:val="0"/>
          <w:bCs/>
        </w:rPr>
        <w:t>9</w:t>
      </w:r>
      <w:r w:rsidRPr="00357636">
        <w:rPr>
          <w:b w:val="0"/>
          <w:bCs/>
        </w:rPr>
        <w:t>.</w:t>
      </w:r>
      <w:bookmarkEnd w:id="338"/>
    </w:p>
    <w:p w:rsidRPr="00357636" w:rsidR="001054A4" w:rsidP="001054A4" w:rsidRDefault="001054A4" w14:paraId="4BDFC943" w14:textId="7281BBA7">
      <w:pPr>
        <w:pStyle w:val="ListParagraph"/>
        <w:numPr>
          <w:ilvl w:val="0"/>
          <w:numId w:val="0"/>
        </w:numPr>
        <w:autoSpaceDE w:val="0"/>
        <w:autoSpaceDN w:val="0"/>
        <w:adjustRightInd w:val="0"/>
        <w:ind w:left="709"/>
        <w:rPr>
          <w:b w:val="0"/>
          <w:bCs/>
        </w:rPr>
      </w:pPr>
      <w:r w:rsidRPr="00357636">
        <w:rPr>
          <w:b w:val="0"/>
          <w:bCs/>
        </w:rPr>
        <w:t xml:space="preserve">Redemption Requests for Ordinary Shares held in certificated or uncertificated form shall not be valid (unless the Company otherwise agrees) unless they are received by the </w:t>
      </w:r>
      <w:r w:rsidRPr="00357636" w:rsidR="007C2800">
        <w:rPr>
          <w:b w:val="0"/>
          <w:bCs/>
        </w:rPr>
        <w:t>Registrar</w:t>
      </w:r>
      <w:r w:rsidRPr="00357636">
        <w:rPr>
          <w:b w:val="0"/>
          <w:bCs/>
        </w:rPr>
        <w:t xml:space="preserve"> not later than 20 Business Days before the relevant Redemption Point.</w:t>
      </w:r>
    </w:p>
    <w:p w:rsidRPr="00357636" w:rsidR="001054A4" w:rsidP="001054A4" w:rsidRDefault="001054A4" w14:paraId="6338E701" w14:textId="77777777">
      <w:pPr>
        <w:pStyle w:val="ListParagraph"/>
        <w:numPr>
          <w:ilvl w:val="0"/>
          <w:numId w:val="0"/>
        </w:numPr>
        <w:autoSpaceDE w:val="0"/>
        <w:autoSpaceDN w:val="0"/>
        <w:adjustRightInd w:val="0"/>
        <w:ind w:left="709"/>
        <w:rPr>
          <w:b w:val="0"/>
          <w:bCs/>
        </w:rPr>
      </w:pPr>
      <w:bookmarkStart w:name="_Hlk188778670" w:id="339"/>
      <w:r w:rsidRPr="00357636">
        <w:rPr>
          <w:b w:val="0"/>
          <w:bCs/>
        </w:rPr>
        <w:t>Other than during any period of suspension of trading of the Ordinary Shares or during any period when the calculation of the Net Asset Value is suspended, a Redemption Request once given may not be withdrawn otherwise than with the prior consent of the Company (which the Directors shall be entitled in their absolute discretion to withhold), but shall only be deemed to have effect in relation to the next Redemption Point following its valid delivery and receipt and not in relation to any subsequent Redemption Point.</w:t>
      </w:r>
      <w:bookmarkEnd w:id="339"/>
    </w:p>
    <w:p w:rsidRPr="00357636" w:rsidR="001054A4" w:rsidP="001054A4" w:rsidRDefault="001054A4" w14:paraId="1902FF23" w14:textId="4CF0B095">
      <w:pPr>
        <w:pStyle w:val="ListParagraph"/>
        <w:numPr>
          <w:ilvl w:val="0"/>
          <w:numId w:val="0"/>
        </w:numPr>
        <w:autoSpaceDE w:val="0"/>
        <w:autoSpaceDN w:val="0"/>
        <w:adjustRightInd w:val="0"/>
        <w:ind w:left="709"/>
        <w:rPr>
          <w:b w:val="0"/>
          <w:bCs/>
        </w:rPr>
      </w:pPr>
      <w:bookmarkStart w:name="_Hlk188778770" w:id="340"/>
      <w:r w:rsidRPr="00357636">
        <w:rPr>
          <w:b w:val="0"/>
          <w:bCs/>
        </w:rPr>
        <w:lastRenderedPageBreak/>
        <w:t>During any period of suspension of trading of the Ordinary Shares or during any period when the calculation of the Net Asset Value is suspended an applicant may, by notice in writing, withdraw his</w:t>
      </w:r>
      <w:r w:rsidRPr="00357636" w:rsidR="00B43818">
        <w:rPr>
          <w:b w:val="0"/>
          <w:bCs/>
        </w:rPr>
        <w:t xml:space="preserve"> or her</w:t>
      </w:r>
      <w:r w:rsidRPr="00357636">
        <w:rPr>
          <w:b w:val="0"/>
          <w:bCs/>
        </w:rPr>
        <w:t xml:space="preserve"> Redemption Request. If the request is not withdrawn it shall have effect, subject to the Directors' discretion, on the Redemption Point immediately following the date on which trading of the Ordinary Shares or calculation of the Net Asset Value, as appropriate, ceases to be suspended.</w:t>
      </w:r>
    </w:p>
    <w:p w:rsidRPr="00357636" w:rsidR="001054A4" w:rsidP="001054A4" w:rsidRDefault="001054A4" w14:paraId="2302992A" w14:textId="77777777">
      <w:pPr>
        <w:pStyle w:val="ListParagraph"/>
        <w:numPr>
          <w:ilvl w:val="0"/>
          <w:numId w:val="0"/>
        </w:numPr>
        <w:autoSpaceDE w:val="0"/>
        <w:autoSpaceDN w:val="0"/>
        <w:adjustRightInd w:val="0"/>
        <w:ind w:left="709"/>
        <w:rPr>
          <w:b w:val="0"/>
          <w:bCs/>
        </w:rPr>
      </w:pPr>
      <w:bookmarkStart w:name="_Hlk188778972" w:id="341"/>
      <w:bookmarkEnd w:id="340"/>
      <w:r w:rsidRPr="00357636">
        <w:rPr>
          <w:b w:val="0"/>
          <w:bCs/>
        </w:rPr>
        <w:t>The Directors reserve the right to treat as valid Redemption Requests which are not entirely in order and which are not accompanied (in the case of Ordinary Shares held in certificated form) by the relevant share certificate(s) and/or other document(s) of title or a satisfactory indemnity in lieu thereof and shall be entitled (in their sole discretion) to accept late Redemption Requests.</w:t>
      </w:r>
    </w:p>
    <w:bookmarkEnd w:id="341"/>
    <w:p w:rsidRPr="00357636" w:rsidR="001054A4" w:rsidP="00565AD4" w:rsidRDefault="001054A4" w14:paraId="35BAA39F" w14:textId="77777777">
      <w:pPr>
        <w:pStyle w:val="1style"/>
        <w:numPr>
          <w:ilvl w:val="0"/>
          <w:numId w:val="59"/>
        </w:numPr>
        <w:jc w:val="left"/>
        <w:rPr>
          <w:rFonts w:ascii="Arial" w:hAnsi="Arial"/>
        </w:rPr>
      </w:pPr>
      <w:r w:rsidRPr="00357636">
        <w:rPr>
          <w:rFonts w:ascii="Arial" w:hAnsi="Arial"/>
        </w:rPr>
        <w:t>Directors' Discretion</w:t>
      </w:r>
    </w:p>
    <w:p w:rsidRPr="00357636" w:rsidR="001054A4" w:rsidP="001054A4" w:rsidRDefault="001054A4" w14:paraId="5423C98D" w14:textId="230C83E3">
      <w:pPr>
        <w:pStyle w:val="ListParagraph"/>
        <w:numPr>
          <w:ilvl w:val="0"/>
          <w:numId w:val="0"/>
        </w:numPr>
        <w:autoSpaceDE w:val="0"/>
        <w:autoSpaceDN w:val="0"/>
        <w:adjustRightInd w:val="0"/>
        <w:ind w:left="709"/>
        <w:rPr>
          <w:b w:val="0"/>
          <w:bCs/>
        </w:rPr>
      </w:pPr>
      <w:r w:rsidRPr="00357636">
        <w:rPr>
          <w:b w:val="0"/>
          <w:bCs/>
        </w:rPr>
        <w:t xml:space="preserve">Shareholders should note that the Directors have absolute discretion to operate the </w:t>
      </w:r>
      <w:r w:rsidRPr="00357636" w:rsidR="00AA24CD">
        <w:rPr>
          <w:b w:val="0"/>
          <w:bCs/>
        </w:rPr>
        <w:t>R</w:t>
      </w:r>
      <w:r w:rsidRPr="00357636">
        <w:rPr>
          <w:b w:val="0"/>
          <w:bCs/>
        </w:rPr>
        <w:t xml:space="preserve">edemption </w:t>
      </w:r>
      <w:r w:rsidRPr="00357636" w:rsidR="00AA24CD">
        <w:rPr>
          <w:b w:val="0"/>
          <w:bCs/>
        </w:rPr>
        <w:t>Mechanism</w:t>
      </w:r>
      <w:r w:rsidRPr="00357636">
        <w:rPr>
          <w:b w:val="0"/>
          <w:bCs/>
        </w:rPr>
        <w:t xml:space="preserve">. </w:t>
      </w:r>
      <w:r w:rsidRPr="00357636" w:rsidR="00272A9D">
        <w:rPr>
          <w:b w:val="0"/>
          <w:bCs/>
        </w:rPr>
        <w:t>E</w:t>
      </w:r>
      <w:r w:rsidRPr="00357636">
        <w:rPr>
          <w:b w:val="0"/>
          <w:bCs/>
        </w:rPr>
        <w:t xml:space="preserve">xisting and prospective Shareholders should place no reliance on the Directors exercising their discretion to operate the </w:t>
      </w:r>
      <w:r w:rsidRPr="00357636" w:rsidR="00AA24CD">
        <w:rPr>
          <w:b w:val="0"/>
          <w:bCs/>
        </w:rPr>
        <w:t>R</w:t>
      </w:r>
      <w:r w:rsidRPr="00357636">
        <w:rPr>
          <w:b w:val="0"/>
          <w:bCs/>
        </w:rPr>
        <w:t xml:space="preserve">edemption </w:t>
      </w:r>
      <w:r w:rsidRPr="00357636" w:rsidR="00AA24CD">
        <w:rPr>
          <w:b w:val="0"/>
          <w:bCs/>
        </w:rPr>
        <w:t>Mechanism</w:t>
      </w:r>
      <w:r w:rsidRPr="00357636">
        <w:rPr>
          <w:b w:val="0"/>
          <w:bCs/>
        </w:rPr>
        <w:t xml:space="preserve"> at any particular</w:t>
      </w:r>
      <w:r w:rsidRPr="00357636" w:rsidR="00272A9D">
        <w:rPr>
          <w:b w:val="0"/>
          <w:bCs/>
        </w:rPr>
        <w:t xml:space="preserve"> time</w:t>
      </w:r>
      <w:r w:rsidRPr="00357636">
        <w:rPr>
          <w:b w:val="0"/>
          <w:bCs/>
        </w:rPr>
        <w:t xml:space="preserve">. In addition, the Directors will have discretion to reject </w:t>
      </w:r>
      <w:r w:rsidRPr="00357636" w:rsidR="007D316D">
        <w:rPr>
          <w:b w:val="0"/>
          <w:bCs/>
        </w:rPr>
        <w:t xml:space="preserve">and/or scale back </w:t>
      </w:r>
      <w:r w:rsidRPr="00357636">
        <w:rPr>
          <w:b w:val="0"/>
          <w:bCs/>
        </w:rPr>
        <w:t>individual Redemption Requests. The Directors' determination as to whether to permit or decline a Redemption Request (in whole or in part), together with their reasoning for their decision, will be documented. In the event that the Directors decline Redemption Requests for a particular Redemption Point, the Directors may propose an additional Redemption Point at their absolute discretion.</w:t>
      </w:r>
    </w:p>
    <w:p w:rsidRPr="00357636" w:rsidR="00834F73" w:rsidP="001054A4" w:rsidRDefault="00834F73" w14:paraId="13E3F5DA" w14:textId="72B1E733">
      <w:pPr>
        <w:pStyle w:val="ListParagraph"/>
        <w:numPr>
          <w:ilvl w:val="0"/>
          <w:numId w:val="0"/>
        </w:numPr>
        <w:autoSpaceDE w:val="0"/>
        <w:autoSpaceDN w:val="0"/>
        <w:adjustRightInd w:val="0"/>
        <w:ind w:left="709"/>
        <w:rPr>
          <w:b w:val="0"/>
          <w:bCs/>
        </w:rPr>
      </w:pPr>
      <w:bookmarkStart w:name="_Hlk188779012" w:id="342"/>
      <w:r w:rsidRPr="00357636">
        <w:rPr>
          <w:b w:val="0"/>
          <w:bCs/>
          <w:iCs/>
          <w:spacing w:val="-2"/>
          <w:szCs w:val="16"/>
        </w:rPr>
        <w:t>The Directors shall have such authority and power to take all such steps, including the execution of documents on behalf of Shareholders, as they may consider, in their discretion, necessary to implement any redemption of Ordinary Shares.</w:t>
      </w:r>
    </w:p>
    <w:bookmarkEnd w:id="342"/>
    <w:p w:rsidRPr="00357636" w:rsidR="00D8094B" w:rsidP="001054A4" w:rsidRDefault="00D8094B" w14:paraId="35C396D0" w14:textId="278A4ECF">
      <w:pPr>
        <w:pStyle w:val="ListParagraph"/>
        <w:numPr>
          <w:ilvl w:val="0"/>
          <w:numId w:val="0"/>
        </w:numPr>
        <w:autoSpaceDE w:val="0"/>
        <w:autoSpaceDN w:val="0"/>
        <w:adjustRightInd w:val="0"/>
        <w:ind w:left="709"/>
        <w:rPr>
          <w:b w:val="0"/>
          <w:bCs/>
        </w:rPr>
      </w:pPr>
      <w:r w:rsidRPr="00357636">
        <w:rPr>
          <w:b w:val="0"/>
          <w:bCs/>
        </w:rPr>
        <w:t>The operation of the Redemption Mechanism shall at all times be subject to the ability of the Directors to make the solvency statement required by the Companies Law.</w:t>
      </w:r>
    </w:p>
    <w:p w:rsidRPr="00357636" w:rsidR="001054A4" w:rsidP="00565AD4" w:rsidRDefault="001054A4" w14:paraId="75636941" w14:textId="77777777">
      <w:pPr>
        <w:pStyle w:val="1style"/>
        <w:numPr>
          <w:ilvl w:val="0"/>
          <w:numId w:val="59"/>
        </w:numPr>
        <w:jc w:val="left"/>
        <w:rPr>
          <w:rFonts w:ascii="Arial" w:hAnsi="Arial"/>
        </w:rPr>
      </w:pPr>
      <w:r w:rsidRPr="00357636">
        <w:rPr>
          <w:rFonts w:ascii="Arial" w:hAnsi="Arial"/>
        </w:rPr>
        <w:t>Redemption Price</w:t>
      </w:r>
    </w:p>
    <w:p w:rsidRPr="00357636" w:rsidR="00BD0C92" w:rsidP="00BD0C92" w:rsidRDefault="001054A4" w14:paraId="25AE6255" w14:textId="5E38F7E7">
      <w:pPr>
        <w:autoSpaceDE w:val="0"/>
        <w:autoSpaceDN w:val="0"/>
        <w:adjustRightInd w:val="0"/>
        <w:ind w:left="709"/>
        <w:rPr>
          <w:bCs/>
        </w:rPr>
      </w:pPr>
      <w:bookmarkStart w:name="_Hlk188779106" w:id="343"/>
      <w:r w:rsidRPr="00357636">
        <w:rPr>
          <w:bCs/>
        </w:rPr>
        <w:t xml:space="preserve">The Redemption Price shall be equal to the </w:t>
      </w:r>
      <w:r w:rsidRPr="00FE1B3B" w:rsidR="00FE1B3B">
        <w:rPr>
          <w:bCs/>
        </w:rPr>
        <w:t xml:space="preserve">prevailing published Net Asset Value per Ordinary Share (audited or unaudited) </w:t>
      </w:r>
      <w:r w:rsidRPr="00357636" w:rsidR="00BD0C92">
        <w:rPr>
          <w:bCs/>
        </w:rPr>
        <w:t xml:space="preserve">less 2 per cent. </w:t>
      </w:r>
      <w:r w:rsidRPr="00357636">
        <w:rPr>
          <w:bCs/>
        </w:rPr>
        <w:t>calculated as at the appropriate Valuation Point</w:t>
      </w:r>
      <w:r w:rsidRPr="00357636" w:rsidR="00BD0C92">
        <w:rPr>
          <w:bCs/>
        </w:rPr>
        <w:t>.</w:t>
      </w:r>
      <w:r w:rsidRPr="00357636">
        <w:rPr>
          <w:bCs/>
        </w:rPr>
        <w:t xml:space="preserve"> </w:t>
      </w:r>
      <w:r w:rsidRPr="00357636" w:rsidR="00BD0C92">
        <w:rPr>
          <w:bCs/>
        </w:rPr>
        <w:t>The Redemption Price shall be expressed in Sterling.</w:t>
      </w:r>
    </w:p>
    <w:bookmarkEnd w:id="343"/>
    <w:p w:rsidRPr="00357636" w:rsidR="001054A4" w:rsidP="00565AD4" w:rsidRDefault="001054A4" w14:paraId="738F0230" w14:textId="77777777">
      <w:pPr>
        <w:pStyle w:val="1style"/>
        <w:numPr>
          <w:ilvl w:val="0"/>
          <w:numId w:val="59"/>
        </w:numPr>
        <w:jc w:val="left"/>
        <w:rPr>
          <w:rFonts w:ascii="Arial" w:hAnsi="Arial"/>
        </w:rPr>
      </w:pPr>
      <w:r w:rsidRPr="00357636">
        <w:rPr>
          <w:rFonts w:ascii="Arial" w:hAnsi="Arial"/>
        </w:rPr>
        <w:t>Settlement of Redemption Requests</w:t>
      </w:r>
    </w:p>
    <w:p w:rsidRPr="00357636" w:rsidR="00141FAE" w:rsidP="001054A4" w:rsidRDefault="00141FAE" w14:paraId="5D8B657A" w14:textId="6BC22A97">
      <w:pPr>
        <w:pStyle w:val="ListParagraph"/>
        <w:numPr>
          <w:ilvl w:val="0"/>
          <w:numId w:val="0"/>
        </w:numPr>
        <w:autoSpaceDE w:val="0"/>
        <w:autoSpaceDN w:val="0"/>
        <w:adjustRightInd w:val="0"/>
        <w:ind w:left="709"/>
        <w:rPr>
          <w:b w:val="0"/>
          <w:bCs/>
        </w:rPr>
      </w:pPr>
      <w:r w:rsidRPr="00357636">
        <w:rPr>
          <w:b w:val="0"/>
        </w:rPr>
        <w:t>Redemptions accepted by the Company will take effect on the relevant Redemption Point.</w:t>
      </w:r>
    </w:p>
    <w:p w:rsidRPr="00357636" w:rsidR="001054A4" w:rsidP="001054A4" w:rsidRDefault="001054A4" w14:paraId="36CBC450" w14:textId="19159B5A">
      <w:pPr>
        <w:pStyle w:val="ListParagraph"/>
        <w:numPr>
          <w:ilvl w:val="0"/>
          <w:numId w:val="0"/>
        </w:numPr>
        <w:autoSpaceDE w:val="0"/>
        <w:autoSpaceDN w:val="0"/>
        <w:adjustRightInd w:val="0"/>
        <w:ind w:left="709"/>
        <w:rPr>
          <w:b w:val="0"/>
          <w:bCs/>
        </w:rPr>
      </w:pPr>
      <w:bookmarkStart w:name="_Hlk188779154" w:id="344"/>
      <w:r w:rsidRPr="00357636">
        <w:rPr>
          <w:b w:val="0"/>
          <w:bCs/>
        </w:rPr>
        <w:t>Payment of the Redemption Price in respect of any Ordinary Shares</w:t>
      </w:r>
      <w:r w:rsidR="00566F85">
        <w:rPr>
          <w:b w:val="0"/>
          <w:bCs/>
        </w:rPr>
        <w:t xml:space="preserve"> held</w:t>
      </w:r>
      <w:r w:rsidRPr="00357636">
        <w:rPr>
          <w:b w:val="0"/>
          <w:bCs/>
        </w:rPr>
        <w:t xml:space="preserve"> in certificated form will be made by cheque made payable to the relevant Shareholder</w:t>
      </w:r>
      <w:r w:rsidR="00140536">
        <w:rPr>
          <w:b w:val="0"/>
          <w:bCs/>
        </w:rPr>
        <w:t xml:space="preserve"> (</w:t>
      </w:r>
      <w:r w:rsidRPr="00357636">
        <w:rPr>
          <w:b w:val="0"/>
          <w:bCs/>
        </w:rPr>
        <w:t>or</w:t>
      </w:r>
      <w:r w:rsidR="00140536">
        <w:rPr>
          <w:b w:val="0"/>
          <w:bCs/>
        </w:rPr>
        <w:t>,</w:t>
      </w:r>
      <w:r w:rsidRPr="00357636">
        <w:rPr>
          <w:b w:val="0"/>
          <w:bCs/>
        </w:rPr>
        <w:t xml:space="preserve"> in the case of joint holders, to </w:t>
      </w:r>
      <w:r w:rsidR="00140536">
        <w:rPr>
          <w:b w:val="0"/>
          <w:bCs/>
        </w:rPr>
        <w:t>the holder whose name stands first in the register of members)</w:t>
      </w:r>
      <w:r w:rsidRPr="00357636">
        <w:rPr>
          <w:b w:val="0"/>
          <w:bCs/>
        </w:rPr>
        <w:t>, to the address as entered in the register of members in respect of such Ordinary Shares</w:t>
      </w:r>
      <w:r w:rsidRPr="00357636" w:rsidR="00141FAE">
        <w:rPr>
          <w:b w:val="0"/>
          <w:bCs/>
        </w:rPr>
        <w:t xml:space="preserve"> within </w:t>
      </w:r>
      <w:r w:rsidRPr="00357636" w:rsidR="000F565A">
        <w:rPr>
          <w:b w:val="0"/>
          <w:bCs/>
        </w:rPr>
        <w:t>10</w:t>
      </w:r>
      <w:r w:rsidRPr="00357636" w:rsidR="00141FAE">
        <w:rPr>
          <w:b w:val="0"/>
          <w:bCs/>
        </w:rPr>
        <w:t xml:space="preserve"> Business Days after the relevant Redemption Point</w:t>
      </w:r>
      <w:r w:rsidRPr="00357636">
        <w:rPr>
          <w:b w:val="0"/>
          <w:bCs/>
        </w:rPr>
        <w:t>. Due payment of the cheque shall be in satisfaction of the Redemption Price represented thereby. Every such cheque which is sent through the post shall be sent by first class post (at the risk of the relevant Shareholder).</w:t>
      </w:r>
    </w:p>
    <w:p w:rsidRPr="00357636" w:rsidR="001054A4" w:rsidP="001054A4" w:rsidRDefault="001054A4" w14:paraId="4236EF67" w14:textId="7C541620">
      <w:pPr>
        <w:pStyle w:val="ListParagraph"/>
        <w:numPr>
          <w:ilvl w:val="0"/>
          <w:numId w:val="0"/>
        </w:numPr>
        <w:autoSpaceDE w:val="0"/>
        <w:autoSpaceDN w:val="0"/>
        <w:adjustRightInd w:val="0"/>
        <w:ind w:left="709"/>
        <w:rPr>
          <w:b w:val="0"/>
          <w:bCs/>
        </w:rPr>
      </w:pPr>
      <w:bookmarkStart w:name="_Hlk188779215" w:id="345"/>
      <w:bookmarkEnd w:id="344"/>
      <w:r w:rsidRPr="00357636">
        <w:rPr>
          <w:b w:val="0"/>
          <w:bCs/>
        </w:rPr>
        <w:t>The Company shall procure that in relation to any Ordinary Shares held in certificated form which have not been redeemed, a balance certificate in respect of such number of unredeemed Ordinary Shares shall be sent (at the risk of the Shareholder) to the Shareholder</w:t>
      </w:r>
      <w:r w:rsidR="00140536">
        <w:rPr>
          <w:b w:val="0"/>
          <w:bCs/>
        </w:rPr>
        <w:t xml:space="preserve"> (</w:t>
      </w:r>
      <w:r w:rsidRPr="00357636">
        <w:rPr>
          <w:b w:val="0"/>
          <w:bCs/>
        </w:rPr>
        <w:t>or</w:t>
      </w:r>
      <w:r w:rsidR="00140536">
        <w:rPr>
          <w:b w:val="0"/>
          <w:bCs/>
        </w:rPr>
        <w:t>,</w:t>
      </w:r>
      <w:r w:rsidRPr="00357636">
        <w:rPr>
          <w:b w:val="0"/>
          <w:bCs/>
        </w:rPr>
        <w:t xml:space="preserve"> in the case of joint holders, to </w:t>
      </w:r>
      <w:r w:rsidR="00140536">
        <w:rPr>
          <w:b w:val="0"/>
          <w:bCs/>
        </w:rPr>
        <w:t>the holder whose name stands first in the register of members)</w:t>
      </w:r>
      <w:r w:rsidRPr="00357636">
        <w:rPr>
          <w:b w:val="0"/>
          <w:bCs/>
        </w:rPr>
        <w:t xml:space="preserve">, to the address as entered in the register of members within </w:t>
      </w:r>
      <w:r w:rsidRPr="00357636" w:rsidR="000F565A">
        <w:rPr>
          <w:b w:val="0"/>
          <w:bCs/>
        </w:rPr>
        <w:t>10</w:t>
      </w:r>
      <w:r w:rsidRPr="00357636">
        <w:rPr>
          <w:b w:val="0"/>
          <w:bCs/>
        </w:rPr>
        <w:t xml:space="preserve"> Business Days after the relevant Redemption Point.</w:t>
      </w:r>
    </w:p>
    <w:p w:rsidRPr="00357636" w:rsidR="001054A4" w:rsidP="001054A4" w:rsidRDefault="001054A4" w14:paraId="508B210D" w14:textId="40E1C2C9">
      <w:pPr>
        <w:pStyle w:val="ListParagraph"/>
        <w:numPr>
          <w:ilvl w:val="0"/>
          <w:numId w:val="0"/>
        </w:numPr>
        <w:autoSpaceDE w:val="0"/>
        <w:autoSpaceDN w:val="0"/>
        <w:adjustRightInd w:val="0"/>
        <w:ind w:left="709"/>
        <w:rPr>
          <w:b w:val="0"/>
          <w:bCs/>
        </w:rPr>
      </w:pPr>
      <w:bookmarkStart w:name="_Hlk188779335" w:id="346"/>
      <w:bookmarkEnd w:id="345"/>
      <w:r w:rsidRPr="00357636">
        <w:rPr>
          <w:b w:val="0"/>
          <w:bCs/>
        </w:rPr>
        <w:t xml:space="preserve">Each payment in respect of Ordinary Shares held in </w:t>
      </w:r>
      <w:r w:rsidR="00566F85">
        <w:rPr>
          <w:b w:val="0"/>
          <w:bCs/>
        </w:rPr>
        <w:t>uncertificated</w:t>
      </w:r>
      <w:r w:rsidRPr="00357636" w:rsidR="00566F85">
        <w:rPr>
          <w:b w:val="0"/>
          <w:bCs/>
        </w:rPr>
        <w:t xml:space="preserve"> </w:t>
      </w:r>
      <w:r w:rsidRPr="00357636">
        <w:rPr>
          <w:b w:val="0"/>
          <w:bCs/>
        </w:rPr>
        <w:t>form will take place through CREST by means of a CREST payment in favour of the relevant Shareholder's payment bank in respect of the redemption monies due, in accordance with the CRE</w:t>
      </w:r>
      <w:r w:rsidRPr="00357636" w:rsidR="006757CE">
        <w:rPr>
          <w:b w:val="0"/>
          <w:bCs/>
        </w:rPr>
        <w:t>ST</w:t>
      </w:r>
      <w:r w:rsidRPr="00357636">
        <w:rPr>
          <w:b w:val="0"/>
          <w:bCs/>
        </w:rPr>
        <w:t xml:space="preserve"> payment arrangements</w:t>
      </w:r>
      <w:r w:rsidRPr="00357636" w:rsidR="000F565A">
        <w:rPr>
          <w:b w:val="0"/>
          <w:bCs/>
        </w:rPr>
        <w:t>, within 10 Business Days after the relevant Redemption Point</w:t>
      </w:r>
      <w:r w:rsidRPr="00357636">
        <w:rPr>
          <w:b w:val="0"/>
          <w:bCs/>
        </w:rPr>
        <w:t>.</w:t>
      </w:r>
    </w:p>
    <w:p w:rsidRPr="00357636" w:rsidR="001054A4" w:rsidP="001054A4" w:rsidRDefault="001054A4" w14:paraId="047FD960" w14:textId="4FD21C78">
      <w:pPr>
        <w:pStyle w:val="ListParagraph"/>
        <w:numPr>
          <w:ilvl w:val="0"/>
          <w:numId w:val="0"/>
        </w:numPr>
        <w:autoSpaceDE w:val="0"/>
        <w:autoSpaceDN w:val="0"/>
        <w:adjustRightInd w:val="0"/>
        <w:ind w:left="709"/>
        <w:rPr>
          <w:b w:val="0"/>
          <w:bCs/>
        </w:rPr>
      </w:pPr>
      <w:bookmarkStart w:name="_Hlk188779407" w:id="347"/>
      <w:bookmarkEnd w:id="346"/>
      <w:r w:rsidRPr="00357636">
        <w:rPr>
          <w:b w:val="0"/>
          <w:bCs/>
        </w:rPr>
        <w:t>If the Directors exercise their discretion not to redeem all or any of the Ordinary Shares which are the subject of a Redemption Request, the Company shall procure that in relation to Ordinary Shares held in uncertif</w:t>
      </w:r>
      <w:r w:rsidRPr="00357636" w:rsidR="000F565A">
        <w:rPr>
          <w:b w:val="0"/>
          <w:bCs/>
        </w:rPr>
        <w:t>icated</w:t>
      </w:r>
      <w:r w:rsidRPr="00357636">
        <w:rPr>
          <w:b w:val="0"/>
          <w:bCs/>
        </w:rPr>
        <w:t xml:space="preserve"> form which have not been redeemed the Re</w:t>
      </w:r>
      <w:r w:rsidRPr="00357636" w:rsidR="006757CE">
        <w:rPr>
          <w:b w:val="0"/>
          <w:bCs/>
        </w:rPr>
        <w:t>gistrar</w:t>
      </w:r>
      <w:r w:rsidRPr="00357636">
        <w:rPr>
          <w:b w:val="0"/>
          <w:bCs/>
        </w:rPr>
        <w:t xml:space="preserve"> will, </w:t>
      </w:r>
      <w:r w:rsidRPr="00357636" w:rsidR="000F565A">
        <w:rPr>
          <w:b w:val="0"/>
          <w:bCs/>
        </w:rPr>
        <w:t>within 10 Business Days after the relevant Redemption Point</w:t>
      </w:r>
      <w:r w:rsidRPr="00357636">
        <w:rPr>
          <w:b w:val="0"/>
          <w:bCs/>
        </w:rPr>
        <w:t xml:space="preserve">, transfer by means of a </w:t>
      </w:r>
      <w:r w:rsidRPr="00357636" w:rsidR="00834F73">
        <w:rPr>
          <w:b w:val="0"/>
          <w:bCs/>
        </w:rPr>
        <w:t>Transfer from Escrow ("</w:t>
      </w:r>
      <w:r w:rsidRPr="00140536">
        <w:t>TFE</w:t>
      </w:r>
      <w:r w:rsidRPr="00357636" w:rsidR="00834F73">
        <w:rPr>
          <w:b w:val="0"/>
          <w:bCs/>
        </w:rPr>
        <w:t>")</w:t>
      </w:r>
      <w:r w:rsidRPr="00357636">
        <w:rPr>
          <w:b w:val="0"/>
          <w:bCs/>
        </w:rPr>
        <w:t xml:space="preserve"> </w:t>
      </w:r>
      <w:r w:rsidRPr="00357636" w:rsidR="00834F73">
        <w:rPr>
          <w:b w:val="0"/>
          <w:bCs/>
        </w:rPr>
        <w:lastRenderedPageBreak/>
        <w:t>i</w:t>
      </w:r>
      <w:r w:rsidRPr="00357636">
        <w:rPr>
          <w:b w:val="0"/>
          <w:bCs/>
        </w:rPr>
        <w:t>nstruction such Ordinary Shares to the original available balance from which those Ordinary Shares came.</w:t>
      </w:r>
    </w:p>
    <w:p w:rsidRPr="00357636" w:rsidR="00241B1F" w:rsidP="00241B1F" w:rsidRDefault="00241B1F" w14:paraId="23C76C36" w14:textId="77777777">
      <w:pPr>
        <w:pStyle w:val="ListParagraph"/>
        <w:numPr>
          <w:ilvl w:val="0"/>
          <w:numId w:val="0"/>
        </w:numPr>
        <w:autoSpaceDE w:val="0"/>
        <w:autoSpaceDN w:val="0"/>
        <w:adjustRightInd w:val="0"/>
        <w:ind w:left="709"/>
        <w:rPr>
          <w:b w:val="0"/>
          <w:bCs/>
        </w:rPr>
      </w:pPr>
      <w:bookmarkStart w:name="_Hlk188779504" w:id="348"/>
      <w:bookmarkEnd w:id="347"/>
      <w:r w:rsidRPr="00357636">
        <w:rPr>
          <w:b w:val="0"/>
          <w:bCs/>
        </w:rPr>
        <w:t>The Company shall not be liable for any loss or damage suffered or incurred by any Shareholder or other person as a result of or arising out of late settlement, howsoever such loss or damage may arise.</w:t>
      </w:r>
      <w:r w:rsidRPr="00357636">
        <w:rPr>
          <w:b w:val="0"/>
        </w:rPr>
        <w:t xml:space="preserve"> No person will have a claim against the Company for interest on retained redemption moneys.</w:t>
      </w:r>
    </w:p>
    <w:p w:rsidRPr="00357636" w:rsidR="001054A4" w:rsidP="001054A4" w:rsidRDefault="001054A4" w14:paraId="37C2EFB3" w14:textId="7798B308">
      <w:pPr>
        <w:pStyle w:val="ListParagraph"/>
        <w:numPr>
          <w:ilvl w:val="0"/>
          <w:numId w:val="0"/>
        </w:numPr>
        <w:autoSpaceDE w:val="0"/>
        <w:autoSpaceDN w:val="0"/>
        <w:adjustRightInd w:val="0"/>
        <w:ind w:left="709"/>
        <w:rPr>
          <w:b w:val="0"/>
          <w:bCs/>
        </w:rPr>
      </w:pPr>
      <w:r w:rsidRPr="00357636">
        <w:rPr>
          <w:b w:val="0"/>
          <w:bCs/>
        </w:rPr>
        <w:t xml:space="preserve">All documents, instructions and remittances sent by, to or from </w:t>
      </w:r>
      <w:r w:rsidRPr="00357636" w:rsidR="00566E94">
        <w:rPr>
          <w:b w:val="0"/>
          <w:bCs/>
        </w:rPr>
        <w:t xml:space="preserve">a </w:t>
      </w:r>
      <w:r w:rsidRPr="00357636">
        <w:rPr>
          <w:b w:val="0"/>
          <w:bCs/>
        </w:rPr>
        <w:t xml:space="preserve">Shareholder or their appointed agents will be sent at their own risk. </w:t>
      </w:r>
    </w:p>
    <w:bookmarkEnd w:id="348"/>
    <w:p w:rsidRPr="00357636" w:rsidR="001054A4" w:rsidP="00565AD4" w:rsidRDefault="001054A4" w14:paraId="5BBAC632" w14:textId="77777777">
      <w:pPr>
        <w:pStyle w:val="1style"/>
        <w:numPr>
          <w:ilvl w:val="0"/>
          <w:numId w:val="59"/>
        </w:numPr>
        <w:jc w:val="left"/>
        <w:rPr>
          <w:rFonts w:ascii="Arial" w:hAnsi="Arial"/>
        </w:rPr>
      </w:pPr>
      <w:r w:rsidRPr="00357636">
        <w:rPr>
          <w:rFonts w:ascii="Arial" w:hAnsi="Arial"/>
        </w:rPr>
        <w:t>Matched bargains</w:t>
      </w:r>
    </w:p>
    <w:p w:rsidRPr="00357636" w:rsidR="001054A4" w:rsidP="001054A4" w:rsidRDefault="001054A4" w14:paraId="2752501F" w14:textId="77777777">
      <w:pPr>
        <w:pStyle w:val="ListParagraph"/>
        <w:numPr>
          <w:ilvl w:val="0"/>
          <w:numId w:val="0"/>
        </w:numPr>
        <w:autoSpaceDE w:val="0"/>
        <w:autoSpaceDN w:val="0"/>
        <w:adjustRightInd w:val="0"/>
        <w:ind w:left="709"/>
        <w:rPr>
          <w:b w:val="0"/>
          <w:bCs/>
        </w:rPr>
      </w:pPr>
      <w:bookmarkStart w:name="_Hlk188779633" w:id="349"/>
      <w:r w:rsidRPr="00357636">
        <w:rPr>
          <w:b w:val="0"/>
          <w:bCs/>
        </w:rPr>
        <w:t>The Company may, prior to a Redemption Point, in its sole discretion, invite investors to purchase Ordinary Shares which are the subject of Redemption Requests.</w:t>
      </w:r>
    </w:p>
    <w:p w:rsidRPr="00357636" w:rsidR="001054A4" w:rsidP="001054A4" w:rsidRDefault="001054A4" w14:paraId="1BD87494" w14:textId="3C9D3652">
      <w:pPr>
        <w:pStyle w:val="ListParagraph"/>
        <w:numPr>
          <w:ilvl w:val="0"/>
          <w:numId w:val="0"/>
        </w:numPr>
        <w:autoSpaceDE w:val="0"/>
        <w:autoSpaceDN w:val="0"/>
        <w:adjustRightInd w:val="0"/>
        <w:ind w:left="709"/>
        <w:rPr>
          <w:b w:val="0"/>
          <w:bCs/>
        </w:rPr>
      </w:pPr>
      <w:r w:rsidRPr="00357636">
        <w:rPr>
          <w:b w:val="0"/>
          <w:bCs/>
        </w:rPr>
        <w:t xml:space="preserve">In addition, the Company may, subject to the Companies </w:t>
      </w:r>
      <w:r w:rsidRPr="00357636" w:rsidR="00566E94">
        <w:rPr>
          <w:b w:val="0"/>
          <w:bCs/>
        </w:rPr>
        <w:t>Law</w:t>
      </w:r>
      <w:r w:rsidRPr="00357636">
        <w:rPr>
          <w:b w:val="0"/>
          <w:bCs/>
        </w:rPr>
        <w:t>, purchase Ordinary Shares which are the subject of Redemption Requests on-market pursuant to an existing Shareholder authority</w:t>
      </w:r>
      <w:bookmarkEnd w:id="349"/>
      <w:r w:rsidRPr="00357636">
        <w:rPr>
          <w:b w:val="0"/>
          <w:bCs/>
        </w:rPr>
        <w:t>.</w:t>
      </w:r>
    </w:p>
    <w:p w:rsidRPr="00357636" w:rsidR="001054A4" w:rsidP="001054A4" w:rsidRDefault="001054A4" w14:paraId="59FD17E6" w14:textId="4A9B0F72">
      <w:pPr>
        <w:pStyle w:val="ListParagraph"/>
        <w:numPr>
          <w:ilvl w:val="0"/>
          <w:numId w:val="0"/>
        </w:numPr>
        <w:autoSpaceDE w:val="0"/>
        <w:autoSpaceDN w:val="0"/>
        <w:adjustRightInd w:val="0"/>
        <w:ind w:left="709"/>
        <w:rPr>
          <w:b w:val="0"/>
          <w:bCs/>
        </w:rPr>
      </w:pPr>
      <w:bookmarkStart w:name="_Hlk188779681" w:id="350"/>
      <w:r w:rsidRPr="00357636">
        <w:rPr>
          <w:b w:val="0"/>
          <w:bCs/>
        </w:rPr>
        <w:t>The price at which such transfers or purchases will be made will not be less than the Redemption Price which the Shareholder requesting redemption would have received on the relevant Redemption Point.</w:t>
      </w:r>
    </w:p>
    <w:p w:rsidRPr="00357636" w:rsidR="001054A4" w:rsidP="001054A4" w:rsidRDefault="001054A4" w14:paraId="5D8AACFE" w14:textId="77777777">
      <w:pPr>
        <w:pStyle w:val="ListParagraph"/>
        <w:numPr>
          <w:ilvl w:val="0"/>
          <w:numId w:val="0"/>
        </w:numPr>
        <w:autoSpaceDE w:val="0"/>
        <w:autoSpaceDN w:val="0"/>
        <w:adjustRightInd w:val="0"/>
        <w:ind w:left="709"/>
        <w:rPr>
          <w:b w:val="0"/>
          <w:bCs/>
        </w:rPr>
      </w:pPr>
      <w:bookmarkStart w:name="_Hlk188779719" w:id="351"/>
      <w:bookmarkEnd w:id="350"/>
      <w:r w:rsidRPr="00357636">
        <w:rPr>
          <w:b w:val="0"/>
          <w:bCs/>
        </w:rPr>
        <w:t>In circumstances where there are investors willing to acquire Ordinary Shares, all or some of the Ordinary Shares which are the subject of Redemption Requests will not be redeemed by the Company but instead shall be transferred to the incoming investor(s), as appropriate, with effect from the relevant Redemption Point.</w:t>
      </w:r>
    </w:p>
    <w:p w:rsidRPr="00357636" w:rsidR="001054A4" w:rsidP="009925DC" w:rsidRDefault="001054A4" w14:paraId="2C1B6F55" w14:textId="4B5EADC1">
      <w:pPr>
        <w:pStyle w:val="ListParagraph"/>
        <w:numPr>
          <w:ilvl w:val="0"/>
          <w:numId w:val="0"/>
        </w:numPr>
        <w:autoSpaceDE w:val="0"/>
        <w:autoSpaceDN w:val="0"/>
        <w:adjustRightInd w:val="0"/>
        <w:ind w:left="709"/>
        <w:rPr>
          <w:b w:val="0"/>
          <w:bCs/>
        </w:rPr>
      </w:pPr>
      <w:bookmarkStart w:name="_Hlk188779756" w:id="352"/>
      <w:bookmarkEnd w:id="351"/>
      <w:r w:rsidRPr="00357636">
        <w:rPr>
          <w:b w:val="0"/>
          <w:bCs/>
        </w:rPr>
        <w:t>Shareholders submitting Redemption Requests are deemed to have agreed that the Company, as their agent, may sell to an incoming investor or, as appropriate, that the Company may purchase pursuant to an existing Shareholder authority all or any of their Ordinary Shares that are the subject of the Redemption Request at a Redemption Point. By submitting a Redemption Request, a redeeming Shareholder shall be deemed to authorise the Company and/or its agents to sell the Ordinary Shares that are the subject of the Redemption Request to an incoming investor or, as appropriate, to purchase such Ordinary Shares, as the Directors may determine.</w:t>
      </w:r>
      <w:r w:rsidRPr="00357636" w:rsidR="009925DC">
        <w:rPr>
          <w:b w:val="0"/>
          <w:bCs/>
        </w:rPr>
        <w:t xml:space="preserve"> </w:t>
      </w:r>
      <w:r w:rsidRPr="00357636" w:rsidR="009925DC">
        <w:rPr>
          <w:b w:val="0"/>
          <w:bCs/>
          <w:iCs/>
          <w:spacing w:val="-2"/>
          <w:szCs w:val="16"/>
        </w:rPr>
        <w:t>The Directors shall have such authority and power to take all such steps, including the execution of documents on behalf of Shareholders, as they may consider, in their discretion, necessary to implement any such sale of Ordinary Shares.</w:t>
      </w:r>
    </w:p>
    <w:p w:rsidRPr="00357636" w:rsidR="001054A4" w:rsidP="001054A4" w:rsidRDefault="001054A4" w14:paraId="338AC84D" w14:textId="77777777">
      <w:pPr>
        <w:pStyle w:val="ListParagraph"/>
        <w:numPr>
          <w:ilvl w:val="0"/>
          <w:numId w:val="0"/>
        </w:numPr>
        <w:autoSpaceDE w:val="0"/>
        <w:autoSpaceDN w:val="0"/>
        <w:adjustRightInd w:val="0"/>
        <w:ind w:left="709"/>
        <w:rPr>
          <w:b w:val="0"/>
          <w:bCs/>
        </w:rPr>
      </w:pPr>
      <w:bookmarkStart w:name="_Hlk188779814" w:id="353"/>
      <w:bookmarkEnd w:id="352"/>
      <w:r w:rsidRPr="00357636">
        <w:rPr>
          <w:b w:val="0"/>
          <w:bCs/>
        </w:rPr>
        <w:t>If there is sufficient demand from incoming investors to acquire all of the Ordinary Shares that are the subject of Redemption Requests as at a Redemption Point, the Company may sell all of the Ordinary Shares to incoming investors.</w:t>
      </w:r>
      <w:bookmarkEnd w:id="353"/>
    </w:p>
    <w:p w:rsidRPr="00357636" w:rsidR="001054A4" w:rsidP="001054A4" w:rsidRDefault="001054A4" w14:paraId="6E330331" w14:textId="6469AD9B">
      <w:pPr>
        <w:pStyle w:val="ListParagraph"/>
        <w:numPr>
          <w:ilvl w:val="0"/>
          <w:numId w:val="0"/>
        </w:numPr>
        <w:autoSpaceDE w:val="0"/>
        <w:autoSpaceDN w:val="0"/>
        <w:adjustRightInd w:val="0"/>
        <w:ind w:left="709"/>
        <w:rPr>
          <w:b w:val="0"/>
          <w:bCs/>
        </w:rPr>
      </w:pPr>
      <w:bookmarkStart w:name="_Hlk188779843" w:id="354"/>
      <w:r w:rsidRPr="00357636">
        <w:rPr>
          <w:b w:val="0"/>
          <w:bCs/>
        </w:rPr>
        <w:t>If there is demand from incoming investors to acquire some of the Ordinary Shares that are the subject of Redemption Requests as at a Redemption Point, the Company may select holdings of Ordinary Shares that are the subject of Redemption Requests from Shareholders as at the Valuation Point to satisfy incoming investor demand. Such holdings of Ordinary Shares may also be purchased by the Company. Shareholders who are selected may have some or all of their Ordinary Shares that are the subject of the Redemption</w:t>
      </w:r>
      <w:r w:rsidRPr="00357636" w:rsidR="00566E94">
        <w:rPr>
          <w:b w:val="0"/>
          <w:bCs/>
        </w:rPr>
        <w:t xml:space="preserve"> </w:t>
      </w:r>
      <w:r w:rsidRPr="00357636">
        <w:rPr>
          <w:b w:val="0"/>
          <w:bCs/>
        </w:rPr>
        <w:t xml:space="preserve">Requests sold to incoming investors and/or purchased by the Company. The remainder of the Ordinary Shares that are the subject of the Redemption Requests may be redeemed by the Company pursuant to the </w:t>
      </w:r>
      <w:r w:rsidRPr="00357636" w:rsidR="00566E94">
        <w:rPr>
          <w:b w:val="0"/>
          <w:bCs/>
        </w:rPr>
        <w:t>Redemption Mechanism</w:t>
      </w:r>
      <w:r w:rsidRPr="00357636">
        <w:rPr>
          <w:b w:val="0"/>
          <w:bCs/>
        </w:rPr>
        <w:t>.</w:t>
      </w:r>
    </w:p>
    <w:p w:rsidRPr="00357636" w:rsidR="001054A4" w:rsidP="001054A4" w:rsidRDefault="001054A4" w14:paraId="360E6B1C" w14:textId="4535F4DE">
      <w:pPr>
        <w:pStyle w:val="ListParagraph"/>
        <w:numPr>
          <w:ilvl w:val="0"/>
          <w:numId w:val="0"/>
        </w:numPr>
        <w:autoSpaceDE w:val="0"/>
        <w:autoSpaceDN w:val="0"/>
        <w:adjustRightInd w:val="0"/>
        <w:ind w:left="709"/>
        <w:rPr>
          <w:b w:val="0"/>
          <w:bCs/>
        </w:rPr>
      </w:pPr>
      <w:bookmarkStart w:name="_Hlk188779962" w:id="355"/>
      <w:bookmarkEnd w:id="354"/>
      <w:r w:rsidRPr="00357636">
        <w:rPr>
          <w:b w:val="0"/>
          <w:bCs/>
        </w:rPr>
        <w:t xml:space="preserve">If any Ordinary Shares have been sold to incoming investors or purchased by the Company, the Shareholder shall transfer the relevant Ordinary Shares to the incoming investor in accordance with the provisions of the Articles </w:t>
      </w:r>
      <w:proofErr w:type="gramStart"/>
      <w:r w:rsidRPr="00357636">
        <w:rPr>
          <w:b w:val="0"/>
          <w:bCs/>
        </w:rPr>
        <w:t>or,</w:t>
      </w:r>
      <w:proofErr w:type="gramEnd"/>
      <w:r w:rsidRPr="00357636">
        <w:rPr>
          <w:b w:val="0"/>
          <w:bCs/>
        </w:rPr>
        <w:t xml:space="preserve"> as applicable, will complete the on-market purchase by the Company.</w:t>
      </w:r>
    </w:p>
    <w:bookmarkEnd w:id="355"/>
    <w:p w:rsidRPr="00357636" w:rsidR="001054A4" w:rsidP="006757CE" w:rsidRDefault="001054A4" w14:paraId="5F91CF37" w14:textId="77777777">
      <w:pPr>
        <w:pStyle w:val="1style"/>
        <w:keepNext/>
        <w:numPr>
          <w:ilvl w:val="0"/>
          <w:numId w:val="59"/>
        </w:numPr>
        <w:jc w:val="both"/>
        <w:rPr>
          <w:rFonts w:ascii="Arial" w:hAnsi="Arial"/>
        </w:rPr>
      </w:pPr>
      <w:r w:rsidRPr="00357636">
        <w:rPr>
          <w:rFonts w:ascii="Arial" w:hAnsi="Arial"/>
        </w:rPr>
        <w:t>Redemption of Ordinary Shares held in uncertificated form: additional information</w:t>
      </w:r>
    </w:p>
    <w:p w:rsidRPr="00357636" w:rsidR="001054A4" w:rsidP="00565AD4" w:rsidRDefault="001054A4" w14:paraId="77C74DF7" w14:textId="77777777">
      <w:pPr>
        <w:pStyle w:val="1style"/>
        <w:keepNext/>
        <w:numPr>
          <w:ilvl w:val="1"/>
          <w:numId w:val="59"/>
        </w:numPr>
        <w:jc w:val="both"/>
        <w:rPr>
          <w:rFonts w:ascii="Arial" w:hAnsi="Arial"/>
          <w:b w:val="0"/>
          <w:caps w:val="0"/>
        </w:rPr>
      </w:pPr>
      <w:r w:rsidRPr="00357636">
        <w:rPr>
          <w:rFonts w:ascii="Arial" w:hAnsi="Arial"/>
          <w:b w:val="0"/>
          <w:caps w:val="0"/>
        </w:rPr>
        <w:t xml:space="preserve">Shareholders who wish to redeem Ordinary Shares held in CREST will need to send a properly authenticated TTE instruction. A valid TTE instruction will need to include the following particulars, </w:t>
      </w:r>
      <w:r w:rsidRPr="00357636">
        <w:rPr>
          <w:rFonts w:ascii="Arial" w:hAnsi="Arial"/>
          <w:b w:val="0"/>
          <w:caps w:val="0"/>
        </w:rPr>
        <w:lastRenderedPageBreak/>
        <w:t>although you must ensure that these details are still correct by checking the Corporate Action details as set up in CREST:</w:t>
      </w:r>
    </w:p>
    <w:p w:rsidRPr="00357636" w:rsidR="001054A4" w:rsidP="00565AD4" w:rsidRDefault="001054A4" w14:paraId="3406E688" w14:textId="34F0AC7A">
      <w:pPr>
        <w:pStyle w:val="ListParagraph"/>
        <w:numPr>
          <w:ilvl w:val="2"/>
          <w:numId w:val="60"/>
        </w:numPr>
        <w:autoSpaceDE w:val="0"/>
        <w:autoSpaceDN w:val="0"/>
        <w:adjustRightInd w:val="0"/>
        <w:ind w:left="1417"/>
        <w:rPr>
          <w:b w:val="0"/>
          <w:bCs/>
        </w:rPr>
      </w:pPr>
      <w:r w:rsidRPr="00357636">
        <w:rPr>
          <w:b w:val="0"/>
          <w:bCs/>
        </w:rPr>
        <w:t xml:space="preserve">the ISIN for the Ordinary Shares. This is </w:t>
      </w:r>
      <w:r w:rsidRPr="00357636" w:rsidR="00CC32A8">
        <w:rPr>
          <w:b w:val="0"/>
          <w:bCs/>
        </w:rPr>
        <w:t>GG00BT3GKD08</w:t>
      </w:r>
      <w:r w:rsidRPr="00357636">
        <w:rPr>
          <w:b w:val="0"/>
          <w:bCs/>
        </w:rPr>
        <w:t>;</w:t>
      </w:r>
    </w:p>
    <w:p w:rsidRPr="00357636" w:rsidR="001054A4" w:rsidP="00565AD4" w:rsidRDefault="001054A4" w14:paraId="07C6B52B" w14:textId="77777777">
      <w:pPr>
        <w:pStyle w:val="ListParagraph"/>
        <w:numPr>
          <w:ilvl w:val="2"/>
          <w:numId w:val="60"/>
        </w:numPr>
        <w:autoSpaceDE w:val="0"/>
        <w:autoSpaceDN w:val="0"/>
        <w:adjustRightInd w:val="0"/>
        <w:ind w:left="1417"/>
        <w:rPr>
          <w:b w:val="0"/>
          <w:bCs/>
        </w:rPr>
      </w:pPr>
      <w:r w:rsidRPr="00357636">
        <w:rPr>
          <w:b w:val="0"/>
          <w:bCs/>
        </w:rPr>
        <w:t>the number of Ordinary Shares being tendered for redemption</w:t>
      </w:r>
    </w:p>
    <w:p w:rsidRPr="00357636" w:rsidR="001054A4" w:rsidP="00565AD4" w:rsidRDefault="001054A4" w14:paraId="6D20EA37" w14:textId="77777777">
      <w:pPr>
        <w:pStyle w:val="ListParagraph"/>
        <w:numPr>
          <w:ilvl w:val="2"/>
          <w:numId w:val="60"/>
        </w:numPr>
        <w:autoSpaceDE w:val="0"/>
        <w:autoSpaceDN w:val="0"/>
        <w:adjustRightInd w:val="0"/>
        <w:ind w:left="1417"/>
        <w:rPr>
          <w:b w:val="0"/>
          <w:bCs/>
        </w:rPr>
      </w:pPr>
      <w:r w:rsidRPr="00357636">
        <w:rPr>
          <w:b w:val="0"/>
          <w:bCs/>
        </w:rPr>
        <w:t>the participant ID of the holder of the Ordinary Shares;</w:t>
      </w:r>
    </w:p>
    <w:p w:rsidRPr="00357636" w:rsidR="001054A4" w:rsidP="00565AD4" w:rsidRDefault="001054A4" w14:paraId="22C637A5" w14:textId="77777777">
      <w:pPr>
        <w:pStyle w:val="ListParagraph"/>
        <w:numPr>
          <w:ilvl w:val="2"/>
          <w:numId w:val="60"/>
        </w:numPr>
        <w:autoSpaceDE w:val="0"/>
        <w:autoSpaceDN w:val="0"/>
        <w:adjustRightInd w:val="0"/>
        <w:ind w:left="1417"/>
        <w:rPr>
          <w:b w:val="0"/>
          <w:bCs/>
        </w:rPr>
      </w:pPr>
      <w:r w:rsidRPr="00357636">
        <w:rPr>
          <w:b w:val="0"/>
          <w:bCs/>
        </w:rPr>
        <w:t>the member account ID of the holder of the Ordinary Shares, being the account from which the Ordinary Shares are to be debited;</w:t>
      </w:r>
    </w:p>
    <w:p w:rsidRPr="00357636" w:rsidR="001054A4" w:rsidP="00565AD4" w:rsidRDefault="001054A4" w14:paraId="29516B91" w14:textId="54336596">
      <w:pPr>
        <w:pStyle w:val="ListParagraph"/>
        <w:numPr>
          <w:ilvl w:val="2"/>
          <w:numId w:val="60"/>
        </w:numPr>
        <w:autoSpaceDE w:val="0"/>
        <w:autoSpaceDN w:val="0"/>
        <w:adjustRightInd w:val="0"/>
        <w:ind w:left="1417"/>
        <w:rPr>
          <w:b w:val="0"/>
          <w:bCs/>
        </w:rPr>
      </w:pPr>
      <w:r w:rsidRPr="00357636">
        <w:rPr>
          <w:b w:val="0"/>
          <w:bCs/>
        </w:rPr>
        <w:t xml:space="preserve">the participant account ID of the </w:t>
      </w:r>
      <w:r w:rsidRPr="00357636" w:rsidR="007C2800">
        <w:rPr>
          <w:b w:val="0"/>
          <w:bCs/>
        </w:rPr>
        <w:t>Registrar</w:t>
      </w:r>
      <w:r w:rsidRPr="00357636" w:rsidR="00566E94">
        <w:rPr>
          <w:b w:val="0"/>
          <w:bCs/>
        </w:rPr>
        <w:t xml:space="preserve"> (which will be notified by the Company)</w:t>
      </w:r>
      <w:r w:rsidRPr="00357636">
        <w:rPr>
          <w:b w:val="0"/>
          <w:bCs/>
        </w:rPr>
        <w:t>;</w:t>
      </w:r>
    </w:p>
    <w:p w:rsidRPr="00357636" w:rsidR="001054A4" w:rsidP="00565AD4" w:rsidRDefault="001054A4" w14:paraId="33985D1D" w14:textId="48810550">
      <w:pPr>
        <w:pStyle w:val="ListParagraph"/>
        <w:numPr>
          <w:ilvl w:val="2"/>
          <w:numId w:val="60"/>
        </w:numPr>
        <w:autoSpaceDE w:val="0"/>
        <w:autoSpaceDN w:val="0"/>
        <w:adjustRightInd w:val="0"/>
        <w:ind w:left="1417"/>
        <w:rPr>
          <w:b w:val="0"/>
          <w:bCs/>
        </w:rPr>
      </w:pPr>
      <w:r w:rsidRPr="00357636">
        <w:rPr>
          <w:b w:val="0"/>
          <w:bCs/>
        </w:rPr>
        <w:t xml:space="preserve">the member account ID of the </w:t>
      </w:r>
      <w:r w:rsidRPr="00357636" w:rsidR="007C2800">
        <w:rPr>
          <w:b w:val="0"/>
          <w:bCs/>
        </w:rPr>
        <w:t>Registrar</w:t>
      </w:r>
      <w:r w:rsidRPr="00357636" w:rsidR="00566E94">
        <w:rPr>
          <w:b w:val="0"/>
          <w:bCs/>
        </w:rPr>
        <w:t xml:space="preserve"> (which will be notified by the Company)</w:t>
      </w:r>
      <w:r w:rsidRPr="00357636">
        <w:rPr>
          <w:b w:val="0"/>
          <w:bCs/>
        </w:rPr>
        <w:t>;</w:t>
      </w:r>
    </w:p>
    <w:p w:rsidRPr="00357636" w:rsidR="001054A4" w:rsidP="00565AD4" w:rsidRDefault="001054A4" w14:paraId="7738E74A" w14:textId="77777777">
      <w:pPr>
        <w:pStyle w:val="ListParagraph"/>
        <w:numPr>
          <w:ilvl w:val="2"/>
          <w:numId w:val="60"/>
        </w:numPr>
        <w:autoSpaceDE w:val="0"/>
        <w:autoSpaceDN w:val="0"/>
        <w:adjustRightInd w:val="0"/>
        <w:ind w:left="1417"/>
        <w:rPr>
          <w:b w:val="0"/>
          <w:bCs/>
        </w:rPr>
      </w:pPr>
      <w:r w:rsidRPr="00357636">
        <w:rPr>
          <w:b w:val="0"/>
          <w:bCs/>
        </w:rPr>
        <w:t>the corporate action number allocated by Euroclear;</w:t>
      </w:r>
    </w:p>
    <w:p w:rsidRPr="00357636" w:rsidR="001054A4" w:rsidP="00565AD4" w:rsidRDefault="001054A4" w14:paraId="5D0E0634" w14:textId="77777777">
      <w:pPr>
        <w:pStyle w:val="ListParagraph"/>
        <w:numPr>
          <w:ilvl w:val="2"/>
          <w:numId w:val="60"/>
        </w:numPr>
        <w:autoSpaceDE w:val="0"/>
        <w:autoSpaceDN w:val="0"/>
        <w:adjustRightInd w:val="0"/>
        <w:ind w:left="1417"/>
        <w:rPr>
          <w:b w:val="0"/>
          <w:bCs/>
        </w:rPr>
      </w:pPr>
      <w:r w:rsidRPr="00357636">
        <w:rPr>
          <w:b w:val="0"/>
          <w:bCs/>
        </w:rPr>
        <w:t>the intended settlement date which must be on or before 1.00 p.m. on the day falling 20 Business Days before the relevant Redemption Point;</w:t>
      </w:r>
    </w:p>
    <w:p w:rsidRPr="00357636" w:rsidR="001054A4" w:rsidP="00565AD4" w:rsidRDefault="001054A4" w14:paraId="7E10F0B3" w14:textId="77777777">
      <w:pPr>
        <w:pStyle w:val="ListParagraph"/>
        <w:numPr>
          <w:ilvl w:val="2"/>
          <w:numId w:val="60"/>
        </w:numPr>
        <w:autoSpaceDE w:val="0"/>
        <w:autoSpaceDN w:val="0"/>
        <w:adjustRightInd w:val="0"/>
        <w:ind w:left="1417"/>
        <w:rPr>
          <w:b w:val="0"/>
          <w:bCs/>
        </w:rPr>
      </w:pPr>
      <w:r w:rsidRPr="00357636">
        <w:rPr>
          <w:b w:val="0"/>
          <w:bCs/>
        </w:rPr>
        <w:t>a delivery priority of at least 80; and</w:t>
      </w:r>
    </w:p>
    <w:p w:rsidRPr="00357636" w:rsidR="001054A4" w:rsidP="00565AD4" w:rsidRDefault="001054A4" w14:paraId="6AEEEDDF" w14:textId="77777777">
      <w:pPr>
        <w:pStyle w:val="ListParagraph"/>
        <w:numPr>
          <w:ilvl w:val="2"/>
          <w:numId w:val="60"/>
        </w:numPr>
        <w:autoSpaceDE w:val="0"/>
        <w:autoSpaceDN w:val="0"/>
        <w:adjustRightInd w:val="0"/>
        <w:ind w:left="1417"/>
        <w:rPr>
          <w:b w:val="0"/>
          <w:bCs/>
        </w:rPr>
      </w:pPr>
      <w:r w:rsidRPr="00357636">
        <w:rPr>
          <w:b w:val="0"/>
          <w:bCs/>
        </w:rPr>
        <w:t>a contact number in the shared note field.</w:t>
      </w:r>
    </w:p>
    <w:p w:rsidRPr="00357636" w:rsidR="001054A4" w:rsidP="001054A4" w:rsidRDefault="001054A4" w14:paraId="6B28851C" w14:textId="77777777">
      <w:pPr>
        <w:pStyle w:val="ListParagraph"/>
        <w:numPr>
          <w:ilvl w:val="0"/>
          <w:numId w:val="0"/>
        </w:numPr>
        <w:autoSpaceDE w:val="0"/>
        <w:autoSpaceDN w:val="0"/>
        <w:adjustRightInd w:val="0"/>
        <w:ind w:left="709"/>
        <w:rPr>
          <w:b w:val="0"/>
          <w:bCs/>
        </w:rPr>
      </w:pPr>
      <w:r w:rsidRPr="00357636">
        <w:rPr>
          <w:b w:val="0"/>
          <w:bCs/>
        </w:rPr>
        <w:t>Details of the particulars referred to in 6.1.6, 6.1.7 and 6.1.8 above can be obtained by viewing CREST prior to submission of the TTE instruction.</w:t>
      </w:r>
    </w:p>
    <w:p w:rsidRPr="00357636" w:rsidR="001054A4" w:rsidP="001054A4" w:rsidRDefault="001054A4" w14:paraId="0C87822E" w14:textId="4AD7BE31">
      <w:pPr>
        <w:pStyle w:val="ListParagraph"/>
        <w:numPr>
          <w:ilvl w:val="0"/>
          <w:numId w:val="0"/>
        </w:numPr>
        <w:autoSpaceDE w:val="0"/>
        <w:autoSpaceDN w:val="0"/>
        <w:adjustRightInd w:val="0"/>
        <w:ind w:left="709"/>
        <w:rPr>
          <w:b w:val="0"/>
          <w:bCs/>
        </w:rPr>
      </w:pPr>
      <w:r w:rsidRPr="00357636">
        <w:rPr>
          <w:b w:val="0"/>
          <w:bCs/>
        </w:rPr>
        <w:t xml:space="preserve">CREST members and (where applicable) CREST sponsors should note that Euroclear does not make available special procedures in CREST for any particular corporate action. Normal system timing and limitations will therefore apply in relation to the input of a TTE instruction and its settlement in connection with the exercise of the rights attaching to the Ordinary Shares held in CREST.  It is the responsibility of the CREST member concerned to take (or, if the CREST member is a CREST sponsored member, to procure that his </w:t>
      </w:r>
      <w:r w:rsidRPr="00357636" w:rsidR="00B43818">
        <w:rPr>
          <w:b w:val="0"/>
          <w:bCs/>
        </w:rPr>
        <w:t xml:space="preserve">or her </w:t>
      </w:r>
      <w:r w:rsidRPr="00357636">
        <w:rPr>
          <w:b w:val="0"/>
          <w:bCs/>
        </w:rPr>
        <w:t xml:space="preserve">CREST sponsor takes) such action as shall be necessary to ensure that a TTE instruction is </w:t>
      </w:r>
      <w:proofErr w:type="gramStart"/>
      <w:r w:rsidRPr="00357636">
        <w:rPr>
          <w:b w:val="0"/>
          <w:bCs/>
        </w:rPr>
        <w:t>effected</w:t>
      </w:r>
      <w:proofErr w:type="gramEnd"/>
      <w:r w:rsidRPr="00357636">
        <w:rPr>
          <w:b w:val="0"/>
          <w:bCs/>
        </w:rPr>
        <w:t xml:space="preserve"> and settled by 1.00 p.m. on the day falling 20 Business Days before the relevant Redemption Point. In this connection, CREST members and (where applicable) their CREST sponsors, are referred to in particular to those sections of the CREST Manual concerning the practical limitation of the CREST system and timings.</w:t>
      </w:r>
    </w:p>
    <w:p w:rsidRPr="00357636" w:rsidR="001054A4" w:rsidP="00565AD4" w:rsidRDefault="001054A4" w14:paraId="4599CDB1" w14:textId="77777777">
      <w:pPr>
        <w:pStyle w:val="1style"/>
        <w:keepNext/>
        <w:numPr>
          <w:ilvl w:val="1"/>
          <w:numId w:val="59"/>
        </w:numPr>
        <w:jc w:val="both"/>
        <w:rPr>
          <w:rFonts w:ascii="Arial" w:hAnsi="Arial"/>
          <w:b w:val="0"/>
          <w:caps w:val="0"/>
        </w:rPr>
      </w:pPr>
      <w:r w:rsidRPr="00357636">
        <w:rPr>
          <w:rFonts w:ascii="Arial" w:hAnsi="Arial"/>
          <w:b w:val="0"/>
          <w:caps w:val="0"/>
        </w:rPr>
        <w:t>The Company in its sole discretion may:</w:t>
      </w:r>
    </w:p>
    <w:p w:rsidRPr="00357636" w:rsidR="001054A4" w:rsidP="00565AD4" w:rsidRDefault="001054A4" w14:paraId="3874D4DF" w14:textId="77777777">
      <w:pPr>
        <w:pStyle w:val="1style"/>
        <w:numPr>
          <w:ilvl w:val="2"/>
          <w:numId w:val="61"/>
        </w:numPr>
        <w:ind w:left="1418"/>
        <w:jc w:val="both"/>
        <w:rPr>
          <w:rFonts w:ascii="Arial" w:hAnsi="Arial"/>
          <w:b w:val="0"/>
          <w:caps w:val="0"/>
        </w:rPr>
      </w:pPr>
      <w:r w:rsidRPr="00357636">
        <w:rPr>
          <w:rFonts w:ascii="Arial" w:hAnsi="Arial"/>
          <w:b w:val="0"/>
          <w:caps w:val="0"/>
        </w:rPr>
        <w:t>accept an alternative properly authenticated dematerialised instruction from a CREST member or (where applicable) a CREST sponsor in substitution for or in addition to a TTE instruction and subject to such further terms and conditions as the Company may determine;</w:t>
      </w:r>
    </w:p>
    <w:p w:rsidRPr="00357636" w:rsidR="001054A4" w:rsidP="00565AD4" w:rsidRDefault="001054A4" w14:paraId="7517331E" w14:textId="7B6A8AA0">
      <w:pPr>
        <w:pStyle w:val="1style"/>
        <w:numPr>
          <w:ilvl w:val="2"/>
          <w:numId w:val="61"/>
        </w:numPr>
        <w:ind w:left="1418"/>
        <w:jc w:val="both"/>
        <w:rPr>
          <w:rFonts w:ascii="Arial" w:hAnsi="Arial"/>
          <w:b w:val="0"/>
          <w:caps w:val="0"/>
        </w:rPr>
      </w:pPr>
      <w:r w:rsidRPr="00357636">
        <w:rPr>
          <w:rFonts w:ascii="Arial" w:hAnsi="Arial"/>
          <w:b w:val="0"/>
          <w:caps w:val="0"/>
        </w:rPr>
        <w:t xml:space="preserve">treat a properly authorised instruction (in this paragraph 6.2.2, the "first instruction") as not constituting a valid TTE instruction if, at the time at which the </w:t>
      </w:r>
      <w:r w:rsidRPr="00357636" w:rsidR="007C2800">
        <w:rPr>
          <w:rFonts w:ascii="Arial" w:hAnsi="Arial"/>
          <w:b w:val="0"/>
          <w:caps w:val="0"/>
        </w:rPr>
        <w:t>Registrar</w:t>
      </w:r>
      <w:r w:rsidRPr="00357636">
        <w:rPr>
          <w:rFonts w:ascii="Arial" w:hAnsi="Arial"/>
          <w:b w:val="0"/>
          <w:caps w:val="0"/>
        </w:rPr>
        <w:t xml:space="preserve"> receives a properly authenticated dematerialised instruction giving details of the first instruction, either the Company or the </w:t>
      </w:r>
      <w:r w:rsidRPr="00357636" w:rsidR="007C2800">
        <w:rPr>
          <w:rFonts w:ascii="Arial" w:hAnsi="Arial"/>
          <w:b w:val="0"/>
          <w:caps w:val="0"/>
        </w:rPr>
        <w:t>Registrar</w:t>
      </w:r>
      <w:r w:rsidRPr="00357636">
        <w:rPr>
          <w:rFonts w:ascii="Arial" w:hAnsi="Arial"/>
          <w:b w:val="0"/>
          <w:caps w:val="0"/>
        </w:rPr>
        <w:t xml:space="preserve"> has received actual notice from Euroclear of any matters referred to in Regulation 35(5)(a) of the CREST Regulations in relation to the first instruction. These matters include notice that any information contained in the first instruction was incorrect or notice of lack of authority to send the first instruction; and</w:t>
      </w:r>
    </w:p>
    <w:p w:rsidRPr="00357636" w:rsidR="001054A4" w:rsidP="00565AD4" w:rsidRDefault="001054A4" w14:paraId="16110A60" w14:textId="4DB32FAD">
      <w:pPr>
        <w:pStyle w:val="1style"/>
        <w:numPr>
          <w:ilvl w:val="2"/>
          <w:numId w:val="61"/>
        </w:numPr>
        <w:ind w:left="1418"/>
        <w:jc w:val="both"/>
        <w:rPr>
          <w:rFonts w:ascii="Arial" w:hAnsi="Arial"/>
          <w:b w:val="0"/>
          <w:caps w:val="0"/>
        </w:rPr>
      </w:pPr>
      <w:r w:rsidRPr="00357636">
        <w:rPr>
          <w:rFonts w:ascii="Arial" w:hAnsi="Arial"/>
          <w:b w:val="0"/>
          <w:caps w:val="0"/>
        </w:rPr>
        <w:t xml:space="preserve">accept an alternative instruction or notification from a CREST member or CREST sponsored member or (where applicable) a CREST sponsor, or extent the time for settlement of a TTE instruction or notification, in the circumstances outside the control of the CREST member or (where applicable) CREST sponsor, the CREST member or CREST sponsored member is unable to validly request the redemption of his </w:t>
      </w:r>
      <w:r w:rsidRPr="00357636" w:rsidR="00B43818">
        <w:rPr>
          <w:rFonts w:ascii="Arial" w:hAnsi="Arial"/>
          <w:b w:val="0"/>
          <w:caps w:val="0"/>
        </w:rPr>
        <w:t xml:space="preserve">or her </w:t>
      </w:r>
      <w:r w:rsidRPr="00357636">
        <w:rPr>
          <w:rFonts w:ascii="Arial" w:hAnsi="Arial"/>
          <w:b w:val="0"/>
          <w:caps w:val="0"/>
        </w:rPr>
        <w:t xml:space="preserve">Ordinary Shares by means of the procedures described above. In normal circumstances, this discretion is only likely to be exercised in the event of any interruption, failure or breakdown </w:t>
      </w:r>
      <w:r w:rsidRPr="00357636">
        <w:rPr>
          <w:rFonts w:ascii="Arial" w:hAnsi="Arial"/>
          <w:b w:val="0"/>
          <w:caps w:val="0"/>
        </w:rPr>
        <w:lastRenderedPageBreak/>
        <w:t xml:space="preserve">of CREST (or any part of CREST) or on the part of the facilities and/or systems operated by the </w:t>
      </w:r>
      <w:r w:rsidRPr="00357636" w:rsidR="007C2800">
        <w:rPr>
          <w:rFonts w:ascii="Arial" w:hAnsi="Arial"/>
          <w:b w:val="0"/>
          <w:caps w:val="0"/>
        </w:rPr>
        <w:t>Registrar</w:t>
      </w:r>
      <w:r w:rsidRPr="00357636">
        <w:rPr>
          <w:rFonts w:ascii="Arial" w:hAnsi="Arial"/>
          <w:b w:val="0"/>
          <w:caps w:val="0"/>
        </w:rPr>
        <w:t xml:space="preserve"> in connection with CREST.</w:t>
      </w:r>
    </w:p>
    <w:p w:rsidRPr="00357636" w:rsidR="001054A4" w:rsidP="00565AD4" w:rsidRDefault="001054A4" w14:paraId="1CEB02F2" w14:textId="77777777">
      <w:pPr>
        <w:pStyle w:val="1style"/>
        <w:keepNext/>
        <w:numPr>
          <w:ilvl w:val="0"/>
          <w:numId w:val="59"/>
        </w:numPr>
        <w:jc w:val="left"/>
        <w:rPr>
          <w:rFonts w:ascii="Arial" w:hAnsi="Arial"/>
        </w:rPr>
      </w:pPr>
      <w:r w:rsidRPr="00357636">
        <w:rPr>
          <w:rFonts w:ascii="Arial" w:hAnsi="Arial"/>
        </w:rPr>
        <w:t>Liability</w:t>
      </w:r>
    </w:p>
    <w:p w:rsidRPr="0069764D" w:rsidR="001054A4" w:rsidP="00BD0C92" w:rsidRDefault="001054A4" w14:paraId="7EDCBCA0" w14:textId="3004C224">
      <w:pPr>
        <w:pStyle w:val="1style"/>
        <w:ind w:left="709"/>
        <w:jc w:val="both"/>
        <w:rPr>
          <w:rFonts w:ascii="Arial" w:hAnsi="Arial"/>
          <w:b w:val="0"/>
          <w:caps w:val="0"/>
        </w:rPr>
      </w:pPr>
      <w:bookmarkStart w:name="_Hlk188780793" w:id="356"/>
      <w:r w:rsidRPr="00357636">
        <w:rPr>
          <w:rFonts w:ascii="Arial" w:hAnsi="Arial"/>
          <w:b w:val="0"/>
          <w:caps w:val="0"/>
        </w:rPr>
        <w:t xml:space="preserve">Any determination of the Redemption Price made in accordance with the valuation guidelines from time to time adopted by the Board shall be binding on all parties. </w:t>
      </w:r>
      <w:bookmarkEnd w:id="356"/>
      <w:r w:rsidRPr="00357636">
        <w:rPr>
          <w:rFonts w:ascii="Arial" w:hAnsi="Arial"/>
          <w:b w:val="0"/>
          <w:caps w:val="0"/>
        </w:rPr>
        <w:t>None of the Directors</w:t>
      </w:r>
      <w:r w:rsidRPr="00357636" w:rsidR="00676664">
        <w:rPr>
          <w:rFonts w:ascii="Arial" w:hAnsi="Arial"/>
          <w:b w:val="0"/>
          <w:caps w:val="0"/>
        </w:rPr>
        <w:t xml:space="preserve"> or</w:t>
      </w:r>
      <w:r w:rsidRPr="00357636">
        <w:rPr>
          <w:rFonts w:ascii="Arial" w:hAnsi="Arial"/>
          <w:b w:val="0"/>
          <w:caps w:val="0"/>
        </w:rPr>
        <w:t xml:space="preserve"> the Investment Manager shall be responsible to any Shareholder or any other person in respect of all or any acts done in carrying out their duties in relation thereto in the absence of fraud.</w:t>
      </w:r>
    </w:p>
    <w:bookmarkEnd w:id="332"/>
    <w:p w:rsidRPr="00E606B7" w:rsidR="001054A4" w:rsidP="00BD0C92" w:rsidRDefault="001054A4" w14:paraId="753D4799" w14:textId="56DCF6E5">
      <w:pPr>
        <w:autoSpaceDE w:val="0"/>
        <w:autoSpaceDN w:val="0"/>
        <w:adjustRightInd w:val="0"/>
      </w:pPr>
    </w:p>
    <w:sectPr w:rsidRPr="00E606B7" w:rsidR="001054A4" w:rsidSect="00706BDB">
      <w:headerReference w:type="even" r:id="rId28"/>
      <w:headerReference w:type="default" r:id="rId29"/>
      <w:headerReference w:type="first" r:id="rId30"/>
      <w:pgSz w:w="11906" w:h="16838" w:code="9"/>
      <w:pgMar w:top="1134" w:right="1134" w:bottom="1134" w:left="1418" w:header="680" w:footer="680" w:gutter="0"/>
      <w:paperSrc w:first="263" w:other="263"/>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620" w:rsidP="001777B4" w:rsidRDefault="00ED2620" w14:paraId="7DECEC71" w14:textId="77777777">
      <w:pPr>
        <w:spacing w:after="0"/>
      </w:pPr>
      <w:r>
        <w:separator/>
      </w:r>
    </w:p>
    <w:p w:rsidR="00ED2620" w:rsidRDefault="00ED2620" w14:paraId="0537A0EB" w14:textId="77777777"/>
  </w:endnote>
  <w:endnote w:type="continuationSeparator" w:id="0">
    <w:p w:rsidR="00ED2620" w:rsidP="001777B4" w:rsidRDefault="00ED2620" w14:paraId="2085CADF" w14:textId="77777777">
      <w:pPr>
        <w:spacing w:after="0"/>
      </w:pPr>
      <w:r>
        <w:continuationSeparator/>
      </w:r>
    </w:p>
    <w:p w:rsidR="00ED2620" w:rsidRDefault="00ED2620" w14:paraId="47C489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ITC Franklin Gothic Std Book">
    <w:altName w:val="Segoe Script"/>
    <w:charset w:val="00"/>
    <w:family w:val="swiss"/>
    <w:pitch w:val="variable"/>
    <w:sig w:usb0="00000003"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AZYE B+ Gotham HTF">
    <w:altName w:val="Calibri"/>
    <w:charset w:val="00"/>
    <w:family w:val="swiss"/>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00000000" w:usb1="C0007841" w:usb2="00000009" w:usb3="00000000" w:csb0="000001FF" w:csb1="00000000"/>
  </w:font>
  <w:font w:name="ArialMT-Bold">
    <w:altName w:val="Arial"/>
    <w:panose1 w:val="00000000000000000000"/>
    <w:charset w:val="00"/>
    <w:family w:val="swiss"/>
    <w:notTrueType/>
    <w:pitch w:val="default"/>
    <w:sig w:usb0="00000003" w:usb1="00000000" w:usb2="00000000" w:usb3="00000000" w:csb0="00000001" w:csb1="00000000"/>
  </w:font>
  <w:font w:name="ArialMT-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A44" w:rsidRDefault="00D35A44" w14:paraId="19B26E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410926"/>
      <w:docPartObj>
        <w:docPartGallery w:val="Page Numbers (Bottom of Page)"/>
        <w:docPartUnique/>
      </w:docPartObj>
    </w:sdtPr>
    <w:sdtEndPr>
      <w:rPr>
        <w:noProof/>
      </w:rPr>
    </w:sdtEndPr>
    <w:sdtContent>
      <w:p w:rsidR="006F7B8A" w:rsidRDefault="006F7B8A" w14:paraId="3314224C" w14:textId="517504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3448A" w:rsidRDefault="0053448A" w14:paraId="6F075F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CC3" w:rsidP="003D3358" w:rsidRDefault="003D3358" w14:paraId="10722BAE" w14:textId="213E105E">
    <w:pPr>
      <w:pStyle w:val="Footer"/>
      <w:jc w:val="center"/>
    </w:pPr>
    <w:r>
      <w:t>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620" w:rsidP="001777B4" w:rsidRDefault="00ED2620" w14:paraId="5520C482" w14:textId="77777777">
      <w:pPr>
        <w:spacing w:after="0"/>
      </w:pPr>
      <w:r>
        <w:separator/>
      </w:r>
    </w:p>
    <w:p w:rsidR="00ED2620" w:rsidRDefault="00ED2620" w14:paraId="651F91E8" w14:textId="77777777"/>
  </w:footnote>
  <w:footnote w:type="continuationSeparator" w:id="0">
    <w:p w:rsidR="00ED2620" w:rsidP="001777B4" w:rsidRDefault="00ED2620" w14:paraId="70EC8751" w14:textId="77777777">
      <w:pPr>
        <w:spacing w:after="0"/>
      </w:pPr>
      <w:r>
        <w:continuationSeparator/>
      </w:r>
    </w:p>
    <w:p w:rsidR="00ED2620" w:rsidRDefault="00ED2620" w14:paraId="3D1028D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A44" w:rsidRDefault="00D35A44" w14:paraId="12DB6E9E"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6B3F" w:rsidR="008026CE" w:rsidP="002936ED" w:rsidRDefault="008026CE" w14:paraId="70C4B029"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CE" w:rsidP="002936ED" w:rsidRDefault="008026CE" w14:paraId="588DEC95"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CE" w:rsidP="002936ED" w:rsidRDefault="008026CE" w14:paraId="12997D89"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6B3F" w:rsidR="008026CE" w:rsidP="002936ED" w:rsidRDefault="008026CE" w14:paraId="15746284"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CE" w:rsidP="002936ED" w:rsidRDefault="008026CE" w14:paraId="2CD83843"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CE" w:rsidP="002936ED" w:rsidRDefault="008026CE" w14:paraId="73EBC9D3"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6B3F" w:rsidR="008026CE" w:rsidP="002936ED" w:rsidRDefault="008026CE" w14:paraId="25A2E5D8"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CE" w:rsidP="002936ED" w:rsidRDefault="008026CE" w14:paraId="5BB00EAA"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CE" w:rsidP="002936ED" w:rsidRDefault="008026CE" w14:paraId="124EE0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A44" w:rsidRDefault="00D35A44" w14:paraId="3FEACC9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A44" w:rsidRDefault="00D35A44" w14:paraId="63592D9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6B3F" w:rsidR="008026CE" w:rsidP="002936ED" w:rsidRDefault="008026CE" w14:paraId="277904D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CE" w:rsidP="002936ED" w:rsidRDefault="008026CE" w14:paraId="204D70A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CE" w:rsidP="002936ED" w:rsidRDefault="008026CE" w14:paraId="11AD55D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6B3F" w:rsidR="008026CE" w:rsidP="002936ED" w:rsidRDefault="008026CE" w14:paraId="43B7115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CE" w:rsidP="002936ED" w:rsidRDefault="008026CE" w14:paraId="6BDD2DE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6CE" w:rsidP="002936ED" w:rsidRDefault="008026CE" w14:paraId="7238A4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00E562"/>
    <w:lvl w:ilvl="0">
      <w:start w:val="1"/>
      <w:numFmt w:val="decimal"/>
      <w:pStyle w:val="ListNumber5"/>
      <w:lvlText w:val="%1."/>
      <w:lvlJc w:val="left"/>
      <w:pPr>
        <w:tabs>
          <w:tab w:val="num" w:pos="6029"/>
        </w:tabs>
        <w:ind w:left="6029" w:hanging="360"/>
      </w:pPr>
    </w:lvl>
  </w:abstractNum>
  <w:abstractNum w:abstractNumId="1" w15:restartNumberingAfterBreak="0">
    <w:nsid w:val="FFFFFF7D"/>
    <w:multiLevelType w:val="singleLevel"/>
    <w:tmpl w:val="156635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446FB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1837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E2C2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524B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D802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6E3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0CF84C"/>
    <w:lvl w:ilvl="0">
      <w:start w:val="1"/>
      <w:numFmt w:val="decimal"/>
      <w:pStyle w:val="ListNumber"/>
      <w:lvlText w:val="%1."/>
      <w:lvlJc w:val="left"/>
      <w:pPr>
        <w:tabs>
          <w:tab w:val="num" w:pos="1134"/>
        </w:tabs>
        <w:ind w:left="1134" w:hanging="1134"/>
      </w:pPr>
    </w:lvl>
  </w:abstractNum>
  <w:abstractNum w:abstractNumId="9" w15:restartNumberingAfterBreak="0">
    <w:nsid w:val="04D5160A"/>
    <w:multiLevelType w:val="multilevel"/>
    <w:tmpl w:val="24D69AD6"/>
    <w:name w:val="Simple"/>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i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 w15:restartNumberingAfterBreak="0">
    <w:nsid w:val="09B756FE"/>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DCC6BF8"/>
    <w:multiLevelType w:val="multilevel"/>
    <w:tmpl w:val="586ED56E"/>
    <w:styleLink w:val="definitionsublist"/>
    <w:lvl w:ilvl="0">
      <w:start w:val="1"/>
      <w:numFmt w:val="lowerLetter"/>
      <w:pStyle w:val="definitionsubtable"/>
      <w:lvlText w:val="(%1)"/>
      <w:lvlJc w:val="left"/>
      <w:pPr>
        <w:ind w:left="567" w:hanging="567"/>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2"/>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ind w:left="1440" w:hanging="360"/>
      </w:pPr>
      <w:rPr>
        <w:rFonts w:hint="default"/>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12" w15:restartNumberingAfterBreak="0">
    <w:nsid w:val="0E9112BE"/>
    <w:multiLevelType w:val="hybridMultilevel"/>
    <w:tmpl w:val="78EC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5A6D76"/>
    <w:multiLevelType w:val="multilevel"/>
    <w:tmpl w:val="84B8F5CA"/>
    <w:name w:val="SH Numbering"/>
    <w:lvl w:ilvl="0">
      <w:start w:val="1"/>
      <w:numFmt w:val="decimal"/>
      <w:pStyle w:val="SH1"/>
      <w:lvlText w:val="%1"/>
      <w:lvlJc w:val="left"/>
      <w:pPr>
        <w:ind w:left="851" w:hanging="851"/>
      </w:pPr>
      <w:rPr>
        <w:rFonts w:hint="default"/>
        <w:b/>
      </w:rPr>
    </w:lvl>
    <w:lvl w:ilvl="1">
      <w:start w:val="1"/>
      <w:numFmt w:val="decimal"/>
      <w:pStyle w:val="SH2"/>
      <w:lvlText w:val="%1.%2"/>
      <w:lvlJc w:val="left"/>
      <w:pPr>
        <w:tabs>
          <w:tab w:val="num" w:pos="851"/>
        </w:tabs>
        <w:ind w:left="1701" w:hanging="850"/>
      </w:pPr>
      <w:rPr>
        <w:rFonts w:hint="default"/>
      </w:rPr>
    </w:lvl>
    <w:lvl w:ilvl="2">
      <w:start w:val="1"/>
      <w:numFmt w:val="decimal"/>
      <w:pStyle w:val="SH3"/>
      <w:lvlText w:val="%1.%2.%3"/>
      <w:lvlJc w:val="left"/>
      <w:pPr>
        <w:tabs>
          <w:tab w:val="num" w:pos="1701"/>
        </w:tabs>
        <w:ind w:left="2552" w:hanging="851"/>
      </w:pPr>
      <w:rPr>
        <w:rFonts w:hint="default"/>
      </w:rPr>
    </w:lvl>
    <w:lvl w:ilvl="3">
      <w:start w:val="1"/>
      <w:numFmt w:val="lowerLetter"/>
      <w:pStyle w:val="SH1"/>
      <w:lvlText w:val="(%4)"/>
      <w:lvlJc w:val="left"/>
      <w:pPr>
        <w:tabs>
          <w:tab w:val="num" w:pos="2552"/>
        </w:tabs>
        <w:ind w:left="3402" w:hanging="850"/>
      </w:pPr>
      <w:rPr>
        <w:rFonts w:hint="default"/>
      </w:rPr>
    </w:lvl>
    <w:lvl w:ilvl="4">
      <w:start w:val="1"/>
      <w:numFmt w:val="lowerRoman"/>
      <w:pStyle w:val="SH2"/>
      <w:lvlText w:val="(%5)"/>
      <w:lvlJc w:val="left"/>
      <w:pPr>
        <w:tabs>
          <w:tab w:val="num" w:pos="3402"/>
        </w:tabs>
        <w:ind w:left="4253" w:hanging="851"/>
      </w:pPr>
      <w:rPr>
        <w:rFonts w:hint="default"/>
      </w:rPr>
    </w:lvl>
    <w:lvl w:ilvl="5">
      <w:start w:val="1"/>
      <w:numFmt w:val="upperLetter"/>
      <w:lvlText w:val="(%6)"/>
      <w:lvlJc w:val="left"/>
      <w:pPr>
        <w:ind w:left="5103" w:hanging="85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135F52B6"/>
    <w:multiLevelType w:val="hybridMultilevel"/>
    <w:tmpl w:val="7F40410A"/>
    <w:name w:val="Headings 1-522"/>
    <w:lvl w:ilvl="0" w:tplc="8D5ED8CE">
      <w:start w:val="1"/>
      <w:numFmt w:val="lowerRoman"/>
      <w:lvlText w:val="(%1)"/>
      <w:lvlJc w:val="left"/>
      <w:pPr>
        <w:ind w:left="1854" w:hanging="720"/>
      </w:pPr>
      <w:rPr>
        <w:rFonts w:ascii="Arial" w:eastAsia="Times New Roman"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3604A2"/>
    <w:multiLevelType w:val="multilevel"/>
    <w:tmpl w:val="B4000338"/>
    <w:name w:val="UnnamedList82055"/>
    <w:lvl w:ilvl="0">
      <w:start w:val="1"/>
      <w:numFmt w:val="lowerLetter"/>
      <w:lvlText w:val="(%1)"/>
      <w:lvlJc w:val="left"/>
      <w:pPr>
        <w:tabs>
          <w:tab w:val="left" w:pos="576"/>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7677F8"/>
    <w:multiLevelType w:val="multilevel"/>
    <w:tmpl w:val="3FD656AE"/>
    <w:lvl w:ilvl="0">
      <w:start w:val="1"/>
      <w:numFmt w:val="decimal"/>
      <w:pStyle w:val="HeadingRN"/>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ED45055"/>
    <w:multiLevelType w:val="singleLevel"/>
    <w:tmpl w:val="B75CB47C"/>
    <w:lvl w:ilvl="0">
      <w:start w:val="1"/>
      <w:numFmt w:val="upperLetter"/>
      <w:pStyle w:val="Recitals"/>
      <w:lvlText w:val="(%1)"/>
      <w:lvlJc w:val="left"/>
      <w:pPr>
        <w:tabs>
          <w:tab w:val="num" w:pos="1134"/>
        </w:tabs>
        <w:ind w:left="1134" w:hanging="1134"/>
      </w:pPr>
      <w:rPr>
        <w:b/>
        <w:i w:val="0"/>
      </w:rPr>
    </w:lvl>
  </w:abstractNum>
  <w:abstractNum w:abstractNumId="19" w15:restartNumberingAfterBreak="0">
    <w:nsid w:val="1F4551DB"/>
    <w:multiLevelType w:val="multilevel"/>
    <w:tmpl w:val="0FFC8018"/>
    <w:name w:val="UnnamedList2670"/>
    <w:lvl w:ilvl="0">
      <w:start w:val="9"/>
      <w:numFmt w:val="lowerLetter"/>
      <w:lvlText w:val="(%1)"/>
      <w:lvlJc w:val="left"/>
      <w:pPr>
        <w:tabs>
          <w:tab w:val="left" w:pos="576"/>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873AF4"/>
    <w:multiLevelType w:val="multilevel"/>
    <w:tmpl w:val="3F065BAA"/>
    <w:styleLink w:val="CorporateSchedules"/>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247"/>
        </w:tabs>
        <w:ind w:left="2268" w:hanging="1134"/>
      </w:pPr>
      <w:rPr>
        <w:rFonts w:hint="default"/>
      </w:rPr>
    </w:lvl>
    <w:lvl w:ilvl="3">
      <w:start w:val="1"/>
      <w:numFmt w:val="lowerLetter"/>
      <w:lvlText w:val="(%4)"/>
      <w:lvlJc w:val="left"/>
      <w:pPr>
        <w:tabs>
          <w:tab w:val="num" w:pos="2268"/>
        </w:tabs>
        <w:ind w:left="2835" w:hanging="56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146349A"/>
    <w:multiLevelType w:val="multilevel"/>
    <w:tmpl w:val="8D5219F2"/>
    <w:lvl w:ilvl="0">
      <w:start w:val="1"/>
      <w:numFmt w:val="bullet"/>
      <w:lvlText w:val=""/>
      <w:lvlJc w:val="left"/>
      <w:pPr>
        <w:tabs>
          <w:tab w:val="num" w:pos="709"/>
        </w:tabs>
        <w:ind w:left="709" w:hanging="709"/>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7"/>
        </w:tabs>
        <w:ind w:left="1417" w:hanging="708"/>
      </w:pPr>
      <w:rPr>
        <w:rFonts w:hint="default"/>
        <w:b w:val="0"/>
        <w:i w:val="0"/>
      </w:rPr>
    </w:lvl>
    <w:lvl w:ilvl="3">
      <w:start w:val="1"/>
      <w:numFmt w:val="lowerRoman"/>
      <w:lvlText w:val="(%4)"/>
      <w:lvlJc w:val="left"/>
      <w:pPr>
        <w:tabs>
          <w:tab w:val="num" w:pos="2126"/>
        </w:tabs>
        <w:ind w:left="2126" w:hanging="709"/>
      </w:pPr>
      <w:rPr>
        <w:rFonts w:ascii="Arial" w:eastAsia="Times New Roman" w:hAnsi="Arial" w:cs="Times New Roman"/>
      </w:rPr>
    </w:lvl>
    <w:lvl w:ilvl="4">
      <w:start w:val="1"/>
      <w:numFmt w:val="lowerLetter"/>
      <w:lvlText w:val="%5)"/>
      <w:lvlJc w:val="left"/>
      <w:pPr>
        <w:tabs>
          <w:tab w:val="num" w:pos="2835"/>
        </w:tabs>
        <w:ind w:left="2835" w:hanging="709"/>
      </w:pPr>
      <w:rPr>
        <w:rFonts w:hint="default"/>
      </w:rPr>
    </w:lvl>
    <w:lvl w:ilvl="5">
      <w:start w:val="1"/>
      <w:numFmt w:val="decimal"/>
      <w:lvlText w:val="%1.%2.%6"/>
      <w:lvlJc w:val="left"/>
      <w:pPr>
        <w:tabs>
          <w:tab w:val="num" w:pos="8505"/>
        </w:tabs>
        <w:ind w:left="1418" w:hanging="709"/>
      </w:pPr>
      <w:rPr>
        <w:rFonts w:hint="default"/>
        <w:b w:val="0"/>
        <w:i w:val="0"/>
      </w:rPr>
    </w:lvl>
    <w:lvl w:ilvl="6">
      <w:start w:val="1"/>
      <w:numFmt w:val="decimal"/>
      <w:lvlText w:val="%1.%2.%6.%7"/>
      <w:lvlJc w:val="left"/>
      <w:pPr>
        <w:tabs>
          <w:tab w:val="num" w:pos="4252"/>
        </w:tabs>
        <w:ind w:left="2211" w:hanging="793"/>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2" w15:restartNumberingAfterBreak="0">
    <w:nsid w:val="227049A9"/>
    <w:multiLevelType w:val="hybridMultilevel"/>
    <w:tmpl w:val="3DB81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56F4603"/>
    <w:multiLevelType w:val="multilevel"/>
    <w:tmpl w:val="7DF246F6"/>
    <w:styleLink w:val="ScheduleStyles"/>
    <w:lvl w:ilvl="0">
      <w:start w:val="1"/>
      <w:numFmt w:val="decimal"/>
      <w:pStyle w:val="ScheduleL1"/>
      <w:lvlText w:val="%1."/>
      <w:lvlJc w:val="left"/>
      <w:pPr>
        <w:tabs>
          <w:tab w:val="num" w:pos="1134"/>
        </w:tabs>
        <w:ind w:left="1134" w:hanging="1134"/>
      </w:pPr>
      <w:rPr>
        <w:rFonts w:hint="default"/>
      </w:rPr>
    </w:lvl>
    <w:lvl w:ilvl="1">
      <w:start w:val="1"/>
      <w:numFmt w:val="decimal"/>
      <w:pStyle w:val="ScheduleL2"/>
      <w:isLgl/>
      <w:lvlText w:val="%1.%2"/>
      <w:lvlJc w:val="left"/>
      <w:pPr>
        <w:tabs>
          <w:tab w:val="num" w:pos="1134"/>
        </w:tabs>
        <w:ind w:left="1134" w:hanging="1134"/>
      </w:pPr>
      <w:rPr>
        <w:rFonts w:hint="default"/>
      </w:rPr>
    </w:lvl>
    <w:lvl w:ilvl="2">
      <w:start w:val="1"/>
      <w:numFmt w:val="decimal"/>
      <w:pStyle w:val="ScheduleL3"/>
      <w:isLgl/>
      <w:lvlText w:val="%1.%2.%3"/>
      <w:lvlJc w:val="left"/>
      <w:pPr>
        <w:tabs>
          <w:tab w:val="num" w:pos="1134"/>
        </w:tabs>
        <w:ind w:left="1134" w:hanging="1134"/>
      </w:pPr>
      <w:rPr>
        <w:rFonts w:hint="default"/>
      </w:rPr>
    </w:lvl>
    <w:lvl w:ilvl="3">
      <w:start w:val="1"/>
      <w:numFmt w:val="decimal"/>
      <w:pStyle w:val="ScheduleL4"/>
      <w:isLg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92B7E41"/>
    <w:multiLevelType w:val="hybridMultilevel"/>
    <w:tmpl w:val="0966EE68"/>
    <w:lvl w:ilvl="0" w:tplc="BA04D2E8">
      <w:start w:val="1"/>
      <w:numFmt w:val="decimal"/>
      <w:pStyle w:val="ListParagraph"/>
      <w:lvlText w:val="%1."/>
      <w:lvlJc w:val="left"/>
      <w:pPr>
        <w:ind w:left="36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6A3223"/>
    <w:multiLevelType w:val="multilevel"/>
    <w:tmpl w:val="C8D6362C"/>
    <w:styleLink w:val="ListHeadings"/>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rFonts w:hint="default"/>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BA52424"/>
    <w:multiLevelType w:val="hybridMultilevel"/>
    <w:tmpl w:val="E0DC1C78"/>
    <w:lvl w:ilvl="0" w:tplc="76227876">
      <w:start w:val="1"/>
      <w:numFmt w:val="decimal"/>
      <w:pStyle w:val="Part"/>
      <w:lvlText w:val="Part %1"/>
      <w:lvlJc w:val="center"/>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E45ED1"/>
    <w:multiLevelType w:val="multilevel"/>
    <w:tmpl w:val="7F7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1E1D4F"/>
    <w:multiLevelType w:val="multilevel"/>
    <w:tmpl w:val="43AEC96C"/>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3C06DE"/>
    <w:multiLevelType w:val="multilevel"/>
    <w:tmpl w:val="B0400AEA"/>
    <w:styleLink w:val="CorporateHeadings"/>
    <w:lvl w:ilvl="0">
      <w:start w:val="1"/>
      <w:numFmt w:val="decimal"/>
      <w:isLgl/>
      <w:lvlText w:val="%1."/>
      <w:lvlJc w:val="left"/>
      <w:pPr>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2268" w:hanging="1134"/>
      </w:pPr>
      <w:rPr>
        <w:rFonts w:hint="default"/>
      </w:rPr>
    </w:lvl>
    <w:lvl w:ilvl="3">
      <w:start w:val="1"/>
      <w:numFmt w:val="lowerLetter"/>
      <w:lvlText w:val="(%4)"/>
      <w:lvlJc w:val="left"/>
      <w:pPr>
        <w:tabs>
          <w:tab w:val="num" w:pos="3402"/>
        </w:tabs>
        <w:ind w:left="2835" w:hanging="567"/>
      </w:pPr>
      <w:rPr>
        <w:rFonts w:hint="default"/>
      </w:rPr>
    </w:lvl>
    <w:lvl w:ilvl="4">
      <w:start w:val="1"/>
      <w:numFmt w:val="lowerRoman"/>
      <w:lvlText w:val="(%5)"/>
      <w:lvlJc w:val="left"/>
      <w:pPr>
        <w:tabs>
          <w:tab w:val="num" w:pos="2835"/>
        </w:tabs>
        <w:ind w:left="3402" w:hanging="567"/>
      </w:pPr>
      <w:rPr>
        <w:rFonts w:hint="default"/>
      </w:rPr>
    </w:lvl>
    <w:lvl w:ilvl="5">
      <w:start w:val="1"/>
      <w:numFmt w:val="upperLetter"/>
      <w:pStyle w:val="Heading6"/>
      <w:lvlText w:val="(%6)"/>
      <w:lvlJc w:val="left"/>
      <w:pPr>
        <w:ind w:left="3969"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D567CC2"/>
    <w:multiLevelType w:val="singleLevel"/>
    <w:tmpl w:val="8BF48268"/>
    <w:lvl w:ilvl="0">
      <w:start w:val="1"/>
      <w:numFmt w:val="bullet"/>
      <w:pStyle w:val="Bullet"/>
      <w:lvlText w:val=""/>
      <w:lvlJc w:val="left"/>
      <w:pPr>
        <w:tabs>
          <w:tab w:val="num" w:pos="2268"/>
        </w:tabs>
        <w:ind w:left="2268" w:hanging="1134"/>
      </w:pPr>
      <w:rPr>
        <w:rFonts w:ascii="Symbol" w:hAnsi="Symbol" w:hint="default"/>
      </w:rPr>
    </w:lvl>
  </w:abstractNum>
  <w:abstractNum w:abstractNumId="31" w15:restartNumberingAfterBreak="0">
    <w:nsid w:val="2DC237E6"/>
    <w:multiLevelType w:val="hybridMultilevel"/>
    <w:tmpl w:val="3AAEA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E111C1"/>
    <w:multiLevelType w:val="hybridMultilevel"/>
    <w:tmpl w:val="73667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12B766E"/>
    <w:multiLevelType w:val="multilevel"/>
    <w:tmpl w:val="4970A576"/>
    <w:name w:val="UnnamedList61959"/>
    <w:lvl w:ilvl="0">
      <w:start w:val="1"/>
      <w:numFmt w:val="lowerRoman"/>
      <w:lvlText w:val="(%1)"/>
      <w:lvlJc w:val="left"/>
      <w:pPr>
        <w:tabs>
          <w:tab w:val="left" w:pos="504"/>
        </w:tabs>
        <w:ind w:left="720"/>
      </w:pPr>
      <w:rPr>
        <w:rFonts w:ascii="Times New Roman" w:eastAsia="Times New Roman" w:hAnsi="Times New Roman"/>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18E4168"/>
    <w:multiLevelType w:val="multilevel"/>
    <w:tmpl w:val="916E91BA"/>
    <w:lvl w:ilvl="0">
      <w:start w:val="1"/>
      <w:numFmt w:val="decimal"/>
      <w:lvlText w:val="%1)"/>
      <w:lvlJc w:val="left"/>
      <w:pPr>
        <w:tabs>
          <w:tab w:val="num" w:pos="360"/>
        </w:tabs>
        <w:ind w:left="360" w:hanging="360"/>
      </w:pPr>
    </w:lvl>
    <w:lvl w:ilvl="1">
      <w:start w:val="1"/>
      <w:numFmt w:val="decimal"/>
      <w:pStyle w:val="Style2"/>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2D5649B"/>
    <w:multiLevelType w:val="multilevel"/>
    <w:tmpl w:val="E7229E7C"/>
    <w:numStyleLink w:val="ExhibitNumbering"/>
  </w:abstractNum>
  <w:abstractNum w:abstractNumId="36" w15:restartNumberingAfterBreak="0">
    <w:nsid w:val="36F50130"/>
    <w:multiLevelType w:val="multilevel"/>
    <w:tmpl w:val="81E4702E"/>
    <w:lvl w:ilvl="0">
      <w:start w:val="1"/>
      <w:numFmt w:val="decimal"/>
      <w:pStyle w:val="ChapterHeading"/>
      <w:lvlText w:val="%1.0"/>
      <w:lvlJc w:val="left"/>
      <w:pPr>
        <w:tabs>
          <w:tab w:val="num" w:pos="360"/>
        </w:tabs>
        <w:ind w:left="360" w:hanging="360"/>
      </w:pPr>
      <w:rPr>
        <w:rFonts w:asciiTheme="minorHAnsi" w:hAnsiTheme="minorHAnsi" w:hint="default"/>
        <w:b/>
      </w:rPr>
    </w:lvl>
    <w:lvl w:ilvl="1">
      <w:start w:val="1"/>
      <w:numFmt w:val="decimal"/>
      <w:lvlText w:val="%1.%2."/>
      <w:lvlJc w:val="left"/>
      <w:pPr>
        <w:tabs>
          <w:tab w:val="num" w:pos="1288"/>
        </w:tabs>
        <w:ind w:left="1000"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372B345C"/>
    <w:multiLevelType w:val="multilevel"/>
    <w:tmpl w:val="DE227058"/>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BD5786"/>
    <w:multiLevelType w:val="multilevel"/>
    <w:tmpl w:val="06E4A3D6"/>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D1A5D3C"/>
    <w:multiLevelType w:val="multilevel"/>
    <w:tmpl w:val="F5BCDA92"/>
    <w:name w:val="HouseList"/>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3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40" w15:restartNumberingAfterBreak="0">
    <w:nsid w:val="3D6A6B7E"/>
    <w:multiLevelType w:val="multilevel"/>
    <w:tmpl w:val="DE3885EF"/>
    <w:lvl w:ilvl="0">
      <w:start w:val="1"/>
      <w:numFmt w:val="none"/>
      <w:pStyle w:val="SJBHeading"/>
      <w:suff w:val="nothing"/>
      <w:lvlText w:val=""/>
      <w:lvlJc w:val="left"/>
      <w:pPr>
        <w:tabs>
          <w:tab w:val="num" w:pos="851"/>
        </w:tabs>
        <w:ind w:left="851"/>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pStyle w:val="SJBSub-heading"/>
      <w:suff w:val="nothing"/>
      <w:lvlText w:val=""/>
      <w:lvlJc w:val="left"/>
      <w:pPr>
        <w:tabs>
          <w:tab w:val="num" w:pos="851"/>
        </w:tabs>
        <w:ind w:left="851"/>
      </w:pPr>
      <w:rPr>
        <w:b w:val="0"/>
        <w:i/>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pStyle w:val="SJBSchedulesub-heading"/>
      <w:suff w:val="nothing"/>
      <w:lvlText w:val=""/>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pStyle w:val="SJBPartsub-heading"/>
      <w:suff w:val="nothing"/>
      <w:lvlText w:val=""/>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suff w:val="nothing"/>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3DCC7A4F"/>
    <w:multiLevelType w:val="multilevel"/>
    <w:tmpl w:val="F75AB96E"/>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03C062B"/>
    <w:multiLevelType w:val="hybridMultilevel"/>
    <w:tmpl w:val="3EB86D70"/>
    <w:lvl w:ilvl="0" w:tplc="55A056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287770A"/>
    <w:multiLevelType w:val="multilevel"/>
    <w:tmpl w:val="31B4394C"/>
    <w:name w:val="UnnamedList33331"/>
    <w:lvl w:ilvl="0">
      <w:start w:val="1"/>
      <w:numFmt w:val="lowerLetter"/>
      <w:lvlText w:val="(%1)"/>
      <w:lvlJc w:val="left"/>
      <w:pPr>
        <w:tabs>
          <w:tab w:val="left" w:pos="576"/>
        </w:tabs>
        <w:ind w:left="720"/>
      </w:pPr>
      <w:rPr>
        <w:rFonts w:ascii="Times New Roman" w:eastAsia="Times New Roman" w:hAnsi="Times New Roman"/>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47B5F59"/>
    <w:multiLevelType w:val="multilevel"/>
    <w:tmpl w:val="32A8DAAE"/>
    <w:name w:val="UnnamedList49736"/>
    <w:lvl w:ilvl="0">
      <w:start w:val="1"/>
      <w:numFmt w:val="lowerRoman"/>
      <w:lvlText w:val="(%1)"/>
      <w:lvlJc w:val="left"/>
      <w:pPr>
        <w:tabs>
          <w:tab w:val="left" w:pos="576"/>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C13D35"/>
    <w:multiLevelType w:val="multilevel"/>
    <w:tmpl w:val="FAE6FE0A"/>
    <w:name w:val="Headings2"/>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b w:val="0"/>
        <w:i w:val="0"/>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121"/>
        </w:tabs>
        <w:ind w:left="4121" w:hanging="709"/>
      </w:pPr>
      <w:rPr>
        <w:rFonts w:hint="default"/>
      </w:rPr>
    </w:lvl>
    <w:lvl w:ilvl="8">
      <w:start w:val="1"/>
      <w:numFmt w:val="upperLetter"/>
      <w:lvlText w:val="%9)"/>
      <w:lvlJc w:val="left"/>
      <w:pPr>
        <w:tabs>
          <w:tab w:val="num" w:pos="4829"/>
        </w:tabs>
        <w:ind w:left="4829" w:hanging="708"/>
      </w:pPr>
      <w:rPr>
        <w:rFonts w:hint="default"/>
      </w:rPr>
    </w:lvl>
  </w:abstractNum>
  <w:abstractNum w:abstractNumId="46" w15:restartNumberingAfterBreak="0">
    <w:nsid w:val="495D4236"/>
    <w:multiLevelType w:val="hybridMultilevel"/>
    <w:tmpl w:val="A7782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97D105F"/>
    <w:multiLevelType w:val="multilevel"/>
    <w:tmpl w:val="7BE45312"/>
    <w:name w:val="UnnamedList77246"/>
    <w:lvl w:ilvl="0">
      <w:start w:val="1"/>
      <w:numFmt w:val="lowerLetter"/>
      <w:lvlText w:val="(%1)"/>
      <w:lvlJc w:val="left"/>
      <w:pPr>
        <w:tabs>
          <w:tab w:val="num" w:pos="504"/>
        </w:tabs>
        <w:ind w:left="720" w:firstLine="0"/>
      </w:pPr>
      <w:rPr>
        <w:rFonts w:ascii="Times New Roman" w:eastAsia="Times New Roman" w:hAnsi="Times New Roman" w:hint="default"/>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4AD927D6"/>
    <w:multiLevelType w:val="singleLevel"/>
    <w:tmpl w:val="27705B7C"/>
    <w:lvl w:ilvl="0">
      <w:start w:val="1"/>
      <w:numFmt w:val="lowerLetter"/>
      <w:pStyle w:val="definitionsub"/>
      <w:lvlText w:val="(%1)"/>
      <w:lvlJc w:val="left"/>
      <w:pPr>
        <w:tabs>
          <w:tab w:val="num" w:pos="4536"/>
        </w:tabs>
        <w:ind w:left="4536" w:hanging="567"/>
      </w:pPr>
    </w:lvl>
  </w:abstractNum>
  <w:abstractNum w:abstractNumId="49" w15:restartNumberingAfterBreak="0">
    <w:nsid w:val="4DF617E1"/>
    <w:multiLevelType w:val="multilevel"/>
    <w:tmpl w:val="A3EAB510"/>
    <w:name w:val="Headings 1-5"/>
    <w:styleLink w:val="HeadingStyles"/>
    <w:lvl w:ilvl="0">
      <w:start w:val="1"/>
      <w:numFmt w:val="decimal"/>
      <w:pStyle w:val="Heading1"/>
      <w:isLgl/>
      <w:lvlText w:val="%1."/>
      <w:lvlJc w:val="left"/>
      <w:pPr>
        <w:tabs>
          <w:tab w:val="num" w:pos="1134"/>
        </w:tabs>
        <w:ind w:left="1134" w:hanging="1134"/>
      </w:pPr>
      <w:rPr>
        <w:rFonts w:hint="default"/>
      </w:rPr>
    </w:lvl>
    <w:lvl w:ilvl="1">
      <w:start w:val="1"/>
      <w:numFmt w:val="decimal"/>
      <w:pStyle w:val="Heading2"/>
      <w:isLgl/>
      <w:lvlText w:val="%1.%2"/>
      <w:lvlJc w:val="left"/>
      <w:pPr>
        <w:tabs>
          <w:tab w:val="num" w:pos="1134"/>
        </w:tabs>
        <w:ind w:left="1134" w:hanging="1134"/>
      </w:pPr>
      <w:rPr>
        <w:rFonts w:hint="default"/>
      </w:rPr>
    </w:lvl>
    <w:lvl w:ilvl="2">
      <w:start w:val="1"/>
      <w:numFmt w:val="decimal"/>
      <w:pStyle w:val="Heading3"/>
      <w:isLgl/>
      <w:lvlText w:val="%1.%2.%3"/>
      <w:lvlJc w:val="left"/>
      <w:pPr>
        <w:tabs>
          <w:tab w:val="num" w:pos="1134"/>
        </w:tabs>
        <w:ind w:left="1134" w:hanging="1134"/>
      </w:pPr>
      <w:rPr>
        <w:rFonts w:hint="default"/>
      </w:rPr>
    </w:lvl>
    <w:lvl w:ilvl="3">
      <w:start w:val="1"/>
      <w:numFmt w:val="decimal"/>
      <w:pStyle w:val="Heading4"/>
      <w:isLgl/>
      <w:lvlText w:val="%1.%2.%3.%4"/>
      <w:lvlJc w:val="left"/>
      <w:pPr>
        <w:tabs>
          <w:tab w:val="num" w:pos="2268"/>
        </w:tabs>
        <w:ind w:left="2268" w:hanging="1134"/>
      </w:pPr>
      <w:rPr>
        <w:rFonts w:hint="default"/>
      </w:rPr>
    </w:lvl>
    <w:lvl w:ilvl="4">
      <w:start w:val="1"/>
      <w:numFmt w:val="decimal"/>
      <w:pStyle w:val="Heading5"/>
      <w:isLgl/>
      <w:lvlText w:val="%1.%2.%3.%4.%5"/>
      <w:lvlJc w:val="left"/>
      <w:pPr>
        <w:tabs>
          <w:tab w:val="num" w:pos="2268"/>
        </w:tabs>
        <w:ind w:left="2268" w:hanging="1134"/>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51DB79C7"/>
    <w:multiLevelType w:val="hybridMultilevel"/>
    <w:tmpl w:val="3F3A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F95850"/>
    <w:multiLevelType w:val="singleLevel"/>
    <w:tmpl w:val="B30A1960"/>
    <w:lvl w:ilvl="0">
      <w:start w:val="1"/>
      <w:numFmt w:val="decimal"/>
      <w:pStyle w:val="PartiesFront"/>
      <w:lvlText w:val="(%1)"/>
      <w:lvlJc w:val="left"/>
      <w:pPr>
        <w:tabs>
          <w:tab w:val="num" w:pos="3402"/>
        </w:tabs>
        <w:ind w:left="3402" w:hanging="1134"/>
      </w:pPr>
    </w:lvl>
  </w:abstractNum>
  <w:abstractNum w:abstractNumId="52" w15:restartNumberingAfterBreak="0">
    <w:nsid w:val="531F0E6F"/>
    <w:multiLevelType w:val="hybridMultilevel"/>
    <w:tmpl w:val="C1CC23E4"/>
    <w:lvl w:ilvl="0" w:tplc="08090001">
      <w:start w:val="1"/>
      <w:numFmt w:val="bullet"/>
      <w:lvlText w:val=""/>
      <w:lvlJc w:val="left"/>
      <w:pPr>
        <w:ind w:left="360" w:hanging="360"/>
      </w:pPr>
      <w:rPr>
        <w:rFonts w:ascii="Symbol" w:hAnsi="Symbol" w:hint="default"/>
      </w:rPr>
    </w:lvl>
    <w:lvl w:ilvl="1" w:tplc="2DAA3F98">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4B72AE3"/>
    <w:multiLevelType w:val="multilevel"/>
    <w:tmpl w:val="E60E2E78"/>
    <w:lvl w:ilvl="0">
      <w:start w:val="1"/>
      <w:numFmt w:val="bullet"/>
      <w:lvlText w:val=""/>
      <w:lvlJc w:val="left"/>
      <w:pPr>
        <w:tabs>
          <w:tab w:val="num" w:pos="709"/>
        </w:tabs>
        <w:ind w:left="709" w:hanging="709"/>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7"/>
        </w:tabs>
        <w:ind w:left="1417" w:hanging="708"/>
      </w:pPr>
      <w:rPr>
        <w:rFonts w:hint="default"/>
        <w:b w:val="0"/>
        <w:i w:val="0"/>
      </w:rPr>
    </w:lvl>
    <w:lvl w:ilvl="3">
      <w:start w:val="1"/>
      <w:numFmt w:val="lowerRoman"/>
      <w:lvlText w:val="(%4)"/>
      <w:lvlJc w:val="left"/>
      <w:pPr>
        <w:tabs>
          <w:tab w:val="num" w:pos="2126"/>
        </w:tabs>
        <w:ind w:left="2126" w:hanging="709"/>
      </w:pPr>
      <w:rPr>
        <w:rFonts w:ascii="Arial" w:eastAsia="Times New Roman" w:hAnsi="Arial" w:cs="Times New Roman"/>
        <w:b w:val="0"/>
        <w:i w:val="0"/>
      </w:rPr>
    </w:lvl>
    <w:lvl w:ilvl="4">
      <w:start w:val="1"/>
      <w:numFmt w:val="lowerLetter"/>
      <w:lvlText w:val="%5)"/>
      <w:lvlJc w:val="left"/>
      <w:pPr>
        <w:tabs>
          <w:tab w:val="num" w:pos="2835"/>
        </w:tabs>
        <w:ind w:left="2835" w:hanging="709"/>
      </w:pPr>
      <w:rPr>
        <w:rFonts w:hint="default"/>
      </w:rPr>
    </w:lvl>
    <w:lvl w:ilvl="5">
      <w:start w:val="1"/>
      <w:numFmt w:val="decimal"/>
      <w:lvlText w:val="%1.%2.%6"/>
      <w:lvlJc w:val="left"/>
      <w:pPr>
        <w:tabs>
          <w:tab w:val="num" w:pos="8505"/>
        </w:tabs>
        <w:ind w:left="1418" w:hanging="709"/>
      </w:pPr>
      <w:rPr>
        <w:rFonts w:hint="default"/>
        <w:b w:val="0"/>
        <w:i w:val="0"/>
      </w:rPr>
    </w:lvl>
    <w:lvl w:ilvl="6">
      <w:start w:val="1"/>
      <w:numFmt w:val="decimal"/>
      <w:lvlText w:val="%1.%2.%6.%7"/>
      <w:lvlJc w:val="left"/>
      <w:pPr>
        <w:tabs>
          <w:tab w:val="num" w:pos="4252"/>
        </w:tabs>
        <w:ind w:left="2211" w:hanging="793"/>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4" w15:restartNumberingAfterBreak="0">
    <w:nsid w:val="57691197"/>
    <w:multiLevelType w:val="multilevel"/>
    <w:tmpl w:val="2FBC8588"/>
    <w:name w:val="UnnamedList1835"/>
    <w:lvl w:ilvl="0">
      <w:start w:val="1"/>
      <w:numFmt w:val="lowerLetter"/>
      <w:lvlText w:val="(%1)"/>
      <w:lvlJc w:val="left"/>
      <w:pPr>
        <w:tabs>
          <w:tab w:val="num" w:pos="504"/>
        </w:tabs>
        <w:ind w:left="720" w:firstLine="0"/>
      </w:pPr>
      <w:rPr>
        <w:rFonts w:ascii="Times New Roman" w:eastAsia="Times New Roman" w:hAnsi="Times New Roman" w:hint="default"/>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57C01C8E"/>
    <w:multiLevelType w:val="multilevel"/>
    <w:tmpl w:val="A3EAB510"/>
    <w:name w:val="Headings 1-52"/>
    <w:numStyleLink w:val="HeadingStyles"/>
  </w:abstractNum>
  <w:abstractNum w:abstractNumId="56" w15:restartNumberingAfterBreak="0">
    <w:nsid w:val="5A390E8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C795667"/>
    <w:multiLevelType w:val="hybridMultilevel"/>
    <w:tmpl w:val="3DB81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EA817AE"/>
    <w:multiLevelType w:val="multilevel"/>
    <w:tmpl w:val="10C25D6C"/>
    <w:name w:val="Headings 1-523"/>
    <w:lvl w:ilvl="0">
      <w:start w:val="1"/>
      <w:numFmt w:val="decimal"/>
      <w:lvlText w:val="%1"/>
      <w:lvlJc w:val="left"/>
      <w:pPr>
        <w:tabs>
          <w:tab w:val="num" w:pos="709"/>
        </w:tabs>
        <w:ind w:left="709" w:hanging="709"/>
      </w:pPr>
      <w:rPr>
        <w:rFonts w:hint="default"/>
        <w:b/>
        <w:i w:val="0"/>
        <w:caps/>
      </w:rPr>
    </w:lvl>
    <w:lvl w:ilvl="1">
      <w:start w:val="1"/>
      <w:numFmt w:val="decimal"/>
      <w:lvlText w:val="%1.%2"/>
      <w:lvlJc w:val="left"/>
      <w:pPr>
        <w:tabs>
          <w:tab w:val="num" w:pos="709"/>
        </w:tabs>
        <w:ind w:left="709" w:hanging="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F976B78"/>
    <w:multiLevelType w:val="multilevel"/>
    <w:tmpl w:val="62D27D42"/>
    <w:name w:val="UnnamedList97454"/>
    <w:lvl w:ilvl="0">
      <w:start w:val="1"/>
      <w:numFmt w:val="lowerLetter"/>
      <w:lvlText w:val="(%1)"/>
      <w:lvlJc w:val="left"/>
      <w:pPr>
        <w:tabs>
          <w:tab w:val="left" w:pos="576"/>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FF9240A"/>
    <w:multiLevelType w:val="multilevel"/>
    <w:tmpl w:val="A3D6FA90"/>
    <w:name w:val="UnnamedList65691"/>
    <w:lvl w:ilvl="0">
      <w:start w:val="1"/>
      <w:numFmt w:val="lowerRoman"/>
      <w:lvlText w:val="(%1)"/>
      <w:lvlJc w:val="left"/>
      <w:pPr>
        <w:tabs>
          <w:tab w:val="left" w:pos="504"/>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196048C"/>
    <w:multiLevelType w:val="multilevel"/>
    <w:tmpl w:val="45D0B30A"/>
    <w:name w:val="SH Bullets"/>
    <w:lvl w:ilvl="0">
      <w:start w:val="1"/>
      <w:numFmt w:val="bullet"/>
      <w:pStyle w:val="SHBullet1"/>
      <w:lvlText w:val=""/>
      <w:lvlJc w:val="left"/>
      <w:pPr>
        <w:ind w:left="851" w:hanging="851"/>
      </w:pPr>
      <w:rPr>
        <w:rFonts w:ascii="Wingdings" w:hAnsi="Wingdings" w:hint="default"/>
      </w:rPr>
    </w:lvl>
    <w:lvl w:ilvl="1">
      <w:start w:val="1"/>
      <w:numFmt w:val="bullet"/>
      <w:pStyle w:val="SHBullet2"/>
      <w:lvlText w:val=""/>
      <w:lvlJc w:val="left"/>
      <w:pPr>
        <w:ind w:left="1701" w:hanging="850"/>
      </w:pPr>
      <w:rPr>
        <w:rFonts w:ascii="Wingdings" w:hAnsi="Wingdings" w:hint="default"/>
      </w:rPr>
    </w:lvl>
    <w:lvl w:ilvl="2">
      <w:start w:val="1"/>
      <w:numFmt w:val="bullet"/>
      <w:pStyle w:val="SHBullet1"/>
      <w:lvlText w:val=""/>
      <w:lvlJc w:val="left"/>
      <w:pPr>
        <w:ind w:left="2552" w:hanging="851"/>
      </w:pPr>
      <w:rPr>
        <w:rFonts w:ascii="Wingdings" w:hAnsi="Wingdings" w:hint="default"/>
      </w:rPr>
    </w:lvl>
    <w:lvl w:ilvl="3">
      <w:start w:val="1"/>
      <w:numFmt w:val="bullet"/>
      <w:lvlText w:val=""/>
      <w:lvlJc w:val="left"/>
      <w:pPr>
        <w:ind w:left="3402" w:hanging="850"/>
      </w:pPr>
      <w:rPr>
        <w:rFonts w:ascii="Wingdings" w:hAnsi="Wingdings" w:hint="default"/>
      </w:rPr>
    </w:lvl>
    <w:lvl w:ilvl="4">
      <w:start w:val="1"/>
      <w:numFmt w:val="bullet"/>
      <w:lvlText w:val=""/>
      <w:lvlJc w:val="left"/>
      <w:pPr>
        <w:ind w:left="4253" w:hanging="851"/>
      </w:pPr>
      <w:rPr>
        <w:rFonts w:ascii="Wingdings" w:hAnsi="Wingdings" w:hint="default"/>
      </w:rPr>
    </w:lvl>
    <w:lvl w:ilvl="5">
      <w:start w:val="1"/>
      <w:numFmt w:val="bullet"/>
      <w:lvlText w:val=""/>
      <w:lvlJc w:val="left"/>
      <w:pPr>
        <w:ind w:left="5103" w:hanging="850"/>
      </w:pPr>
      <w:rPr>
        <w:rFonts w:ascii="Wingdings" w:hAnsi="Wingdings" w:hint="default"/>
      </w:rPr>
    </w:lvl>
    <w:lvl w:ilvl="6">
      <w:start w:val="1"/>
      <w:numFmt w:val="bullet"/>
      <w:lvlText w:val=""/>
      <w:lvlJc w:val="left"/>
      <w:pPr>
        <w:tabs>
          <w:tab w:val="num" w:pos="5103"/>
        </w:tabs>
        <w:ind w:left="5954" w:hanging="851"/>
      </w:pPr>
      <w:rPr>
        <w:rFonts w:ascii="Wingdings" w:hAnsi="Wingdings" w:hint="default"/>
      </w:rPr>
    </w:lvl>
    <w:lvl w:ilvl="7">
      <w:start w:val="1"/>
      <w:numFmt w:val="bullet"/>
      <w:lvlText w:val=""/>
      <w:lvlJc w:val="left"/>
      <w:pPr>
        <w:tabs>
          <w:tab w:val="num" w:pos="5954"/>
        </w:tabs>
        <w:ind w:left="6804" w:hanging="850"/>
      </w:pPr>
      <w:rPr>
        <w:rFonts w:ascii="Wingdings" w:hAnsi="Wingdings" w:hint="default"/>
      </w:rPr>
    </w:lvl>
    <w:lvl w:ilvl="8">
      <w:start w:val="1"/>
      <w:numFmt w:val="bullet"/>
      <w:lvlText w:val=""/>
      <w:lvlJc w:val="left"/>
      <w:pPr>
        <w:ind w:left="7655" w:hanging="851"/>
      </w:pPr>
      <w:rPr>
        <w:rFonts w:ascii="Symbol" w:hAnsi="Symbol" w:hint="default"/>
      </w:rPr>
    </w:lvl>
  </w:abstractNum>
  <w:abstractNum w:abstractNumId="62" w15:restartNumberingAfterBreak="0">
    <w:nsid w:val="620B79D2"/>
    <w:multiLevelType w:val="multilevel"/>
    <w:tmpl w:val="3F2A9C6A"/>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3" w15:restartNumberingAfterBreak="0">
    <w:nsid w:val="62256BC6"/>
    <w:multiLevelType w:val="singleLevel"/>
    <w:tmpl w:val="A12CA4AC"/>
    <w:lvl w:ilvl="0">
      <w:start w:val="1"/>
      <w:numFmt w:val="bullet"/>
      <w:pStyle w:val="ListBullet"/>
      <w:lvlText w:val=""/>
      <w:lvlJc w:val="left"/>
      <w:pPr>
        <w:tabs>
          <w:tab w:val="num" w:pos="1134"/>
        </w:tabs>
        <w:ind w:left="1134" w:hanging="1134"/>
      </w:pPr>
      <w:rPr>
        <w:rFonts w:ascii="Symbol" w:hAnsi="Symbol" w:hint="default"/>
      </w:rPr>
    </w:lvl>
  </w:abstractNum>
  <w:abstractNum w:abstractNumId="64" w15:restartNumberingAfterBreak="0">
    <w:nsid w:val="62787184"/>
    <w:multiLevelType w:val="multilevel"/>
    <w:tmpl w:val="AB7C46CC"/>
    <w:lvl w:ilvl="0">
      <w:start w:val="1"/>
      <w:numFmt w:val="decimal"/>
      <w:pStyle w:val="Level1"/>
      <w:lvlText w:val="%1."/>
      <w:lvlJc w:val="left"/>
      <w:pPr>
        <w:tabs>
          <w:tab w:val="num" w:pos="851"/>
        </w:tabs>
        <w:ind w:left="851" w:hanging="732"/>
      </w:pPr>
      <w:rPr>
        <w:rFonts w:hint="default"/>
        <w:b/>
        <w:i w:val="0"/>
        <w:u w:val="none"/>
      </w:rPr>
    </w:lvl>
    <w:lvl w:ilvl="1">
      <w:start w:val="1"/>
      <w:numFmt w:val="decimal"/>
      <w:pStyle w:val="Level2"/>
      <w:lvlText w:val="%1.%2"/>
      <w:lvlJc w:val="left"/>
      <w:pPr>
        <w:tabs>
          <w:tab w:val="num" w:pos="851"/>
        </w:tabs>
        <w:ind w:left="851" w:hanging="732"/>
      </w:pPr>
      <w:rPr>
        <w:rFonts w:hint="default"/>
        <w:b w:val="0"/>
        <w:i w:val="0"/>
        <w:u w:val="none"/>
      </w:rPr>
    </w:lvl>
    <w:lvl w:ilvl="2">
      <w:start w:val="1"/>
      <w:numFmt w:val="decimal"/>
      <w:pStyle w:val="Level3"/>
      <w:lvlText w:val="%1.%2.%3"/>
      <w:lvlJc w:val="left"/>
      <w:pPr>
        <w:tabs>
          <w:tab w:val="num" w:pos="1724"/>
        </w:tabs>
        <w:ind w:left="732" w:hanging="73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5" w15:restartNumberingAfterBreak="0">
    <w:nsid w:val="634C2C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4E61283"/>
    <w:multiLevelType w:val="hybridMultilevel"/>
    <w:tmpl w:val="EB5AA0EA"/>
    <w:lvl w:ilvl="0" w:tplc="B6C8B6A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D977B8E"/>
    <w:multiLevelType w:val="multilevel"/>
    <w:tmpl w:val="362CC512"/>
    <w:name w:val="SH Schedules"/>
    <w:lvl w:ilvl="0">
      <w:start w:val="1"/>
      <w:numFmt w:val="decimal"/>
      <w:pStyle w:val="SHSch"/>
      <w:lvlText w:val="Schedule %1"/>
      <w:lvlJc w:val="left"/>
      <w:pPr>
        <w:ind w:left="0" w:firstLine="0"/>
      </w:pPr>
      <w:rPr>
        <w:rFonts w:ascii="Verdana" w:hAnsi="Verdana" w:hint="default"/>
        <w:b/>
        <w:i w:val="0"/>
        <w:sz w:val="19"/>
      </w:rPr>
    </w:lvl>
    <w:lvl w:ilvl="1">
      <w:start w:val="1"/>
      <w:numFmt w:val="none"/>
      <w:pStyle w:val="SHSchTitle"/>
      <w:suff w:val="nothing"/>
      <w:lvlText w:val=""/>
      <w:lvlJc w:val="left"/>
      <w:pPr>
        <w:ind w:left="0" w:firstLine="0"/>
      </w:pPr>
      <w:rPr>
        <w:rFonts w:hint="default"/>
      </w:rPr>
    </w:lvl>
    <w:lvl w:ilvl="2">
      <w:start w:val="1"/>
      <w:numFmt w:val="decimal"/>
      <w:pStyle w:val="SHSch1"/>
      <w:lvlText w:val="%3"/>
      <w:lvlJc w:val="left"/>
      <w:pPr>
        <w:ind w:left="851" w:hanging="851"/>
      </w:pPr>
      <w:rPr>
        <w:rFonts w:hint="default"/>
      </w:rPr>
    </w:lvl>
    <w:lvl w:ilvl="3">
      <w:start w:val="1"/>
      <w:numFmt w:val="decimal"/>
      <w:pStyle w:val="SHSch2"/>
      <w:lvlText w:val="%3.%4"/>
      <w:lvlJc w:val="left"/>
      <w:pPr>
        <w:ind w:left="1701" w:hanging="850"/>
      </w:pPr>
      <w:rPr>
        <w:rFonts w:hint="default"/>
      </w:rPr>
    </w:lvl>
    <w:lvl w:ilvl="4">
      <w:start w:val="1"/>
      <w:numFmt w:val="decimal"/>
      <w:pStyle w:val="SHSch3"/>
      <w:lvlText w:val="%3.%4.%5"/>
      <w:lvlJc w:val="left"/>
      <w:pPr>
        <w:ind w:left="2552" w:hanging="851"/>
      </w:pPr>
      <w:rPr>
        <w:rFonts w:hint="default"/>
      </w:rPr>
    </w:lvl>
    <w:lvl w:ilvl="5">
      <w:start w:val="1"/>
      <w:numFmt w:val="lowerLetter"/>
      <w:pStyle w:val="SHSch4"/>
      <w:lvlText w:val="(%6)"/>
      <w:lvlJc w:val="left"/>
      <w:pPr>
        <w:tabs>
          <w:tab w:val="num" w:pos="2552"/>
        </w:tabs>
        <w:ind w:left="3402" w:hanging="850"/>
      </w:pPr>
      <w:rPr>
        <w:rFonts w:hint="default"/>
      </w:rPr>
    </w:lvl>
    <w:lvl w:ilvl="6">
      <w:start w:val="1"/>
      <w:numFmt w:val="lowerRoman"/>
      <w:pStyle w:val="SHSch5"/>
      <w:lvlText w:val="(%7)"/>
      <w:lvlJc w:val="left"/>
      <w:pPr>
        <w:tabs>
          <w:tab w:val="num" w:pos="3402"/>
        </w:tabs>
        <w:ind w:left="4253" w:hanging="851"/>
      </w:pPr>
      <w:rPr>
        <w:rFonts w:hint="default"/>
      </w:rPr>
    </w:lvl>
    <w:lvl w:ilvl="7">
      <w:start w:val="1"/>
      <w:numFmt w:val="upperLetter"/>
      <w:lvlText w:val="(%8)"/>
      <w:lvlJc w:val="left"/>
      <w:pPr>
        <w:ind w:left="5103" w:hanging="850"/>
      </w:pPr>
      <w:rPr>
        <w:rFonts w:hint="default"/>
      </w:rPr>
    </w:lvl>
    <w:lvl w:ilvl="8">
      <w:start w:val="1"/>
      <w:numFmt w:val="none"/>
      <w:lvlRestart w:val="0"/>
      <w:suff w:val="nothing"/>
      <w:lvlText w:val="%9"/>
      <w:lvlJc w:val="left"/>
      <w:pPr>
        <w:ind w:left="0" w:firstLine="0"/>
      </w:pPr>
      <w:rPr>
        <w:rFonts w:hint="default"/>
      </w:rPr>
    </w:lvl>
  </w:abstractNum>
  <w:abstractNum w:abstractNumId="68" w15:restartNumberingAfterBreak="0">
    <w:nsid w:val="6EB72E48"/>
    <w:multiLevelType w:val="multilevel"/>
    <w:tmpl w:val="8D5219F2"/>
    <w:lvl w:ilvl="0">
      <w:start w:val="1"/>
      <w:numFmt w:val="bullet"/>
      <w:lvlText w:val=""/>
      <w:lvlJc w:val="left"/>
      <w:pPr>
        <w:tabs>
          <w:tab w:val="num" w:pos="709"/>
        </w:tabs>
        <w:ind w:left="709" w:hanging="709"/>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7"/>
        </w:tabs>
        <w:ind w:left="1417" w:hanging="708"/>
      </w:pPr>
      <w:rPr>
        <w:rFonts w:hint="default"/>
        <w:b w:val="0"/>
        <w:i w:val="0"/>
      </w:rPr>
    </w:lvl>
    <w:lvl w:ilvl="3">
      <w:start w:val="1"/>
      <w:numFmt w:val="lowerRoman"/>
      <w:lvlText w:val="(%4)"/>
      <w:lvlJc w:val="left"/>
      <w:pPr>
        <w:tabs>
          <w:tab w:val="num" w:pos="2126"/>
        </w:tabs>
        <w:ind w:left="2126" w:hanging="709"/>
      </w:pPr>
      <w:rPr>
        <w:rFonts w:ascii="Arial" w:eastAsia="Times New Roman" w:hAnsi="Arial" w:cs="Times New Roman"/>
      </w:rPr>
    </w:lvl>
    <w:lvl w:ilvl="4">
      <w:start w:val="1"/>
      <w:numFmt w:val="lowerLetter"/>
      <w:lvlText w:val="%5)"/>
      <w:lvlJc w:val="left"/>
      <w:pPr>
        <w:tabs>
          <w:tab w:val="num" w:pos="2835"/>
        </w:tabs>
        <w:ind w:left="2835" w:hanging="709"/>
      </w:pPr>
      <w:rPr>
        <w:rFonts w:hint="default"/>
      </w:rPr>
    </w:lvl>
    <w:lvl w:ilvl="5">
      <w:start w:val="1"/>
      <w:numFmt w:val="decimal"/>
      <w:lvlText w:val="%1.%2.%6"/>
      <w:lvlJc w:val="left"/>
      <w:pPr>
        <w:tabs>
          <w:tab w:val="num" w:pos="8505"/>
        </w:tabs>
        <w:ind w:left="1418" w:hanging="709"/>
      </w:pPr>
      <w:rPr>
        <w:rFonts w:hint="default"/>
        <w:b w:val="0"/>
        <w:i w:val="0"/>
      </w:rPr>
    </w:lvl>
    <w:lvl w:ilvl="6">
      <w:start w:val="1"/>
      <w:numFmt w:val="decimal"/>
      <w:lvlText w:val="%1.%2.%6.%7"/>
      <w:lvlJc w:val="left"/>
      <w:pPr>
        <w:tabs>
          <w:tab w:val="num" w:pos="4252"/>
        </w:tabs>
        <w:ind w:left="2211" w:hanging="793"/>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9" w15:restartNumberingAfterBreak="0">
    <w:nsid w:val="6EBD10C8"/>
    <w:multiLevelType w:val="multilevel"/>
    <w:tmpl w:val="1A3A901E"/>
    <w:name w:val="UnnamedList3855"/>
    <w:lvl w:ilvl="0">
      <w:start w:val="1"/>
      <w:numFmt w:val="lowerRoman"/>
      <w:lvlText w:val="(%1)"/>
      <w:lvlJc w:val="left"/>
      <w:pPr>
        <w:tabs>
          <w:tab w:val="left" w:pos="576"/>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5047097"/>
    <w:multiLevelType w:val="hybridMultilevel"/>
    <w:tmpl w:val="36D8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6637A51"/>
    <w:multiLevelType w:val="multilevel"/>
    <w:tmpl w:val="739C971A"/>
    <w:name w:val="Bullets"/>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72" w15:restartNumberingAfterBreak="0">
    <w:nsid w:val="787903F9"/>
    <w:multiLevelType w:val="multilevel"/>
    <w:tmpl w:val="3D1494DA"/>
    <w:name w:val="UnnamedList44129"/>
    <w:lvl w:ilvl="0">
      <w:start w:val="1"/>
      <w:numFmt w:val="lowerRoman"/>
      <w:lvlText w:val="(%1)"/>
      <w:lvlJc w:val="left"/>
      <w:pPr>
        <w:tabs>
          <w:tab w:val="left" w:pos="504"/>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B083FD7"/>
    <w:multiLevelType w:val="multilevel"/>
    <w:tmpl w:val="EE6A06FC"/>
    <w:name w:val="DocsID"/>
    <w:lvl w:ilvl="0">
      <w:start w:val="1"/>
      <w:numFmt w:val="lowerLetter"/>
      <w:pStyle w:val="DocsID"/>
      <w:lvlText w:val="(%1)"/>
      <w:lvlJc w:val="left"/>
      <w:pPr>
        <w:tabs>
          <w:tab w:val="num" w:pos="576"/>
        </w:tabs>
        <w:ind w:left="720" w:firstLine="0"/>
      </w:pPr>
      <w:rPr>
        <w:rFonts w:ascii="Times New Roman" w:eastAsia="Times New Roman" w:hAnsi="Times New Roman" w:hint="default"/>
        <w:strike w:val="0"/>
        <w:color w:val="000000"/>
        <w:spacing w:val="-1"/>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4" w15:restartNumberingAfterBreak="0">
    <w:nsid w:val="7B0F4F62"/>
    <w:multiLevelType w:val="multilevel"/>
    <w:tmpl w:val="5CAE0AF6"/>
    <w:name w:val="UnnamedList34031"/>
    <w:lvl w:ilvl="0">
      <w:start w:val="1"/>
      <w:numFmt w:val="lowerRoman"/>
      <w:lvlText w:val="(%1)"/>
      <w:lvlJc w:val="left"/>
      <w:pPr>
        <w:tabs>
          <w:tab w:val="left" w:pos="576"/>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B147F05"/>
    <w:multiLevelType w:val="singleLevel"/>
    <w:tmpl w:val="4F62EA06"/>
    <w:lvl w:ilvl="0">
      <w:start w:val="1"/>
      <w:numFmt w:val="decimal"/>
      <w:pStyle w:val="Parties"/>
      <w:lvlText w:val="(%1)"/>
      <w:lvlJc w:val="left"/>
      <w:pPr>
        <w:tabs>
          <w:tab w:val="num" w:pos="1134"/>
        </w:tabs>
        <w:ind w:left="1134" w:hanging="1134"/>
      </w:pPr>
    </w:lvl>
  </w:abstractNum>
  <w:abstractNum w:abstractNumId="76" w15:restartNumberingAfterBreak="0">
    <w:nsid w:val="7B327586"/>
    <w:multiLevelType w:val="multilevel"/>
    <w:tmpl w:val="DC4AACBC"/>
    <w:name w:val="SH Alphas"/>
    <w:lvl w:ilvl="0">
      <w:start w:val="1"/>
      <w:numFmt w:val="lowerLetter"/>
      <w:pStyle w:val="SHAlpha1"/>
      <w:lvlText w:val="(%1)"/>
      <w:lvlJc w:val="left"/>
      <w:pPr>
        <w:ind w:left="851" w:hanging="851"/>
      </w:pPr>
      <w:rPr>
        <w:rFonts w:hint="default"/>
        <w:b w:val="0"/>
        <w:i w:val="0"/>
      </w:rPr>
    </w:lvl>
    <w:lvl w:ilvl="1">
      <w:start w:val="1"/>
      <w:numFmt w:val="lowerLetter"/>
      <w:pStyle w:val="SHAlpha2"/>
      <w:lvlText w:val="(%2)"/>
      <w:lvlJc w:val="left"/>
      <w:pPr>
        <w:tabs>
          <w:tab w:val="num" w:pos="851"/>
        </w:tabs>
        <w:ind w:left="1701" w:hanging="850"/>
      </w:pPr>
      <w:rPr>
        <w:rFonts w:hint="default"/>
      </w:rPr>
    </w:lvl>
    <w:lvl w:ilvl="2">
      <w:start w:val="1"/>
      <w:numFmt w:val="lowerLetter"/>
      <w:pStyle w:val="SHAlpha3"/>
      <w:lvlText w:val="(%3)"/>
      <w:lvlJc w:val="left"/>
      <w:pPr>
        <w:tabs>
          <w:tab w:val="num" w:pos="1701"/>
        </w:tabs>
        <w:ind w:left="2552" w:hanging="851"/>
      </w:pPr>
      <w:rPr>
        <w:rFonts w:hint="default"/>
      </w:rPr>
    </w:lvl>
    <w:lvl w:ilvl="3">
      <w:start w:val="1"/>
      <w:numFmt w:val="lowerLetter"/>
      <w:lvlText w:val="(%4)"/>
      <w:lvlJc w:val="left"/>
      <w:pPr>
        <w:tabs>
          <w:tab w:val="num" w:pos="5103"/>
        </w:tabs>
        <w:ind w:left="3402" w:hanging="850"/>
      </w:pPr>
      <w:rPr>
        <w:rFonts w:hint="default"/>
      </w:rPr>
    </w:lvl>
    <w:lvl w:ilvl="4">
      <w:start w:val="1"/>
      <w:numFmt w:val="lowerLetter"/>
      <w:lvlText w:val="(%5)"/>
      <w:lvlJc w:val="left"/>
      <w:pPr>
        <w:tabs>
          <w:tab w:val="num" w:pos="3402"/>
        </w:tabs>
        <w:ind w:left="4253" w:hanging="851"/>
      </w:pPr>
      <w:rPr>
        <w:rFonts w:hint="default"/>
      </w:rPr>
    </w:lvl>
    <w:lvl w:ilvl="5">
      <w:start w:val="1"/>
      <w:numFmt w:val="lowerLetter"/>
      <w:lvlText w:val="(%6)"/>
      <w:lvlJc w:val="left"/>
      <w:pPr>
        <w:tabs>
          <w:tab w:val="num" w:pos="4253"/>
        </w:tabs>
        <w:ind w:left="5103" w:hanging="850"/>
      </w:pPr>
      <w:rPr>
        <w:rFonts w:hint="default"/>
      </w:rPr>
    </w:lvl>
    <w:lvl w:ilvl="6">
      <w:start w:val="1"/>
      <w:numFmt w:val="lowerLetter"/>
      <w:lvlText w:val="(%7)"/>
      <w:lvlJc w:val="left"/>
      <w:pPr>
        <w:tabs>
          <w:tab w:val="num" w:pos="5103"/>
        </w:tabs>
        <w:ind w:left="5954" w:hanging="851"/>
      </w:pPr>
      <w:rPr>
        <w:rFonts w:hint="default"/>
      </w:rPr>
    </w:lvl>
    <w:lvl w:ilvl="7">
      <w:start w:val="1"/>
      <w:numFmt w:val="lowerLetter"/>
      <w:lvlText w:val="(%8)"/>
      <w:lvlJc w:val="left"/>
      <w:pPr>
        <w:tabs>
          <w:tab w:val="num" w:pos="5954"/>
        </w:tabs>
        <w:ind w:left="6804" w:hanging="850"/>
      </w:pPr>
      <w:rPr>
        <w:rFonts w:hint="default"/>
      </w:rPr>
    </w:lvl>
    <w:lvl w:ilvl="8">
      <w:start w:val="1"/>
      <w:numFmt w:val="lowerLetter"/>
      <w:lvlText w:val="(%9)"/>
      <w:lvlJc w:val="left"/>
      <w:pPr>
        <w:ind w:left="7655" w:hanging="851"/>
      </w:pPr>
      <w:rPr>
        <w:rFonts w:hint="default"/>
      </w:rPr>
    </w:lvl>
  </w:abstractNum>
  <w:abstractNum w:abstractNumId="77" w15:restartNumberingAfterBreak="0">
    <w:nsid w:val="7E8E68BB"/>
    <w:multiLevelType w:val="multilevel"/>
    <w:tmpl w:val="5B6CD558"/>
    <w:name w:val="UnnamedList61342"/>
    <w:lvl w:ilvl="0">
      <w:start w:val="1"/>
      <w:numFmt w:val="lowerRoman"/>
      <w:lvlText w:val="(%1)"/>
      <w:lvlJc w:val="left"/>
      <w:pPr>
        <w:tabs>
          <w:tab w:val="left" w:pos="504"/>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FB9397F"/>
    <w:multiLevelType w:val="hybridMultilevel"/>
    <w:tmpl w:val="DBC47F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1498571">
    <w:abstractNumId w:val="63"/>
  </w:num>
  <w:num w:numId="2" w16cid:durableId="422458214">
    <w:abstractNumId w:val="48"/>
  </w:num>
  <w:num w:numId="3" w16cid:durableId="1967270640">
    <w:abstractNumId w:val="8"/>
  </w:num>
  <w:num w:numId="4" w16cid:durableId="2140996053">
    <w:abstractNumId w:val="51"/>
  </w:num>
  <w:num w:numId="5" w16cid:durableId="1396775686">
    <w:abstractNumId w:val="30"/>
  </w:num>
  <w:num w:numId="6" w16cid:durableId="963075831">
    <w:abstractNumId w:val="75"/>
  </w:num>
  <w:num w:numId="7" w16cid:durableId="1794784826">
    <w:abstractNumId w:val="18"/>
  </w:num>
  <w:num w:numId="8" w16cid:durableId="1999186260">
    <w:abstractNumId w:val="49"/>
  </w:num>
  <w:num w:numId="9" w16cid:durableId="1893074338">
    <w:abstractNumId w:val="23"/>
  </w:num>
  <w:num w:numId="10" w16cid:durableId="104079992">
    <w:abstractNumId w:val="29"/>
  </w:num>
  <w:num w:numId="11" w16cid:durableId="107046411">
    <w:abstractNumId w:val="20"/>
  </w:num>
  <w:num w:numId="12" w16cid:durableId="326783391">
    <w:abstractNumId w:val="55"/>
    <w:lvlOverride w:ilvl="0">
      <w:lvl w:ilvl="0">
        <w:start w:val="1"/>
        <w:numFmt w:val="decimal"/>
        <w:pStyle w:val="Heading1"/>
        <w:isLgl/>
        <w:lvlText w:val="%1."/>
        <w:lvlJc w:val="left"/>
        <w:pPr>
          <w:tabs>
            <w:tab w:val="num" w:pos="1134"/>
          </w:tabs>
          <w:ind w:left="1134" w:hanging="1134"/>
        </w:pPr>
        <w:rPr>
          <w:rFonts w:hint="default"/>
          <w:i w:val="0"/>
        </w:rPr>
      </w:lvl>
    </w:lvlOverride>
    <w:lvlOverride w:ilvl="1">
      <w:lvl w:ilvl="1">
        <w:start w:val="1"/>
        <w:numFmt w:val="decimal"/>
        <w:pStyle w:val="Heading2"/>
        <w:isLgl/>
        <w:lvlText w:val="%1.%2"/>
        <w:lvlJc w:val="left"/>
        <w:pPr>
          <w:tabs>
            <w:tab w:val="num" w:pos="709"/>
          </w:tabs>
          <w:ind w:left="709" w:hanging="709"/>
        </w:pPr>
        <w:rPr>
          <w:rFonts w:hint="default"/>
          <w:b w:val="0"/>
          <w:i w:val="0"/>
        </w:rPr>
      </w:lvl>
    </w:lvlOverride>
    <w:lvlOverride w:ilvl="2">
      <w:lvl w:ilvl="2">
        <w:start w:val="1"/>
        <w:numFmt w:val="decimal"/>
        <w:pStyle w:val="Heading3"/>
        <w:isLgl/>
        <w:lvlText w:val="%1.%2.%3"/>
        <w:lvlJc w:val="left"/>
        <w:pPr>
          <w:tabs>
            <w:tab w:val="num" w:pos="1134"/>
          </w:tabs>
          <w:ind w:left="1134" w:hanging="1134"/>
        </w:pPr>
        <w:rPr>
          <w:rFonts w:hint="default"/>
          <w:b w:val="0"/>
          <w:i w:val="0"/>
        </w:rPr>
      </w:lvl>
    </w:lvlOverride>
    <w:lvlOverride w:ilvl="3">
      <w:lvl w:ilvl="3">
        <w:start w:val="1"/>
        <w:numFmt w:val="decimal"/>
        <w:pStyle w:val="Heading4"/>
        <w:isLgl/>
        <w:lvlText w:val="%1.%2.%3.%4"/>
        <w:lvlJc w:val="left"/>
        <w:pPr>
          <w:tabs>
            <w:tab w:val="num" w:pos="2268"/>
          </w:tabs>
          <w:ind w:left="2268" w:hanging="1134"/>
        </w:pPr>
        <w:rPr>
          <w:rFonts w:hint="default"/>
          <w:b w:val="0"/>
          <w:i w:val="0"/>
        </w:rPr>
      </w:lvl>
    </w:lvlOverride>
    <w:lvlOverride w:ilvl="4">
      <w:lvl w:ilvl="4">
        <w:start w:val="1"/>
        <w:numFmt w:val="lowerRoman"/>
        <w:pStyle w:val="Heading5"/>
        <w:lvlText w:val="(%5)"/>
        <w:lvlJc w:val="left"/>
        <w:pPr>
          <w:tabs>
            <w:tab w:val="num" w:pos="709"/>
          </w:tabs>
          <w:ind w:left="2835" w:hanging="709"/>
        </w:pPr>
        <w:rPr>
          <w:rFonts w:ascii="Arial" w:eastAsia="Times New Roman" w:hAnsi="Arial" w:cs="Times New Roman"/>
          <w:b w:val="0"/>
          <w:i w:val="0"/>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3" w16cid:durableId="555161304">
    <w:abstractNumId w:val="11"/>
  </w:num>
  <w:num w:numId="14" w16cid:durableId="1102384550">
    <w:abstractNumId w:val="56"/>
  </w:num>
  <w:num w:numId="15" w16cid:durableId="40136162">
    <w:abstractNumId w:val="65"/>
  </w:num>
  <w:num w:numId="16" w16cid:durableId="1513033651">
    <w:abstractNumId w:val="10"/>
  </w:num>
  <w:num w:numId="17" w16cid:durableId="355927465">
    <w:abstractNumId w:val="7"/>
  </w:num>
  <w:num w:numId="18" w16cid:durableId="510342106">
    <w:abstractNumId w:val="6"/>
  </w:num>
  <w:num w:numId="19" w16cid:durableId="1758750589">
    <w:abstractNumId w:val="5"/>
  </w:num>
  <w:num w:numId="20" w16cid:durableId="920674570">
    <w:abstractNumId w:val="4"/>
  </w:num>
  <w:num w:numId="21" w16cid:durableId="1272400819">
    <w:abstractNumId w:val="3"/>
  </w:num>
  <w:num w:numId="22" w16cid:durableId="760495483">
    <w:abstractNumId w:val="2"/>
  </w:num>
  <w:num w:numId="23" w16cid:durableId="1287078796">
    <w:abstractNumId w:val="1"/>
  </w:num>
  <w:num w:numId="24" w16cid:durableId="987635721">
    <w:abstractNumId w:val="0"/>
  </w:num>
  <w:num w:numId="25" w16cid:durableId="811676229">
    <w:abstractNumId w:val="40"/>
  </w:num>
  <w:num w:numId="26" w16cid:durableId="1454516195">
    <w:abstractNumId w:val="24"/>
  </w:num>
  <w:num w:numId="27" w16cid:durableId="1658070421">
    <w:abstractNumId w:val="57"/>
  </w:num>
  <w:num w:numId="28" w16cid:durableId="1572085686">
    <w:abstractNumId w:val="71"/>
  </w:num>
  <w:num w:numId="29" w16cid:durableId="198325946">
    <w:abstractNumId w:val="17"/>
  </w:num>
  <w:num w:numId="30" w16cid:durableId="1565986401">
    <w:abstractNumId w:val="35"/>
  </w:num>
  <w:num w:numId="31" w16cid:durableId="811799142">
    <w:abstractNumId w:val="76"/>
  </w:num>
  <w:num w:numId="32" w16cid:durableId="1325665581">
    <w:abstractNumId w:val="67"/>
  </w:num>
  <w:num w:numId="33" w16cid:durableId="117726041">
    <w:abstractNumId w:val="64"/>
  </w:num>
  <w:num w:numId="34" w16cid:durableId="1500652146">
    <w:abstractNumId w:val="55"/>
    <w:lvlOverride w:ilvl="0">
      <w:startOverride w:val="1"/>
      <w:lvl w:ilvl="0">
        <w:start w:val="1"/>
        <w:numFmt w:val="decimal"/>
        <w:pStyle w:val="Heading1"/>
        <w:isLgl/>
        <w:lvlText w:val="%1."/>
        <w:lvlJc w:val="left"/>
        <w:pPr>
          <w:tabs>
            <w:tab w:val="num" w:pos="1134"/>
          </w:tabs>
          <w:ind w:left="1134" w:hanging="1134"/>
        </w:pPr>
        <w:rPr>
          <w:rFonts w:hint="default"/>
        </w:rPr>
      </w:lvl>
    </w:lvlOverride>
    <w:lvlOverride w:ilvl="1">
      <w:startOverride w:val="1"/>
      <w:lvl w:ilvl="1">
        <w:start w:val="1"/>
        <w:numFmt w:val="decimal"/>
        <w:pStyle w:val="Heading2"/>
        <w:isLgl/>
        <w:lvlText w:val="%1.%2"/>
        <w:lvlJc w:val="left"/>
        <w:pPr>
          <w:tabs>
            <w:tab w:val="num" w:pos="1134"/>
          </w:tabs>
          <w:ind w:left="1134" w:hanging="1134"/>
        </w:pPr>
        <w:rPr>
          <w:rFonts w:hint="default"/>
        </w:rPr>
      </w:lvl>
    </w:lvlOverride>
    <w:lvlOverride w:ilvl="2">
      <w:startOverride w:val="1"/>
      <w:lvl w:ilvl="2">
        <w:start w:val="1"/>
        <w:numFmt w:val="decimal"/>
        <w:pStyle w:val="Heading3"/>
        <w:isLgl/>
        <w:lvlText w:val="%1.%2.%3"/>
        <w:lvlJc w:val="left"/>
        <w:pPr>
          <w:tabs>
            <w:tab w:val="num" w:pos="1134"/>
          </w:tabs>
          <w:ind w:left="1134" w:hanging="1134"/>
        </w:pPr>
        <w:rPr>
          <w:rFonts w:hint="default"/>
        </w:rPr>
      </w:lvl>
    </w:lvlOverride>
    <w:lvlOverride w:ilvl="3">
      <w:startOverride w:val="1"/>
      <w:lvl w:ilvl="3">
        <w:start w:val="1"/>
        <w:numFmt w:val="decimal"/>
        <w:pStyle w:val="Heading4"/>
        <w:isLgl/>
        <w:lvlText w:val="%1.%2.%3.%4"/>
        <w:lvlJc w:val="left"/>
        <w:pPr>
          <w:tabs>
            <w:tab w:val="num" w:pos="2268"/>
          </w:tabs>
          <w:ind w:left="2268" w:hanging="1134"/>
        </w:pPr>
        <w:rPr>
          <w:rFonts w:hint="default"/>
        </w:rPr>
      </w:lvl>
    </w:lvlOverride>
    <w:lvlOverride w:ilvl="4">
      <w:startOverride w:val="1"/>
      <w:lvl w:ilvl="4">
        <w:start w:val="1"/>
        <w:numFmt w:val="decimal"/>
        <w:pStyle w:val="Heading5"/>
        <w:isLgl/>
        <w:lvlText w:val="%1.%2.%3.%4.%5"/>
        <w:lvlJc w:val="left"/>
        <w:pPr>
          <w:tabs>
            <w:tab w:val="num" w:pos="2268"/>
          </w:tabs>
          <w:ind w:left="2268" w:hanging="1134"/>
        </w:pPr>
        <w:rPr>
          <w:rFonts w:hint="default"/>
        </w:rPr>
      </w:lvl>
    </w:lvlOverride>
    <w:lvlOverride w:ilvl="5">
      <w:startOverride w:val="1"/>
      <w:lvl w:ilvl="5">
        <w:start w:val="1"/>
        <w:numFmt w:val="none"/>
        <w:suff w:val="nothing"/>
        <w:lvlText w:val=""/>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35" w16cid:durableId="1348291402">
    <w:abstractNumId w:val="61"/>
  </w:num>
  <w:num w:numId="36" w16cid:durableId="775516175">
    <w:abstractNumId w:val="13"/>
  </w:num>
  <w:num w:numId="37" w16cid:durableId="989097548">
    <w:abstractNumId w:val="55"/>
    <w:lvlOverride w:ilvl="0">
      <w:startOverride w:val="1"/>
      <w:lvl w:ilvl="0">
        <w:start w:val="1"/>
        <w:numFmt w:val="decimal"/>
        <w:pStyle w:val="Heading1"/>
        <w:isLgl/>
        <w:lvlText w:val="%1."/>
        <w:lvlJc w:val="left"/>
        <w:pPr>
          <w:tabs>
            <w:tab w:val="num" w:pos="1134"/>
          </w:tabs>
          <w:ind w:left="1134" w:hanging="1134"/>
        </w:pPr>
        <w:rPr>
          <w:rFonts w:hint="default"/>
        </w:rPr>
      </w:lvl>
    </w:lvlOverride>
    <w:lvlOverride w:ilvl="1">
      <w:startOverride w:val="1"/>
      <w:lvl w:ilvl="1">
        <w:start w:val="1"/>
        <w:numFmt w:val="decimal"/>
        <w:pStyle w:val="Heading2"/>
        <w:isLgl/>
        <w:lvlText w:val="%1.%2"/>
        <w:lvlJc w:val="left"/>
        <w:pPr>
          <w:tabs>
            <w:tab w:val="num" w:pos="1134"/>
          </w:tabs>
          <w:ind w:left="1134" w:hanging="1134"/>
        </w:pPr>
        <w:rPr>
          <w:rFonts w:hint="default"/>
        </w:rPr>
      </w:lvl>
    </w:lvlOverride>
    <w:lvlOverride w:ilvl="2">
      <w:startOverride w:val="1"/>
      <w:lvl w:ilvl="2">
        <w:start w:val="1"/>
        <w:numFmt w:val="decimal"/>
        <w:pStyle w:val="Heading3"/>
        <w:isLgl/>
        <w:lvlText w:val="%1.%2.%3"/>
        <w:lvlJc w:val="left"/>
        <w:pPr>
          <w:tabs>
            <w:tab w:val="num" w:pos="1134"/>
          </w:tabs>
          <w:ind w:left="1134" w:hanging="1134"/>
        </w:pPr>
        <w:rPr>
          <w:rFonts w:hint="default"/>
        </w:rPr>
      </w:lvl>
    </w:lvlOverride>
    <w:lvlOverride w:ilvl="3">
      <w:startOverride w:val="1"/>
      <w:lvl w:ilvl="3">
        <w:start w:val="1"/>
        <w:numFmt w:val="decimal"/>
        <w:pStyle w:val="Heading4"/>
        <w:isLgl/>
        <w:lvlText w:val="%1.%2.%3.%4"/>
        <w:lvlJc w:val="left"/>
        <w:pPr>
          <w:tabs>
            <w:tab w:val="num" w:pos="2268"/>
          </w:tabs>
          <w:ind w:left="2268" w:hanging="1134"/>
        </w:pPr>
        <w:rPr>
          <w:rFonts w:hint="default"/>
        </w:rPr>
      </w:lvl>
    </w:lvlOverride>
    <w:lvlOverride w:ilvl="4">
      <w:startOverride w:val="1"/>
      <w:lvl w:ilvl="4">
        <w:start w:val="1"/>
        <w:numFmt w:val="decimal"/>
        <w:pStyle w:val="Heading5"/>
        <w:isLgl/>
        <w:lvlText w:val="%1.%2.%3.%4.%5"/>
        <w:lvlJc w:val="left"/>
        <w:pPr>
          <w:tabs>
            <w:tab w:val="num" w:pos="2268"/>
          </w:tabs>
          <w:ind w:left="2268" w:hanging="1134"/>
        </w:pPr>
        <w:rPr>
          <w:rFonts w:hint="default"/>
        </w:rPr>
      </w:lvl>
    </w:lvlOverride>
    <w:lvlOverride w:ilvl="5">
      <w:startOverride w:val="1"/>
      <w:lvl w:ilvl="5">
        <w:start w:val="1"/>
        <w:numFmt w:val="none"/>
        <w:suff w:val="nothing"/>
        <w:lvlText w:val=""/>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38" w16cid:durableId="693775541">
    <w:abstractNumId w:val="22"/>
  </w:num>
  <w:num w:numId="39" w16cid:durableId="2045012147">
    <w:abstractNumId w:val="55"/>
    <w:lvlOverride w:ilvl="0">
      <w:startOverride w:val="1"/>
      <w:lvl w:ilvl="0">
        <w:start w:val="1"/>
        <w:numFmt w:val="decimal"/>
        <w:pStyle w:val="Heading1"/>
        <w:isLgl/>
        <w:lvlText w:val="%1."/>
        <w:lvlJc w:val="left"/>
        <w:pPr>
          <w:tabs>
            <w:tab w:val="num" w:pos="1134"/>
          </w:tabs>
          <w:ind w:left="1134" w:hanging="1134"/>
        </w:pPr>
        <w:rPr>
          <w:rFonts w:hint="default"/>
        </w:rPr>
      </w:lvl>
    </w:lvlOverride>
    <w:lvlOverride w:ilvl="1">
      <w:startOverride w:val="1"/>
      <w:lvl w:ilvl="1">
        <w:start w:val="1"/>
        <w:numFmt w:val="decimal"/>
        <w:pStyle w:val="Heading2"/>
        <w:isLgl/>
        <w:lvlText w:val="%1.%2"/>
        <w:lvlJc w:val="left"/>
        <w:pPr>
          <w:tabs>
            <w:tab w:val="num" w:pos="1134"/>
          </w:tabs>
          <w:ind w:left="1134" w:hanging="1134"/>
        </w:pPr>
        <w:rPr>
          <w:rFonts w:hint="default"/>
        </w:rPr>
      </w:lvl>
    </w:lvlOverride>
    <w:lvlOverride w:ilvl="2">
      <w:startOverride w:val="1"/>
      <w:lvl w:ilvl="2">
        <w:start w:val="1"/>
        <w:numFmt w:val="decimal"/>
        <w:pStyle w:val="Heading3"/>
        <w:isLgl/>
        <w:lvlText w:val="%1.%2.%3"/>
        <w:lvlJc w:val="left"/>
        <w:pPr>
          <w:tabs>
            <w:tab w:val="num" w:pos="1134"/>
          </w:tabs>
          <w:ind w:left="1134" w:hanging="1134"/>
        </w:pPr>
        <w:rPr>
          <w:rFonts w:hint="default"/>
        </w:rPr>
      </w:lvl>
    </w:lvlOverride>
    <w:lvlOverride w:ilvl="3">
      <w:startOverride w:val="1"/>
      <w:lvl w:ilvl="3">
        <w:start w:val="1"/>
        <w:numFmt w:val="decimal"/>
        <w:pStyle w:val="Heading4"/>
        <w:isLgl/>
        <w:lvlText w:val="%1.%2.%3.%4"/>
        <w:lvlJc w:val="left"/>
        <w:pPr>
          <w:tabs>
            <w:tab w:val="num" w:pos="2268"/>
          </w:tabs>
          <w:ind w:left="2268" w:hanging="1134"/>
        </w:pPr>
        <w:rPr>
          <w:rFonts w:hint="default"/>
        </w:rPr>
      </w:lvl>
    </w:lvlOverride>
    <w:lvlOverride w:ilvl="4">
      <w:startOverride w:val="1"/>
      <w:lvl w:ilvl="4">
        <w:start w:val="1"/>
        <w:numFmt w:val="decimal"/>
        <w:pStyle w:val="Heading5"/>
        <w:isLgl/>
        <w:lvlText w:val="%1.%2.%3.%4.%5"/>
        <w:lvlJc w:val="left"/>
        <w:pPr>
          <w:tabs>
            <w:tab w:val="num" w:pos="2268"/>
          </w:tabs>
          <w:ind w:left="2268" w:hanging="1134"/>
        </w:pPr>
        <w:rPr>
          <w:rFonts w:hint="default"/>
        </w:rPr>
      </w:lvl>
    </w:lvlOverride>
    <w:lvlOverride w:ilvl="5">
      <w:startOverride w:val="1"/>
      <w:lvl w:ilvl="5">
        <w:start w:val="1"/>
        <w:numFmt w:val="none"/>
        <w:suff w:val="nothing"/>
        <w:lvlText w:val=""/>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40" w16cid:durableId="1621375636">
    <w:abstractNumId w:val="55"/>
    <w:lvlOverride w:ilvl="0">
      <w:startOverride w:val="1"/>
      <w:lvl w:ilvl="0">
        <w:start w:val="1"/>
        <w:numFmt w:val="decimal"/>
        <w:pStyle w:val="Heading1"/>
        <w:isLgl/>
        <w:lvlText w:val="%1."/>
        <w:lvlJc w:val="left"/>
        <w:pPr>
          <w:tabs>
            <w:tab w:val="num" w:pos="1134"/>
          </w:tabs>
          <w:ind w:left="1134" w:hanging="1134"/>
        </w:pPr>
        <w:rPr>
          <w:rFonts w:hint="default"/>
        </w:rPr>
      </w:lvl>
    </w:lvlOverride>
    <w:lvlOverride w:ilvl="1">
      <w:startOverride w:val="1"/>
      <w:lvl w:ilvl="1">
        <w:start w:val="1"/>
        <w:numFmt w:val="decimal"/>
        <w:pStyle w:val="Heading2"/>
        <w:isLgl/>
        <w:lvlText w:val="%1.%2"/>
        <w:lvlJc w:val="left"/>
        <w:pPr>
          <w:tabs>
            <w:tab w:val="num" w:pos="1134"/>
          </w:tabs>
          <w:ind w:left="1134" w:hanging="1134"/>
        </w:pPr>
        <w:rPr>
          <w:rFonts w:hint="default"/>
        </w:rPr>
      </w:lvl>
    </w:lvlOverride>
    <w:lvlOverride w:ilvl="2">
      <w:startOverride w:val="1"/>
      <w:lvl w:ilvl="2">
        <w:start w:val="1"/>
        <w:numFmt w:val="decimal"/>
        <w:pStyle w:val="Heading3"/>
        <w:isLgl/>
        <w:lvlText w:val="%1.%2.%3"/>
        <w:lvlJc w:val="left"/>
        <w:pPr>
          <w:tabs>
            <w:tab w:val="num" w:pos="1134"/>
          </w:tabs>
          <w:ind w:left="1134" w:hanging="1134"/>
        </w:pPr>
        <w:rPr>
          <w:rFonts w:hint="default"/>
        </w:rPr>
      </w:lvl>
    </w:lvlOverride>
    <w:lvlOverride w:ilvl="3">
      <w:startOverride w:val="1"/>
      <w:lvl w:ilvl="3">
        <w:start w:val="1"/>
        <w:numFmt w:val="decimal"/>
        <w:pStyle w:val="Heading4"/>
        <w:isLgl/>
        <w:lvlText w:val="%1.%2.%3.%4"/>
        <w:lvlJc w:val="left"/>
        <w:pPr>
          <w:tabs>
            <w:tab w:val="num" w:pos="2268"/>
          </w:tabs>
          <w:ind w:left="2268" w:hanging="1134"/>
        </w:pPr>
        <w:rPr>
          <w:rFonts w:hint="default"/>
        </w:rPr>
      </w:lvl>
    </w:lvlOverride>
    <w:lvlOverride w:ilvl="4">
      <w:startOverride w:val="1"/>
      <w:lvl w:ilvl="4">
        <w:start w:val="1"/>
        <w:numFmt w:val="decimal"/>
        <w:pStyle w:val="Heading5"/>
        <w:isLgl/>
        <w:lvlText w:val="%1.%2.%3.%4.%5"/>
        <w:lvlJc w:val="left"/>
        <w:pPr>
          <w:tabs>
            <w:tab w:val="num" w:pos="2268"/>
          </w:tabs>
          <w:ind w:left="2268" w:hanging="1134"/>
        </w:pPr>
        <w:rPr>
          <w:rFonts w:hint="default"/>
        </w:rPr>
      </w:lvl>
    </w:lvlOverride>
    <w:lvlOverride w:ilvl="5">
      <w:startOverride w:val="1"/>
      <w:lvl w:ilvl="5">
        <w:start w:val="1"/>
        <w:numFmt w:val="none"/>
        <w:suff w:val="nothing"/>
        <w:lvlText w:val=""/>
        <w:lvlJc w:val="left"/>
        <w:pPr>
          <w:ind w:left="0" w:firstLine="0"/>
        </w:pPr>
        <w:rPr>
          <w:rFonts w:hint="default"/>
        </w:rPr>
      </w:lvl>
    </w:lvlOverride>
    <w:lvlOverride w:ilvl="6">
      <w:startOverride w:val="1"/>
      <w:lvl w:ilvl="6">
        <w:start w:val="1"/>
        <w:numFmt w:val="none"/>
        <w:suff w:val="nothing"/>
        <w:lvlText w:val=""/>
        <w:lvlJc w:val="left"/>
        <w:pPr>
          <w:ind w:left="0" w:firstLine="0"/>
        </w:pPr>
        <w:rPr>
          <w:rFonts w:hint="default"/>
        </w:rPr>
      </w:lvl>
    </w:lvlOverride>
    <w:lvlOverride w:ilvl="7">
      <w:startOverride w:val="1"/>
      <w:lvl w:ilvl="7">
        <w:start w:val="1"/>
        <w:numFmt w:val="none"/>
        <w:suff w:val="nothing"/>
        <w:lvlText w:val=""/>
        <w:lvlJc w:val="left"/>
        <w:pPr>
          <w:ind w:left="0" w:firstLine="0"/>
        </w:pPr>
        <w:rPr>
          <w:rFonts w:hint="default"/>
        </w:rPr>
      </w:lvl>
    </w:lvlOverride>
    <w:lvlOverride w:ilvl="8">
      <w:startOverride w:val="1"/>
      <w:lvl w:ilvl="8">
        <w:start w:val="1"/>
        <w:numFmt w:val="none"/>
        <w:suff w:val="nothing"/>
        <w:lvlText w:val=""/>
        <w:lvlJc w:val="left"/>
        <w:pPr>
          <w:ind w:left="0" w:firstLine="0"/>
        </w:pPr>
        <w:rPr>
          <w:rFonts w:hint="default"/>
        </w:rPr>
      </w:lvl>
    </w:lvlOverride>
  </w:num>
  <w:num w:numId="41" w16cid:durableId="1060400192">
    <w:abstractNumId w:val="42"/>
  </w:num>
  <w:num w:numId="42" w16cid:durableId="1876381934">
    <w:abstractNumId w:val="12"/>
  </w:num>
  <w:num w:numId="43" w16cid:durableId="1712535696">
    <w:abstractNumId w:val="53"/>
  </w:num>
  <w:num w:numId="44" w16cid:durableId="264457655">
    <w:abstractNumId w:val="68"/>
  </w:num>
  <w:num w:numId="45" w16cid:durableId="2083988913">
    <w:abstractNumId w:val="21"/>
  </w:num>
  <w:num w:numId="46" w16cid:durableId="121732846">
    <w:abstractNumId w:val="66"/>
  </w:num>
  <w:num w:numId="47" w16cid:durableId="610942291">
    <w:abstractNumId w:val="26"/>
  </w:num>
  <w:num w:numId="48" w16cid:durableId="1088112370">
    <w:abstractNumId w:val="46"/>
  </w:num>
  <w:num w:numId="49" w16cid:durableId="1675111711">
    <w:abstractNumId w:val="25"/>
  </w:num>
  <w:num w:numId="50" w16cid:durableId="631906562">
    <w:abstractNumId w:val="55"/>
    <w:lvlOverride w:ilvl="1">
      <w:lvl w:ilvl="1">
        <w:start w:val="1"/>
        <w:numFmt w:val="decimal"/>
        <w:pStyle w:val="Heading2"/>
        <w:isLgl/>
        <w:lvlText w:val="%1.%2"/>
        <w:lvlJc w:val="left"/>
        <w:pPr>
          <w:tabs>
            <w:tab w:val="num" w:pos="1134"/>
          </w:tabs>
          <w:ind w:left="1134" w:hanging="1134"/>
        </w:pPr>
        <w:rPr>
          <w:rFonts w:hint="default"/>
          <w:i w:val="0"/>
          <w:iCs/>
        </w:rPr>
      </w:lvl>
    </w:lvlOverride>
  </w:num>
  <w:num w:numId="51" w16cid:durableId="1462112958">
    <w:abstractNumId w:val="36"/>
  </w:num>
  <w:num w:numId="52" w16cid:durableId="106050144">
    <w:abstractNumId w:val="34"/>
  </w:num>
  <w:num w:numId="53" w16cid:durableId="83384214">
    <w:abstractNumId w:val="73"/>
  </w:num>
  <w:num w:numId="54" w16cid:durableId="1690064574">
    <w:abstractNumId w:val="50"/>
  </w:num>
  <w:num w:numId="55" w16cid:durableId="2018530710">
    <w:abstractNumId w:val="31"/>
  </w:num>
  <w:num w:numId="56" w16cid:durableId="1038706465">
    <w:abstractNumId w:val="32"/>
  </w:num>
  <w:num w:numId="57" w16cid:durableId="1419910787">
    <w:abstractNumId w:val="27"/>
  </w:num>
  <w:num w:numId="58" w16cid:durableId="324894082">
    <w:abstractNumId w:val="16"/>
  </w:num>
  <w:num w:numId="59" w16cid:durableId="1644389373">
    <w:abstractNumId w:val="62"/>
  </w:num>
  <w:num w:numId="60" w16cid:durableId="205483356">
    <w:abstractNumId w:val="41"/>
  </w:num>
  <w:num w:numId="61" w16cid:durableId="1086801316">
    <w:abstractNumId w:val="28"/>
  </w:num>
  <w:num w:numId="62" w16cid:durableId="1537233794">
    <w:abstractNumId w:val="38"/>
  </w:num>
  <w:num w:numId="63" w16cid:durableId="727919684">
    <w:abstractNumId w:val="37"/>
  </w:num>
  <w:num w:numId="64" w16cid:durableId="963465060">
    <w:abstractNumId w:val="78"/>
  </w:num>
  <w:num w:numId="65" w16cid:durableId="150025791">
    <w:abstractNumId w:val="52"/>
  </w:num>
  <w:num w:numId="66" w16cid:durableId="1767381676">
    <w:abstractNumId w:val="55"/>
    <w:lvlOverride w:ilvl="0">
      <w:lvl w:ilvl="0">
        <w:start w:val="1"/>
        <w:numFmt w:val="decimal"/>
        <w:pStyle w:val="Heading1"/>
        <w:isLgl/>
        <w:lvlText w:val="%1."/>
        <w:lvlJc w:val="left"/>
        <w:pPr>
          <w:tabs>
            <w:tab w:val="num" w:pos="1134"/>
          </w:tabs>
          <w:ind w:left="1134" w:hanging="1134"/>
        </w:pPr>
        <w:rPr>
          <w:rFonts w:hint="default"/>
          <w:i w:val="0"/>
        </w:rPr>
      </w:lvl>
    </w:lvlOverride>
    <w:lvlOverride w:ilvl="1">
      <w:lvl w:ilvl="1">
        <w:start w:val="1"/>
        <w:numFmt w:val="decimal"/>
        <w:pStyle w:val="Heading2"/>
        <w:isLgl/>
        <w:lvlText w:val="%1.%2"/>
        <w:lvlJc w:val="left"/>
        <w:pPr>
          <w:tabs>
            <w:tab w:val="num" w:pos="709"/>
          </w:tabs>
          <w:ind w:left="709" w:hanging="709"/>
        </w:pPr>
        <w:rPr>
          <w:rFonts w:hint="default"/>
          <w:b w:val="0"/>
          <w:i w:val="0"/>
        </w:rPr>
      </w:lvl>
    </w:lvlOverride>
    <w:lvlOverride w:ilvl="2">
      <w:lvl w:ilvl="2">
        <w:start w:val="1"/>
        <w:numFmt w:val="decimal"/>
        <w:pStyle w:val="Heading3"/>
        <w:isLgl/>
        <w:lvlText w:val="%1.%2.%3"/>
        <w:lvlJc w:val="left"/>
        <w:pPr>
          <w:tabs>
            <w:tab w:val="num" w:pos="1134"/>
          </w:tabs>
          <w:ind w:left="1134" w:hanging="1134"/>
        </w:pPr>
        <w:rPr>
          <w:rFonts w:hint="default"/>
          <w:b w:val="0"/>
          <w:i w:val="0"/>
        </w:rPr>
      </w:lvl>
    </w:lvlOverride>
    <w:lvlOverride w:ilvl="3">
      <w:lvl w:ilvl="3">
        <w:start w:val="1"/>
        <w:numFmt w:val="decimal"/>
        <w:pStyle w:val="Heading4"/>
        <w:isLgl/>
        <w:lvlText w:val="%1.%2.%3.%4"/>
        <w:lvlJc w:val="left"/>
        <w:pPr>
          <w:tabs>
            <w:tab w:val="num" w:pos="2268"/>
          </w:tabs>
          <w:ind w:left="2268" w:hanging="1134"/>
        </w:pPr>
        <w:rPr>
          <w:rFonts w:hint="default"/>
          <w:b w:val="0"/>
          <w:i w:val="0"/>
        </w:rPr>
      </w:lvl>
    </w:lvlOverride>
    <w:lvlOverride w:ilvl="4">
      <w:lvl w:ilvl="4">
        <w:start w:val="1"/>
        <w:numFmt w:val="lowerRoman"/>
        <w:pStyle w:val="Heading5"/>
        <w:lvlText w:val="(%5)"/>
        <w:lvlJc w:val="left"/>
        <w:pPr>
          <w:tabs>
            <w:tab w:val="num" w:pos="709"/>
          </w:tabs>
          <w:ind w:left="2835" w:hanging="709"/>
        </w:pPr>
        <w:rPr>
          <w:rFonts w:ascii="Arial" w:eastAsia="Times New Roman" w:hAnsi="Arial" w:cs="Times New Roman"/>
          <w:b w:val="0"/>
          <w:i w:val="0"/>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67" w16cid:durableId="1020815998">
    <w:abstractNumId w:val="70"/>
  </w:num>
  <w:num w:numId="68" w16cid:durableId="863523395">
    <w:abstractNumId w:val="55"/>
    <w:lvlOverride w:ilvl="0">
      <w:lvl w:ilvl="0">
        <w:start w:val="1"/>
        <w:numFmt w:val="decimal"/>
        <w:pStyle w:val="Heading1"/>
        <w:isLgl/>
        <w:lvlText w:val="%1."/>
        <w:lvlJc w:val="left"/>
        <w:pPr>
          <w:tabs>
            <w:tab w:val="num" w:pos="1134"/>
          </w:tabs>
          <w:ind w:left="1134" w:hanging="1134"/>
        </w:pPr>
        <w:rPr>
          <w:rFonts w:hint="default"/>
          <w:i w:val="0"/>
        </w:rPr>
      </w:lvl>
    </w:lvlOverride>
    <w:lvlOverride w:ilvl="1">
      <w:lvl w:ilvl="1">
        <w:start w:val="1"/>
        <w:numFmt w:val="decimal"/>
        <w:pStyle w:val="Heading2"/>
        <w:isLgl/>
        <w:lvlText w:val="%1.%2"/>
        <w:lvlJc w:val="left"/>
        <w:pPr>
          <w:tabs>
            <w:tab w:val="num" w:pos="709"/>
          </w:tabs>
          <w:ind w:left="709" w:hanging="709"/>
        </w:pPr>
        <w:rPr>
          <w:rFonts w:hint="default"/>
          <w:b w:val="0"/>
          <w:i w:val="0"/>
        </w:rPr>
      </w:lvl>
    </w:lvlOverride>
    <w:lvlOverride w:ilvl="2">
      <w:lvl w:ilvl="2">
        <w:start w:val="1"/>
        <w:numFmt w:val="decimal"/>
        <w:pStyle w:val="Heading3"/>
        <w:isLgl/>
        <w:lvlText w:val="%1.%2.%3"/>
        <w:lvlJc w:val="left"/>
        <w:pPr>
          <w:tabs>
            <w:tab w:val="num" w:pos="1134"/>
          </w:tabs>
          <w:ind w:left="1134" w:hanging="1134"/>
        </w:pPr>
        <w:rPr>
          <w:rFonts w:hint="default"/>
          <w:b w:val="0"/>
          <w:i w:val="0"/>
        </w:rPr>
      </w:lvl>
    </w:lvlOverride>
    <w:lvlOverride w:ilvl="3">
      <w:lvl w:ilvl="3">
        <w:start w:val="1"/>
        <w:numFmt w:val="decimal"/>
        <w:pStyle w:val="Heading4"/>
        <w:isLgl/>
        <w:lvlText w:val="%1.%2.%3.%4"/>
        <w:lvlJc w:val="left"/>
        <w:pPr>
          <w:tabs>
            <w:tab w:val="num" w:pos="2268"/>
          </w:tabs>
          <w:ind w:left="2268" w:hanging="1134"/>
        </w:pPr>
        <w:rPr>
          <w:rFonts w:hint="default"/>
          <w:b w:val="0"/>
          <w:i w:val="0"/>
        </w:rPr>
      </w:lvl>
    </w:lvlOverride>
    <w:lvlOverride w:ilvl="4">
      <w:lvl w:ilvl="4">
        <w:start w:val="1"/>
        <w:numFmt w:val="lowerRoman"/>
        <w:pStyle w:val="Heading5"/>
        <w:lvlText w:val="(%5)"/>
        <w:lvlJc w:val="left"/>
        <w:pPr>
          <w:tabs>
            <w:tab w:val="num" w:pos="709"/>
          </w:tabs>
          <w:ind w:left="2835" w:hanging="709"/>
        </w:pPr>
        <w:rPr>
          <w:rFonts w:ascii="Arial" w:eastAsia="Times New Roman" w:hAnsi="Arial" w:cs="Times New Roman"/>
          <w:b w:val="0"/>
          <w:i w:val="0"/>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fr-FR" w:vendorID="64" w:dllVersion="6" w:nlCheck="1" w:checkStyle="0" w:appName="MSWord"/>
  <w:activeWritingStyle w:lang="en-GB" w:vendorID="64" w:dllVersion="6" w:nlCheck="1" w:checkStyle="1" w:appName="MSWord"/>
  <w:activeWritingStyle w:lang="es-ES_tradnl" w:vendorID="64" w:dllVersion="6" w:nlCheck="1" w:checkStyle="0" w:appName="MSWord"/>
  <w:activeWritingStyle w:lang="en-US" w:vendorID="64" w:dllVersion="6" w:nlCheck="1" w:checkStyle="1" w:appName="MSWord"/>
  <w:activeWritingStyle w:lang="en-NZ" w:vendorID="64" w:dllVersion="6" w:nlCheck="1" w:checkStyle="1" w:appName="MSWord"/>
  <w:activeWritingStyle w:lang="en-GB" w:vendorID="64" w:dllVersion="0" w:nlCheck="1" w:checkStyle="0" w:appName="MSWord"/>
  <w:activeWritingStyle w:lang="en-US" w:vendorID="64" w:dllVersion="0" w:nlCheck="1" w:checkStyle="0" w:appName="MSWord"/>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1134"/>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1777B4"/>
    <w:rsid w:val="000000BD"/>
    <w:rsid w:val="00000506"/>
    <w:rsid w:val="000009E8"/>
    <w:rsid w:val="00000AF0"/>
    <w:rsid w:val="00000C8E"/>
    <w:rsid w:val="00000E12"/>
    <w:rsid w:val="00001461"/>
    <w:rsid w:val="000019FC"/>
    <w:rsid w:val="000026ED"/>
    <w:rsid w:val="00002D36"/>
    <w:rsid w:val="00002DB6"/>
    <w:rsid w:val="00003031"/>
    <w:rsid w:val="000030AE"/>
    <w:rsid w:val="00003777"/>
    <w:rsid w:val="000037EE"/>
    <w:rsid w:val="0000386F"/>
    <w:rsid w:val="00003A34"/>
    <w:rsid w:val="0000438E"/>
    <w:rsid w:val="000045C1"/>
    <w:rsid w:val="00004A48"/>
    <w:rsid w:val="00004AD4"/>
    <w:rsid w:val="00004B5A"/>
    <w:rsid w:val="00004B81"/>
    <w:rsid w:val="00004FA6"/>
    <w:rsid w:val="00005309"/>
    <w:rsid w:val="00005ACC"/>
    <w:rsid w:val="00006155"/>
    <w:rsid w:val="00006567"/>
    <w:rsid w:val="00006BD0"/>
    <w:rsid w:val="00006E0C"/>
    <w:rsid w:val="00006FE8"/>
    <w:rsid w:val="000072DE"/>
    <w:rsid w:val="0000731A"/>
    <w:rsid w:val="0000793E"/>
    <w:rsid w:val="00007B6C"/>
    <w:rsid w:val="00007B80"/>
    <w:rsid w:val="00007EE1"/>
    <w:rsid w:val="00007FB7"/>
    <w:rsid w:val="00010567"/>
    <w:rsid w:val="00011230"/>
    <w:rsid w:val="00011D05"/>
    <w:rsid w:val="00011D6C"/>
    <w:rsid w:val="00011D7F"/>
    <w:rsid w:val="00012045"/>
    <w:rsid w:val="00012085"/>
    <w:rsid w:val="000126FA"/>
    <w:rsid w:val="00012CF2"/>
    <w:rsid w:val="00012D5D"/>
    <w:rsid w:val="00012E69"/>
    <w:rsid w:val="00012F3E"/>
    <w:rsid w:val="0001332D"/>
    <w:rsid w:val="00013902"/>
    <w:rsid w:val="00013A9F"/>
    <w:rsid w:val="00014096"/>
    <w:rsid w:val="000140A1"/>
    <w:rsid w:val="000143B3"/>
    <w:rsid w:val="000143C3"/>
    <w:rsid w:val="00014482"/>
    <w:rsid w:val="0001456B"/>
    <w:rsid w:val="000149C7"/>
    <w:rsid w:val="000149CD"/>
    <w:rsid w:val="00014A54"/>
    <w:rsid w:val="0001556E"/>
    <w:rsid w:val="00015B11"/>
    <w:rsid w:val="00015C02"/>
    <w:rsid w:val="00016874"/>
    <w:rsid w:val="000169DB"/>
    <w:rsid w:val="00016A94"/>
    <w:rsid w:val="00016B2B"/>
    <w:rsid w:val="00016B5A"/>
    <w:rsid w:val="00016DC3"/>
    <w:rsid w:val="00016DFF"/>
    <w:rsid w:val="000170DE"/>
    <w:rsid w:val="000175C4"/>
    <w:rsid w:val="000177D7"/>
    <w:rsid w:val="00020543"/>
    <w:rsid w:val="00020807"/>
    <w:rsid w:val="00020CC9"/>
    <w:rsid w:val="00021574"/>
    <w:rsid w:val="000215F0"/>
    <w:rsid w:val="000217EC"/>
    <w:rsid w:val="00021BF1"/>
    <w:rsid w:val="00021D4D"/>
    <w:rsid w:val="00022156"/>
    <w:rsid w:val="000223B9"/>
    <w:rsid w:val="00022532"/>
    <w:rsid w:val="00022BD3"/>
    <w:rsid w:val="00022C8D"/>
    <w:rsid w:val="00022F13"/>
    <w:rsid w:val="00022F5A"/>
    <w:rsid w:val="00023538"/>
    <w:rsid w:val="00023584"/>
    <w:rsid w:val="000236BF"/>
    <w:rsid w:val="00023B02"/>
    <w:rsid w:val="00023BA0"/>
    <w:rsid w:val="0002439A"/>
    <w:rsid w:val="00024AD5"/>
    <w:rsid w:val="00024AE0"/>
    <w:rsid w:val="00024DAA"/>
    <w:rsid w:val="000250D0"/>
    <w:rsid w:val="000254C3"/>
    <w:rsid w:val="00025599"/>
    <w:rsid w:val="000256BB"/>
    <w:rsid w:val="00025859"/>
    <w:rsid w:val="0002595A"/>
    <w:rsid w:val="00025B90"/>
    <w:rsid w:val="000262FA"/>
    <w:rsid w:val="0002645D"/>
    <w:rsid w:val="00026906"/>
    <w:rsid w:val="00026DC5"/>
    <w:rsid w:val="00027043"/>
    <w:rsid w:val="00027066"/>
    <w:rsid w:val="000271AB"/>
    <w:rsid w:val="000273B2"/>
    <w:rsid w:val="00027425"/>
    <w:rsid w:val="00027426"/>
    <w:rsid w:val="000275F8"/>
    <w:rsid w:val="000277AD"/>
    <w:rsid w:val="00030677"/>
    <w:rsid w:val="000309A5"/>
    <w:rsid w:val="000309F5"/>
    <w:rsid w:val="00030BC7"/>
    <w:rsid w:val="000311F2"/>
    <w:rsid w:val="00031364"/>
    <w:rsid w:val="00031470"/>
    <w:rsid w:val="00031507"/>
    <w:rsid w:val="00031660"/>
    <w:rsid w:val="0003169E"/>
    <w:rsid w:val="00031AC2"/>
    <w:rsid w:val="00031C5D"/>
    <w:rsid w:val="00031DFA"/>
    <w:rsid w:val="00031F16"/>
    <w:rsid w:val="00032045"/>
    <w:rsid w:val="00032214"/>
    <w:rsid w:val="000322DB"/>
    <w:rsid w:val="0003241D"/>
    <w:rsid w:val="00032AD4"/>
    <w:rsid w:val="00032E27"/>
    <w:rsid w:val="00032EBA"/>
    <w:rsid w:val="00033076"/>
    <w:rsid w:val="000330EF"/>
    <w:rsid w:val="00033384"/>
    <w:rsid w:val="00033388"/>
    <w:rsid w:val="0003369C"/>
    <w:rsid w:val="000338EE"/>
    <w:rsid w:val="00033DAB"/>
    <w:rsid w:val="00034003"/>
    <w:rsid w:val="000344BF"/>
    <w:rsid w:val="00034628"/>
    <w:rsid w:val="00034A0B"/>
    <w:rsid w:val="00034A8C"/>
    <w:rsid w:val="00034C50"/>
    <w:rsid w:val="000353A4"/>
    <w:rsid w:val="00035420"/>
    <w:rsid w:val="000359F8"/>
    <w:rsid w:val="00035C22"/>
    <w:rsid w:val="00035E31"/>
    <w:rsid w:val="00035FAD"/>
    <w:rsid w:val="000361D4"/>
    <w:rsid w:val="000362F2"/>
    <w:rsid w:val="00036495"/>
    <w:rsid w:val="000368B6"/>
    <w:rsid w:val="00037439"/>
    <w:rsid w:val="00037D69"/>
    <w:rsid w:val="00037E79"/>
    <w:rsid w:val="0004016A"/>
    <w:rsid w:val="00040933"/>
    <w:rsid w:val="00040C8C"/>
    <w:rsid w:val="00040F70"/>
    <w:rsid w:val="00041024"/>
    <w:rsid w:val="00041843"/>
    <w:rsid w:val="00042023"/>
    <w:rsid w:val="0004222D"/>
    <w:rsid w:val="0004233E"/>
    <w:rsid w:val="000426EB"/>
    <w:rsid w:val="0004276C"/>
    <w:rsid w:val="00042958"/>
    <w:rsid w:val="00042F29"/>
    <w:rsid w:val="000432FC"/>
    <w:rsid w:val="000437B5"/>
    <w:rsid w:val="0004384E"/>
    <w:rsid w:val="00043949"/>
    <w:rsid w:val="00043BD8"/>
    <w:rsid w:val="00044C12"/>
    <w:rsid w:val="00044E36"/>
    <w:rsid w:val="00045306"/>
    <w:rsid w:val="000454D1"/>
    <w:rsid w:val="00045635"/>
    <w:rsid w:val="00045714"/>
    <w:rsid w:val="00045A2A"/>
    <w:rsid w:val="00045AC5"/>
    <w:rsid w:val="00045B36"/>
    <w:rsid w:val="0004623B"/>
    <w:rsid w:val="00046420"/>
    <w:rsid w:val="00046A2F"/>
    <w:rsid w:val="00046C7A"/>
    <w:rsid w:val="00047091"/>
    <w:rsid w:val="00047466"/>
    <w:rsid w:val="00047B00"/>
    <w:rsid w:val="00047DF2"/>
    <w:rsid w:val="00047F19"/>
    <w:rsid w:val="00050628"/>
    <w:rsid w:val="00050965"/>
    <w:rsid w:val="00050D07"/>
    <w:rsid w:val="00050FE5"/>
    <w:rsid w:val="000514A0"/>
    <w:rsid w:val="00051823"/>
    <w:rsid w:val="0005200C"/>
    <w:rsid w:val="00052178"/>
    <w:rsid w:val="00052EBC"/>
    <w:rsid w:val="00052F9A"/>
    <w:rsid w:val="00053404"/>
    <w:rsid w:val="00053764"/>
    <w:rsid w:val="00053A06"/>
    <w:rsid w:val="00053A7D"/>
    <w:rsid w:val="00053DDE"/>
    <w:rsid w:val="00053DF5"/>
    <w:rsid w:val="0005419C"/>
    <w:rsid w:val="00054653"/>
    <w:rsid w:val="00054B94"/>
    <w:rsid w:val="000551D7"/>
    <w:rsid w:val="000558B0"/>
    <w:rsid w:val="00055D56"/>
    <w:rsid w:val="00055FBE"/>
    <w:rsid w:val="00055FED"/>
    <w:rsid w:val="00057747"/>
    <w:rsid w:val="00057868"/>
    <w:rsid w:val="0005787C"/>
    <w:rsid w:val="00057E6B"/>
    <w:rsid w:val="00060374"/>
    <w:rsid w:val="00060621"/>
    <w:rsid w:val="000606D5"/>
    <w:rsid w:val="00060733"/>
    <w:rsid w:val="00060933"/>
    <w:rsid w:val="00060B82"/>
    <w:rsid w:val="00060D5B"/>
    <w:rsid w:val="000610E2"/>
    <w:rsid w:val="00061149"/>
    <w:rsid w:val="000619C4"/>
    <w:rsid w:val="00061C03"/>
    <w:rsid w:val="00061F00"/>
    <w:rsid w:val="00061FD7"/>
    <w:rsid w:val="000623C1"/>
    <w:rsid w:val="00062C51"/>
    <w:rsid w:val="00063121"/>
    <w:rsid w:val="000637DE"/>
    <w:rsid w:val="000638E7"/>
    <w:rsid w:val="00063C51"/>
    <w:rsid w:val="000644C4"/>
    <w:rsid w:val="00064844"/>
    <w:rsid w:val="00064D2F"/>
    <w:rsid w:val="00064F7B"/>
    <w:rsid w:val="00064F7F"/>
    <w:rsid w:val="0006508F"/>
    <w:rsid w:val="00065311"/>
    <w:rsid w:val="000659F5"/>
    <w:rsid w:val="00066074"/>
    <w:rsid w:val="00066091"/>
    <w:rsid w:val="00066666"/>
    <w:rsid w:val="00066C74"/>
    <w:rsid w:val="00067176"/>
    <w:rsid w:val="0006729B"/>
    <w:rsid w:val="000674CF"/>
    <w:rsid w:val="00067616"/>
    <w:rsid w:val="000678DB"/>
    <w:rsid w:val="00067C0F"/>
    <w:rsid w:val="00067C6C"/>
    <w:rsid w:val="00067EB9"/>
    <w:rsid w:val="000706D6"/>
    <w:rsid w:val="000707CA"/>
    <w:rsid w:val="000709F0"/>
    <w:rsid w:val="00070BB0"/>
    <w:rsid w:val="00070F7B"/>
    <w:rsid w:val="000716A6"/>
    <w:rsid w:val="000716CE"/>
    <w:rsid w:val="00071825"/>
    <w:rsid w:val="00072079"/>
    <w:rsid w:val="00072479"/>
    <w:rsid w:val="0007267F"/>
    <w:rsid w:val="00072739"/>
    <w:rsid w:val="00072BE1"/>
    <w:rsid w:val="00072DD9"/>
    <w:rsid w:val="00072ECB"/>
    <w:rsid w:val="0007307E"/>
    <w:rsid w:val="00073611"/>
    <w:rsid w:val="00073B36"/>
    <w:rsid w:val="00073FA3"/>
    <w:rsid w:val="000743A3"/>
    <w:rsid w:val="000748BB"/>
    <w:rsid w:val="00075207"/>
    <w:rsid w:val="00075333"/>
    <w:rsid w:val="00075689"/>
    <w:rsid w:val="0007574C"/>
    <w:rsid w:val="00075A96"/>
    <w:rsid w:val="00077262"/>
    <w:rsid w:val="000773F0"/>
    <w:rsid w:val="00077833"/>
    <w:rsid w:val="0007784E"/>
    <w:rsid w:val="00077992"/>
    <w:rsid w:val="000803E2"/>
    <w:rsid w:val="000805B4"/>
    <w:rsid w:val="000808C3"/>
    <w:rsid w:val="00080B2D"/>
    <w:rsid w:val="00080CFC"/>
    <w:rsid w:val="00080FC4"/>
    <w:rsid w:val="00081127"/>
    <w:rsid w:val="0008147F"/>
    <w:rsid w:val="000814E1"/>
    <w:rsid w:val="00081560"/>
    <w:rsid w:val="00081880"/>
    <w:rsid w:val="000819DA"/>
    <w:rsid w:val="00081AB9"/>
    <w:rsid w:val="00081C7F"/>
    <w:rsid w:val="00081E2E"/>
    <w:rsid w:val="00082120"/>
    <w:rsid w:val="00082357"/>
    <w:rsid w:val="00082410"/>
    <w:rsid w:val="000824A8"/>
    <w:rsid w:val="000825E4"/>
    <w:rsid w:val="00082C74"/>
    <w:rsid w:val="00082E38"/>
    <w:rsid w:val="00083297"/>
    <w:rsid w:val="00083E62"/>
    <w:rsid w:val="00084098"/>
    <w:rsid w:val="00084106"/>
    <w:rsid w:val="00084345"/>
    <w:rsid w:val="0008434A"/>
    <w:rsid w:val="000844DC"/>
    <w:rsid w:val="00084628"/>
    <w:rsid w:val="00084701"/>
    <w:rsid w:val="00084946"/>
    <w:rsid w:val="00084B56"/>
    <w:rsid w:val="00084D2C"/>
    <w:rsid w:val="00085045"/>
    <w:rsid w:val="00085123"/>
    <w:rsid w:val="00085166"/>
    <w:rsid w:val="00085215"/>
    <w:rsid w:val="0008533B"/>
    <w:rsid w:val="00085489"/>
    <w:rsid w:val="0008566D"/>
    <w:rsid w:val="000858BD"/>
    <w:rsid w:val="000861F1"/>
    <w:rsid w:val="000863BC"/>
    <w:rsid w:val="00086D06"/>
    <w:rsid w:val="0008709F"/>
    <w:rsid w:val="00087125"/>
    <w:rsid w:val="00087268"/>
    <w:rsid w:val="000874A4"/>
    <w:rsid w:val="000909F4"/>
    <w:rsid w:val="000913EC"/>
    <w:rsid w:val="000916F5"/>
    <w:rsid w:val="000921B9"/>
    <w:rsid w:val="00092810"/>
    <w:rsid w:val="0009287E"/>
    <w:rsid w:val="000928CB"/>
    <w:rsid w:val="0009295C"/>
    <w:rsid w:val="000937CD"/>
    <w:rsid w:val="00093A69"/>
    <w:rsid w:val="00093E66"/>
    <w:rsid w:val="00094EB5"/>
    <w:rsid w:val="00094F7A"/>
    <w:rsid w:val="00095770"/>
    <w:rsid w:val="000957E9"/>
    <w:rsid w:val="0009661A"/>
    <w:rsid w:val="00096973"/>
    <w:rsid w:val="00096CAB"/>
    <w:rsid w:val="00096E49"/>
    <w:rsid w:val="00096F03"/>
    <w:rsid w:val="0009753D"/>
    <w:rsid w:val="000977F7"/>
    <w:rsid w:val="000A0AAF"/>
    <w:rsid w:val="000A13D1"/>
    <w:rsid w:val="000A19FB"/>
    <w:rsid w:val="000A22B2"/>
    <w:rsid w:val="000A2683"/>
    <w:rsid w:val="000A26E0"/>
    <w:rsid w:val="000A2772"/>
    <w:rsid w:val="000A27F9"/>
    <w:rsid w:val="000A2D57"/>
    <w:rsid w:val="000A2FAE"/>
    <w:rsid w:val="000A3157"/>
    <w:rsid w:val="000A3191"/>
    <w:rsid w:val="000A34A6"/>
    <w:rsid w:val="000A42CF"/>
    <w:rsid w:val="000A42D4"/>
    <w:rsid w:val="000A4383"/>
    <w:rsid w:val="000A45B4"/>
    <w:rsid w:val="000A50D8"/>
    <w:rsid w:val="000A59B2"/>
    <w:rsid w:val="000A5B67"/>
    <w:rsid w:val="000A5BE5"/>
    <w:rsid w:val="000A5DC0"/>
    <w:rsid w:val="000A5FE6"/>
    <w:rsid w:val="000A603D"/>
    <w:rsid w:val="000A60EA"/>
    <w:rsid w:val="000A6496"/>
    <w:rsid w:val="000A68F2"/>
    <w:rsid w:val="000A698F"/>
    <w:rsid w:val="000A6EA9"/>
    <w:rsid w:val="000A73AB"/>
    <w:rsid w:val="000A75B9"/>
    <w:rsid w:val="000A7707"/>
    <w:rsid w:val="000A7862"/>
    <w:rsid w:val="000A7AEC"/>
    <w:rsid w:val="000A7FC8"/>
    <w:rsid w:val="000B038A"/>
    <w:rsid w:val="000B0605"/>
    <w:rsid w:val="000B07D2"/>
    <w:rsid w:val="000B0C97"/>
    <w:rsid w:val="000B0CBD"/>
    <w:rsid w:val="000B1057"/>
    <w:rsid w:val="000B1167"/>
    <w:rsid w:val="000B118B"/>
    <w:rsid w:val="000B1513"/>
    <w:rsid w:val="000B22E8"/>
    <w:rsid w:val="000B295E"/>
    <w:rsid w:val="000B297E"/>
    <w:rsid w:val="000B29B5"/>
    <w:rsid w:val="000B29CB"/>
    <w:rsid w:val="000B2B9B"/>
    <w:rsid w:val="000B2EB8"/>
    <w:rsid w:val="000B3260"/>
    <w:rsid w:val="000B33CE"/>
    <w:rsid w:val="000B34DE"/>
    <w:rsid w:val="000B3564"/>
    <w:rsid w:val="000B38E1"/>
    <w:rsid w:val="000B3A95"/>
    <w:rsid w:val="000B3C26"/>
    <w:rsid w:val="000B3CFE"/>
    <w:rsid w:val="000B3ECA"/>
    <w:rsid w:val="000B411A"/>
    <w:rsid w:val="000B499E"/>
    <w:rsid w:val="000B4B51"/>
    <w:rsid w:val="000B519C"/>
    <w:rsid w:val="000B533E"/>
    <w:rsid w:val="000B54CA"/>
    <w:rsid w:val="000B5928"/>
    <w:rsid w:val="000B5E3C"/>
    <w:rsid w:val="000B65D5"/>
    <w:rsid w:val="000B743A"/>
    <w:rsid w:val="000B767B"/>
    <w:rsid w:val="000B78CC"/>
    <w:rsid w:val="000B790E"/>
    <w:rsid w:val="000B7C09"/>
    <w:rsid w:val="000B7CF3"/>
    <w:rsid w:val="000C0343"/>
    <w:rsid w:val="000C0922"/>
    <w:rsid w:val="000C0D70"/>
    <w:rsid w:val="000C1448"/>
    <w:rsid w:val="000C1CC0"/>
    <w:rsid w:val="000C1E7A"/>
    <w:rsid w:val="000C2256"/>
    <w:rsid w:val="000C23EB"/>
    <w:rsid w:val="000C29BA"/>
    <w:rsid w:val="000C29FF"/>
    <w:rsid w:val="000C3662"/>
    <w:rsid w:val="000C3732"/>
    <w:rsid w:val="000C374F"/>
    <w:rsid w:val="000C4AAA"/>
    <w:rsid w:val="000C54F2"/>
    <w:rsid w:val="000C651E"/>
    <w:rsid w:val="000C6B5E"/>
    <w:rsid w:val="000C6BB7"/>
    <w:rsid w:val="000C6CE9"/>
    <w:rsid w:val="000C7022"/>
    <w:rsid w:val="000C761B"/>
    <w:rsid w:val="000C780F"/>
    <w:rsid w:val="000C788B"/>
    <w:rsid w:val="000D0127"/>
    <w:rsid w:val="000D02FE"/>
    <w:rsid w:val="000D0352"/>
    <w:rsid w:val="000D0805"/>
    <w:rsid w:val="000D0916"/>
    <w:rsid w:val="000D0A61"/>
    <w:rsid w:val="000D0ACC"/>
    <w:rsid w:val="000D0B74"/>
    <w:rsid w:val="000D0C70"/>
    <w:rsid w:val="000D1118"/>
    <w:rsid w:val="000D134D"/>
    <w:rsid w:val="000D16BB"/>
    <w:rsid w:val="000D1F5E"/>
    <w:rsid w:val="000D27EC"/>
    <w:rsid w:val="000D2AA9"/>
    <w:rsid w:val="000D2AEA"/>
    <w:rsid w:val="000D2B4A"/>
    <w:rsid w:val="000D2F24"/>
    <w:rsid w:val="000D32FD"/>
    <w:rsid w:val="000D3336"/>
    <w:rsid w:val="000D35A6"/>
    <w:rsid w:val="000D360C"/>
    <w:rsid w:val="000D3D9D"/>
    <w:rsid w:val="000D424B"/>
    <w:rsid w:val="000D4512"/>
    <w:rsid w:val="000D482B"/>
    <w:rsid w:val="000D492D"/>
    <w:rsid w:val="000D4AB4"/>
    <w:rsid w:val="000D4BEF"/>
    <w:rsid w:val="000D5E2A"/>
    <w:rsid w:val="000D5F79"/>
    <w:rsid w:val="000D60AE"/>
    <w:rsid w:val="000D60DF"/>
    <w:rsid w:val="000D61CD"/>
    <w:rsid w:val="000D6204"/>
    <w:rsid w:val="000D6A97"/>
    <w:rsid w:val="000D6B3D"/>
    <w:rsid w:val="000D70F7"/>
    <w:rsid w:val="000D71E2"/>
    <w:rsid w:val="000D79A7"/>
    <w:rsid w:val="000D7B83"/>
    <w:rsid w:val="000D7CAE"/>
    <w:rsid w:val="000E0000"/>
    <w:rsid w:val="000E07A8"/>
    <w:rsid w:val="000E0BED"/>
    <w:rsid w:val="000E0D67"/>
    <w:rsid w:val="000E0F18"/>
    <w:rsid w:val="000E0F72"/>
    <w:rsid w:val="000E1CDA"/>
    <w:rsid w:val="000E230D"/>
    <w:rsid w:val="000E2697"/>
    <w:rsid w:val="000E269C"/>
    <w:rsid w:val="000E3272"/>
    <w:rsid w:val="000E32C3"/>
    <w:rsid w:val="000E3326"/>
    <w:rsid w:val="000E3367"/>
    <w:rsid w:val="000E3545"/>
    <w:rsid w:val="000E374D"/>
    <w:rsid w:val="000E37AF"/>
    <w:rsid w:val="000E3F08"/>
    <w:rsid w:val="000E4DB4"/>
    <w:rsid w:val="000E4F8B"/>
    <w:rsid w:val="000E4FB7"/>
    <w:rsid w:val="000E4FB8"/>
    <w:rsid w:val="000E5EBD"/>
    <w:rsid w:val="000E6234"/>
    <w:rsid w:val="000E643A"/>
    <w:rsid w:val="000E66B6"/>
    <w:rsid w:val="000E769D"/>
    <w:rsid w:val="000E7C8E"/>
    <w:rsid w:val="000F01B8"/>
    <w:rsid w:val="000F0374"/>
    <w:rsid w:val="000F0980"/>
    <w:rsid w:val="000F109B"/>
    <w:rsid w:val="000F1FF3"/>
    <w:rsid w:val="000F204C"/>
    <w:rsid w:val="000F2424"/>
    <w:rsid w:val="000F2930"/>
    <w:rsid w:val="000F324A"/>
    <w:rsid w:val="000F33F1"/>
    <w:rsid w:val="000F39C6"/>
    <w:rsid w:val="000F3B42"/>
    <w:rsid w:val="000F42CD"/>
    <w:rsid w:val="000F4386"/>
    <w:rsid w:val="000F4A5B"/>
    <w:rsid w:val="000F4B1F"/>
    <w:rsid w:val="000F4EC9"/>
    <w:rsid w:val="000F4FDF"/>
    <w:rsid w:val="000F52FD"/>
    <w:rsid w:val="000F565A"/>
    <w:rsid w:val="000F63D6"/>
    <w:rsid w:val="000F6A01"/>
    <w:rsid w:val="000F6A12"/>
    <w:rsid w:val="000F6CBB"/>
    <w:rsid w:val="000F6F73"/>
    <w:rsid w:val="000F6F85"/>
    <w:rsid w:val="000F7501"/>
    <w:rsid w:val="000F78C0"/>
    <w:rsid w:val="000F7F35"/>
    <w:rsid w:val="001005D8"/>
    <w:rsid w:val="0010063F"/>
    <w:rsid w:val="00100C3E"/>
    <w:rsid w:val="00100E1A"/>
    <w:rsid w:val="001010C7"/>
    <w:rsid w:val="00101367"/>
    <w:rsid w:val="00101AEB"/>
    <w:rsid w:val="001025E5"/>
    <w:rsid w:val="00102B59"/>
    <w:rsid w:val="00103224"/>
    <w:rsid w:val="001036FF"/>
    <w:rsid w:val="00103731"/>
    <w:rsid w:val="00103744"/>
    <w:rsid w:val="00103824"/>
    <w:rsid w:val="00103B0E"/>
    <w:rsid w:val="00103E4B"/>
    <w:rsid w:val="0010409B"/>
    <w:rsid w:val="00104763"/>
    <w:rsid w:val="00104A41"/>
    <w:rsid w:val="00104C1B"/>
    <w:rsid w:val="00104F12"/>
    <w:rsid w:val="00104FD0"/>
    <w:rsid w:val="00105109"/>
    <w:rsid w:val="0010512D"/>
    <w:rsid w:val="00105135"/>
    <w:rsid w:val="001054A4"/>
    <w:rsid w:val="00105A9F"/>
    <w:rsid w:val="00105CED"/>
    <w:rsid w:val="00105D8B"/>
    <w:rsid w:val="00106213"/>
    <w:rsid w:val="00106A50"/>
    <w:rsid w:val="00106F95"/>
    <w:rsid w:val="00107014"/>
    <w:rsid w:val="0010704F"/>
    <w:rsid w:val="00107075"/>
    <w:rsid w:val="0010709C"/>
    <w:rsid w:val="00107A82"/>
    <w:rsid w:val="00107C58"/>
    <w:rsid w:val="00107FD5"/>
    <w:rsid w:val="00110027"/>
    <w:rsid w:val="0011031E"/>
    <w:rsid w:val="001107F3"/>
    <w:rsid w:val="00110B7F"/>
    <w:rsid w:val="001112B9"/>
    <w:rsid w:val="001112BF"/>
    <w:rsid w:val="001112E4"/>
    <w:rsid w:val="001113A9"/>
    <w:rsid w:val="001113C5"/>
    <w:rsid w:val="001115A5"/>
    <w:rsid w:val="00111C7F"/>
    <w:rsid w:val="00112027"/>
    <w:rsid w:val="00112678"/>
    <w:rsid w:val="00112CB9"/>
    <w:rsid w:val="00113153"/>
    <w:rsid w:val="0011317C"/>
    <w:rsid w:val="001137F5"/>
    <w:rsid w:val="00113D9D"/>
    <w:rsid w:val="00113F32"/>
    <w:rsid w:val="001140D8"/>
    <w:rsid w:val="001145B7"/>
    <w:rsid w:val="0011469B"/>
    <w:rsid w:val="00114E49"/>
    <w:rsid w:val="00115360"/>
    <w:rsid w:val="001157BA"/>
    <w:rsid w:val="00115D4F"/>
    <w:rsid w:val="00115EC2"/>
    <w:rsid w:val="00116A20"/>
    <w:rsid w:val="00116DFD"/>
    <w:rsid w:val="001200ED"/>
    <w:rsid w:val="001204FE"/>
    <w:rsid w:val="00120C37"/>
    <w:rsid w:val="00120EC6"/>
    <w:rsid w:val="00120F2F"/>
    <w:rsid w:val="00121603"/>
    <w:rsid w:val="001216A9"/>
    <w:rsid w:val="00121A05"/>
    <w:rsid w:val="00122ABC"/>
    <w:rsid w:val="00122CDB"/>
    <w:rsid w:val="00122D86"/>
    <w:rsid w:val="00122E89"/>
    <w:rsid w:val="00122F77"/>
    <w:rsid w:val="00123003"/>
    <w:rsid w:val="00124113"/>
    <w:rsid w:val="00124AEC"/>
    <w:rsid w:val="00124E73"/>
    <w:rsid w:val="00124F9B"/>
    <w:rsid w:val="00125723"/>
    <w:rsid w:val="00125765"/>
    <w:rsid w:val="001259E2"/>
    <w:rsid w:val="00125D09"/>
    <w:rsid w:val="00125DCE"/>
    <w:rsid w:val="0012639F"/>
    <w:rsid w:val="00126B15"/>
    <w:rsid w:val="00126BC1"/>
    <w:rsid w:val="00126C74"/>
    <w:rsid w:val="00126E2B"/>
    <w:rsid w:val="00126E80"/>
    <w:rsid w:val="00126EE9"/>
    <w:rsid w:val="00127210"/>
    <w:rsid w:val="00127421"/>
    <w:rsid w:val="0012798C"/>
    <w:rsid w:val="00127C75"/>
    <w:rsid w:val="00127D17"/>
    <w:rsid w:val="00127EE6"/>
    <w:rsid w:val="00127FE5"/>
    <w:rsid w:val="00130402"/>
    <w:rsid w:val="00130521"/>
    <w:rsid w:val="00130C43"/>
    <w:rsid w:val="00130D22"/>
    <w:rsid w:val="00131015"/>
    <w:rsid w:val="00131287"/>
    <w:rsid w:val="00131A72"/>
    <w:rsid w:val="00131C02"/>
    <w:rsid w:val="00131E4C"/>
    <w:rsid w:val="00132068"/>
    <w:rsid w:val="00132D42"/>
    <w:rsid w:val="00132DE3"/>
    <w:rsid w:val="0013387C"/>
    <w:rsid w:val="00133CA0"/>
    <w:rsid w:val="001340F2"/>
    <w:rsid w:val="001348E9"/>
    <w:rsid w:val="00134CEC"/>
    <w:rsid w:val="00134FE1"/>
    <w:rsid w:val="001354B0"/>
    <w:rsid w:val="001354C5"/>
    <w:rsid w:val="00135719"/>
    <w:rsid w:val="001357D3"/>
    <w:rsid w:val="0013618E"/>
    <w:rsid w:val="00136A3B"/>
    <w:rsid w:val="00137400"/>
    <w:rsid w:val="001374D7"/>
    <w:rsid w:val="001375C8"/>
    <w:rsid w:val="0013786E"/>
    <w:rsid w:val="001378E0"/>
    <w:rsid w:val="00137B97"/>
    <w:rsid w:val="00137EC6"/>
    <w:rsid w:val="0014015F"/>
    <w:rsid w:val="00140417"/>
    <w:rsid w:val="0014041E"/>
    <w:rsid w:val="00140536"/>
    <w:rsid w:val="00140C67"/>
    <w:rsid w:val="00140CB9"/>
    <w:rsid w:val="00140E7B"/>
    <w:rsid w:val="00140F0F"/>
    <w:rsid w:val="00140F72"/>
    <w:rsid w:val="00141106"/>
    <w:rsid w:val="001411AB"/>
    <w:rsid w:val="001412C5"/>
    <w:rsid w:val="00141391"/>
    <w:rsid w:val="001414E2"/>
    <w:rsid w:val="001419A5"/>
    <w:rsid w:val="001419D8"/>
    <w:rsid w:val="00141FAE"/>
    <w:rsid w:val="0014247A"/>
    <w:rsid w:val="001427B4"/>
    <w:rsid w:val="001429EF"/>
    <w:rsid w:val="00142B41"/>
    <w:rsid w:val="00143460"/>
    <w:rsid w:val="0014364F"/>
    <w:rsid w:val="00143A87"/>
    <w:rsid w:val="0014480E"/>
    <w:rsid w:val="001449E4"/>
    <w:rsid w:val="00144B52"/>
    <w:rsid w:val="00144FC0"/>
    <w:rsid w:val="001451A3"/>
    <w:rsid w:val="00145389"/>
    <w:rsid w:val="00145455"/>
    <w:rsid w:val="00145863"/>
    <w:rsid w:val="00145E5B"/>
    <w:rsid w:val="001463D0"/>
    <w:rsid w:val="00146C31"/>
    <w:rsid w:val="00146FEB"/>
    <w:rsid w:val="001470F3"/>
    <w:rsid w:val="001477B2"/>
    <w:rsid w:val="00147A0F"/>
    <w:rsid w:val="00147A48"/>
    <w:rsid w:val="0015017B"/>
    <w:rsid w:val="0015117C"/>
    <w:rsid w:val="001515A4"/>
    <w:rsid w:val="00151739"/>
    <w:rsid w:val="00151B39"/>
    <w:rsid w:val="00151E7D"/>
    <w:rsid w:val="0015226A"/>
    <w:rsid w:val="00152699"/>
    <w:rsid w:val="001527AA"/>
    <w:rsid w:val="001528CB"/>
    <w:rsid w:val="0015330B"/>
    <w:rsid w:val="001539CE"/>
    <w:rsid w:val="00153D2F"/>
    <w:rsid w:val="00153ECA"/>
    <w:rsid w:val="00153FCD"/>
    <w:rsid w:val="0015417C"/>
    <w:rsid w:val="001542BB"/>
    <w:rsid w:val="0015444E"/>
    <w:rsid w:val="00154916"/>
    <w:rsid w:val="00155116"/>
    <w:rsid w:val="00155208"/>
    <w:rsid w:val="00155822"/>
    <w:rsid w:val="00155B10"/>
    <w:rsid w:val="00155D5C"/>
    <w:rsid w:val="00155E94"/>
    <w:rsid w:val="00155EB7"/>
    <w:rsid w:val="00155F38"/>
    <w:rsid w:val="00155FC0"/>
    <w:rsid w:val="0015615E"/>
    <w:rsid w:val="001563D4"/>
    <w:rsid w:val="0015781B"/>
    <w:rsid w:val="0015797F"/>
    <w:rsid w:val="00157D73"/>
    <w:rsid w:val="00160041"/>
    <w:rsid w:val="001600EF"/>
    <w:rsid w:val="00160321"/>
    <w:rsid w:val="00160403"/>
    <w:rsid w:val="001604CD"/>
    <w:rsid w:val="0016080F"/>
    <w:rsid w:val="00160A49"/>
    <w:rsid w:val="00161073"/>
    <w:rsid w:val="001619AD"/>
    <w:rsid w:val="00161CD4"/>
    <w:rsid w:val="00162592"/>
    <w:rsid w:val="00162AB5"/>
    <w:rsid w:val="00162B84"/>
    <w:rsid w:val="00162BD8"/>
    <w:rsid w:val="00162BFA"/>
    <w:rsid w:val="00162F49"/>
    <w:rsid w:val="0016306D"/>
    <w:rsid w:val="001634AD"/>
    <w:rsid w:val="001636B5"/>
    <w:rsid w:val="00163A6F"/>
    <w:rsid w:val="00163EBF"/>
    <w:rsid w:val="00164074"/>
    <w:rsid w:val="0016474E"/>
    <w:rsid w:val="001648ED"/>
    <w:rsid w:val="00164E24"/>
    <w:rsid w:val="00165016"/>
    <w:rsid w:val="001650C8"/>
    <w:rsid w:val="001652CE"/>
    <w:rsid w:val="00165459"/>
    <w:rsid w:val="00165893"/>
    <w:rsid w:val="00165DBF"/>
    <w:rsid w:val="0016605A"/>
    <w:rsid w:val="0016637F"/>
    <w:rsid w:val="001663C9"/>
    <w:rsid w:val="001664DE"/>
    <w:rsid w:val="00166777"/>
    <w:rsid w:val="0016690A"/>
    <w:rsid w:val="00166A35"/>
    <w:rsid w:val="00166C08"/>
    <w:rsid w:val="00166C3B"/>
    <w:rsid w:val="0016723E"/>
    <w:rsid w:val="001672A5"/>
    <w:rsid w:val="00167783"/>
    <w:rsid w:val="00167B0A"/>
    <w:rsid w:val="00167BBA"/>
    <w:rsid w:val="00167C5B"/>
    <w:rsid w:val="0017057D"/>
    <w:rsid w:val="0017082B"/>
    <w:rsid w:val="001709A9"/>
    <w:rsid w:val="00170D56"/>
    <w:rsid w:val="00170F35"/>
    <w:rsid w:val="00170F7A"/>
    <w:rsid w:val="001710D4"/>
    <w:rsid w:val="001712CE"/>
    <w:rsid w:val="001718E0"/>
    <w:rsid w:val="00172033"/>
    <w:rsid w:val="00172405"/>
    <w:rsid w:val="00172782"/>
    <w:rsid w:val="00172A6E"/>
    <w:rsid w:val="001734C8"/>
    <w:rsid w:val="001736EA"/>
    <w:rsid w:val="00173AE0"/>
    <w:rsid w:val="00173AF2"/>
    <w:rsid w:val="00173F0B"/>
    <w:rsid w:val="001747CD"/>
    <w:rsid w:val="00174957"/>
    <w:rsid w:val="00174A45"/>
    <w:rsid w:val="00174D44"/>
    <w:rsid w:val="0017519A"/>
    <w:rsid w:val="00175945"/>
    <w:rsid w:val="00175D20"/>
    <w:rsid w:val="00175E19"/>
    <w:rsid w:val="00176010"/>
    <w:rsid w:val="0017632C"/>
    <w:rsid w:val="001763B4"/>
    <w:rsid w:val="00176C70"/>
    <w:rsid w:val="00176C9F"/>
    <w:rsid w:val="00177063"/>
    <w:rsid w:val="00177788"/>
    <w:rsid w:val="001777B4"/>
    <w:rsid w:val="001777BD"/>
    <w:rsid w:val="00177F0A"/>
    <w:rsid w:val="0018065A"/>
    <w:rsid w:val="00180819"/>
    <w:rsid w:val="001813AC"/>
    <w:rsid w:val="001815F5"/>
    <w:rsid w:val="00181F76"/>
    <w:rsid w:val="00182A7E"/>
    <w:rsid w:val="00182F54"/>
    <w:rsid w:val="00182FC7"/>
    <w:rsid w:val="00183035"/>
    <w:rsid w:val="0018390C"/>
    <w:rsid w:val="00183A04"/>
    <w:rsid w:val="00183DF9"/>
    <w:rsid w:val="001845E3"/>
    <w:rsid w:val="00184748"/>
    <w:rsid w:val="00184FBB"/>
    <w:rsid w:val="00184FF9"/>
    <w:rsid w:val="00185130"/>
    <w:rsid w:val="00186355"/>
    <w:rsid w:val="00186941"/>
    <w:rsid w:val="00187648"/>
    <w:rsid w:val="00187705"/>
    <w:rsid w:val="00187D5C"/>
    <w:rsid w:val="00187DAD"/>
    <w:rsid w:val="00187FE8"/>
    <w:rsid w:val="001901DC"/>
    <w:rsid w:val="00190964"/>
    <w:rsid w:val="00190A68"/>
    <w:rsid w:val="00191A26"/>
    <w:rsid w:val="00191AE8"/>
    <w:rsid w:val="00191BF6"/>
    <w:rsid w:val="00191DEA"/>
    <w:rsid w:val="001922AA"/>
    <w:rsid w:val="00192344"/>
    <w:rsid w:val="001924E0"/>
    <w:rsid w:val="00192711"/>
    <w:rsid w:val="0019318B"/>
    <w:rsid w:val="00193997"/>
    <w:rsid w:val="001940E1"/>
    <w:rsid w:val="0019417D"/>
    <w:rsid w:val="001942D0"/>
    <w:rsid w:val="00194E2B"/>
    <w:rsid w:val="00195234"/>
    <w:rsid w:val="00195247"/>
    <w:rsid w:val="00195AE4"/>
    <w:rsid w:val="0019607F"/>
    <w:rsid w:val="00196220"/>
    <w:rsid w:val="00196987"/>
    <w:rsid w:val="00196CF9"/>
    <w:rsid w:val="00196F2D"/>
    <w:rsid w:val="00197014"/>
    <w:rsid w:val="0019720C"/>
    <w:rsid w:val="00197A11"/>
    <w:rsid w:val="00197AB1"/>
    <w:rsid w:val="001A0353"/>
    <w:rsid w:val="001A0F00"/>
    <w:rsid w:val="001A10B7"/>
    <w:rsid w:val="001A1157"/>
    <w:rsid w:val="001A13CD"/>
    <w:rsid w:val="001A1557"/>
    <w:rsid w:val="001A15A7"/>
    <w:rsid w:val="001A1CF3"/>
    <w:rsid w:val="001A1E4E"/>
    <w:rsid w:val="001A2780"/>
    <w:rsid w:val="001A2B68"/>
    <w:rsid w:val="001A302E"/>
    <w:rsid w:val="001A413C"/>
    <w:rsid w:val="001A4283"/>
    <w:rsid w:val="001A44EC"/>
    <w:rsid w:val="001A46DD"/>
    <w:rsid w:val="001A477D"/>
    <w:rsid w:val="001A49E0"/>
    <w:rsid w:val="001A4AED"/>
    <w:rsid w:val="001A4CB6"/>
    <w:rsid w:val="001A50A7"/>
    <w:rsid w:val="001A5346"/>
    <w:rsid w:val="001A53E1"/>
    <w:rsid w:val="001A565C"/>
    <w:rsid w:val="001A5758"/>
    <w:rsid w:val="001A5F6F"/>
    <w:rsid w:val="001A606E"/>
    <w:rsid w:val="001A6284"/>
    <w:rsid w:val="001A645F"/>
    <w:rsid w:val="001A66CF"/>
    <w:rsid w:val="001A6A57"/>
    <w:rsid w:val="001A6AF6"/>
    <w:rsid w:val="001A6D70"/>
    <w:rsid w:val="001A6F7E"/>
    <w:rsid w:val="001A706E"/>
    <w:rsid w:val="001A7BFB"/>
    <w:rsid w:val="001B02F3"/>
    <w:rsid w:val="001B0729"/>
    <w:rsid w:val="001B0C22"/>
    <w:rsid w:val="001B0F1D"/>
    <w:rsid w:val="001B18B5"/>
    <w:rsid w:val="001B2CA5"/>
    <w:rsid w:val="001B2F4C"/>
    <w:rsid w:val="001B2FAF"/>
    <w:rsid w:val="001B3252"/>
    <w:rsid w:val="001B4196"/>
    <w:rsid w:val="001B45A8"/>
    <w:rsid w:val="001B46A4"/>
    <w:rsid w:val="001B490C"/>
    <w:rsid w:val="001B4AD3"/>
    <w:rsid w:val="001B4B38"/>
    <w:rsid w:val="001B4EB2"/>
    <w:rsid w:val="001B5A12"/>
    <w:rsid w:val="001B5F8C"/>
    <w:rsid w:val="001B5FDE"/>
    <w:rsid w:val="001B633F"/>
    <w:rsid w:val="001B677D"/>
    <w:rsid w:val="001B67DA"/>
    <w:rsid w:val="001B6D17"/>
    <w:rsid w:val="001B6DC8"/>
    <w:rsid w:val="001B6E07"/>
    <w:rsid w:val="001B7CEF"/>
    <w:rsid w:val="001B7D32"/>
    <w:rsid w:val="001B7F73"/>
    <w:rsid w:val="001C00C6"/>
    <w:rsid w:val="001C0268"/>
    <w:rsid w:val="001C0FA1"/>
    <w:rsid w:val="001C123A"/>
    <w:rsid w:val="001C1395"/>
    <w:rsid w:val="001C1BDC"/>
    <w:rsid w:val="001C1CAA"/>
    <w:rsid w:val="001C1DA4"/>
    <w:rsid w:val="001C1F30"/>
    <w:rsid w:val="001C20CD"/>
    <w:rsid w:val="001C2253"/>
    <w:rsid w:val="001C28AF"/>
    <w:rsid w:val="001C2A2F"/>
    <w:rsid w:val="001C2DA1"/>
    <w:rsid w:val="001C31D5"/>
    <w:rsid w:val="001C322A"/>
    <w:rsid w:val="001C3E43"/>
    <w:rsid w:val="001C4285"/>
    <w:rsid w:val="001C43F3"/>
    <w:rsid w:val="001C4614"/>
    <w:rsid w:val="001C46A6"/>
    <w:rsid w:val="001C5192"/>
    <w:rsid w:val="001C5812"/>
    <w:rsid w:val="001C5DF0"/>
    <w:rsid w:val="001C5E8D"/>
    <w:rsid w:val="001C6553"/>
    <w:rsid w:val="001C66B5"/>
    <w:rsid w:val="001C66B7"/>
    <w:rsid w:val="001C6717"/>
    <w:rsid w:val="001C6730"/>
    <w:rsid w:val="001C6B10"/>
    <w:rsid w:val="001C6DA8"/>
    <w:rsid w:val="001C7052"/>
    <w:rsid w:val="001C7089"/>
    <w:rsid w:val="001C70C2"/>
    <w:rsid w:val="001C79C5"/>
    <w:rsid w:val="001C7D69"/>
    <w:rsid w:val="001C7F2C"/>
    <w:rsid w:val="001C7F47"/>
    <w:rsid w:val="001D004E"/>
    <w:rsid w:val="001D03C2"/>
    <w:rsid w:val="001D0C2D"/>
    <w:rsid w:val="001D0FFD"/>
    <w:rsid w:val="001D1039"/>
    <w:rsid w:val="001D12F6"/>
    <w:rsid w:val="001D18B8"/>
    <w:rsid w:val="001D1FAB"/>
    <w:rsid w:val="001D212D"/>
    <w:rsid w:val="001D232D"/>
    <w:rsid w:val="001D2576"/>
    <w:rsid w:val="001D25DE"/>
    <w:rsid w:val="001D276F"/>
    <w:rsid w:val="001D3097"/>
    <w:rsid w:val="001D320F"/>
    <w:rsid w:val="001D35C7"/>
    <w:rsid w:val="001D35CB"/>
    <w:rsid w:val="001D36B6"/>
    <w:rsid w:val="001D3887"/>
    <w:rsid w:val="001D3C6B"/>
    <w:rsid w:val="001D3F17"/>
    <w:rsid w:val="001D4CC8"/>
    <w:rsid w:val="001D520D"/>
    <w:rsid w:val="001D5475"/>
    <w:rsid w:val="001D54D4"/>
    <w:rsid w:val="001D59CB"/>
    <w:rsid w:val="001D5A55"/>
    <w:rsid w:val="001D6224"/>
    <w:rsid w:val="001D655A"/>
    <w:rsid w:val="001D657A"/>
    <w:rsid w:val="001D69F9"/>
    <w:rsid w:val="001D6C71"/>
    <w:rsid w:val="001D6C7E"/>
    <w:rsid w:val="001D6E67"/>
    <w:rsid w:val="001D6E77"/>
    <w:rsid w:val="001D7405"/>
    <w:rsid w:val="001D74CA"/>
    <w:rsid w:val="001D7C04"/>
    <w:rsid w:val="001E0690"/>
    <w:rsid w:val="001E0776"/>
    <w:rsid w:val="001E0851"/>
    <w:rsid w:val="001E0B0A"/>
    <w:rsid w:val="001E15FE"/>
    <w:rsid w:val="001E16DF"/>
    <w:rsid w:val="001E1772"/>
    <w:rsid w:val="001E1CEB"/>
    <w:rsid w:val="001E1D6B"/>
    <w:rsid w:val="001E1DD3"/>
    <w:rsid w:val="001E2066"/>
    <w:rsid w:val="001E23D3"/>
    <w:rsid w:val="001E2674"/>
    <w:rsid w:val="001E2AC7"/>
    <w:rsid w:val="001E2E87"/>
    <w:rsid w:val="001E3123"/>
    <w:rsid w:val="001E34B7"/>
    <w:rsid w:val="001E3BA1"/>
    <w:rsid w:val="001E3D64"/>
    <w:rsid w:val="001E4514"/>
    <w:rsid w:val="001E49CE"/>
    <w:rsid w:val="001E5010"/>
    <w:rsid w:val="001E5434"/>
    <w:rsid w:val="001E548C"/>
    <w:rsid w:val="001E58C1"/>
    <w:rsid w:val="001E5AF2"/>
    <w:rsid w:val="001E5E7A"/>
    <w:rsid w:val="001E602D"/>
    <w:rsid w:val="001E651E"/>
    <w:rsid w:val="001E667B"/>
    <w:rsid w:val="001E70CD"/>
    <w:rsid w:val="001E7228"/>
    <w:rsid w:val="001E725C"/>
    <w:rsid w:val="001E78D9"/>
    <w:rsid w:val="001E7A39"/>
    <w:rsid w:val="001E7B43"/>
    <w:rsid w:val="001F017F"/>
    <w:rsid w:val="001F0319"/>
    <w:rsid w:val="001F0AAB"/>
    <w:rsid w:val="001F116E"/>
    <w:rsid w:val="001F12ED"/>
    <w:rsid w:val="001F1385"/>
    <w:rsid w:val="001F1673"/>
    <w:rsid w:val="001F1D50"/>
    <w:rsid w:val="001F1FCA"/>
    <w:rsid w:val="001F2768"/>
    <w:rsid w:val="001F2B82"/>
    <w:rsid w:val="001F307B"/>
    <w:rsid w:val="001F3176"/>
    <w:rsid w:val="001F3195"/>
    <w:rsid w:val="001F3A4C"/>
    <w:rsid w:val="001F45D9"/>
    <w:rsid w:val="001F47DE"/>
    <w:rsid w:val="001F4B13"/>
    <w:rsid w:val="001F4D90"/>
    <w:rsid w:val="001F54EC"/>
    <w:rsid w:val="001F5E6D"/>
    <w:rsid w:val="001F626C"/>
    <w:rsid w:val="001F67A5"/>
    <w:rsid w:val="001F69E5"/>
    <w:rsid w:val="001F6EAF"/>
    <w:rsid w:val="001F70E1"/>
    <w:rsid w:val="001F71BB"/>
    <w:rsid w:val="001F7667"/>
    <w:rsid w:val="001F79D2"/>
    <w:rsid w:val="001F7CBF"/>
    <w:rsid w:val="0020096E"/>
    <w:rsid w:val="00200B75"/>
    <w:rsid w:val="00200C54"/>
    <w:rsid w:val="00200CB2"/>
    <w:rsid w:val="00200D8E"/>
    <w:rsid w:val="0020101F"/>
    <w:rsid w:val="00201027"/>
    <w:rsid w:val="002010CF"/>
    <w:rsid w:val="00201678"/>
    <w:rsid w:val="00202038"/>
    <w:rsid w:val="00202241"/>
    <w:rsid w:val="00202855"/>
    <w:rsid w:val="0020293E"/>
    <w:rsid w:val="002029F5"/>
    <w:rsid w:val="00202D08"/>
    <w:rsid w:val="00202DDA"/>
    <w:rsid w:val="00203056"/>
    <w:rsid w:val="00203218"/>
    <w:rsid w:val="00203C06"/>
    <w:rsid w:val="00203FE8"/>
    <w:rsid w:val="002041BB"/>
    <w:rsid w:val="00204274"/>
    <w:rsid w:val="002045EE"/>
    <w:rsid w:val="0020475F"/>
    <w:rsid w:val="00204A03"/>
    <w:rsid w:val="002051A7"/>
    <w:rsid w:val="0020565F"/>
    <w:rsid w:val="002059AD"/>
    <w:rsid w:val="00205FEC"/>
    <w:rsid w:val="0020607F"/>
    <w:rsid w:val="00206491"/>
    <w:rsid w:val="0020690D"/>
    <w:rsid w:val="0020693A"/>
    <w:rsid w:val="00206A59"/>
    <w:rsid w:val="00206B7A"/>
    <w:rsid w:val="00206CEB"/>
    <w:rsid w:val="00206E50"/>
    <w:rsid w:val="0020727E"/>
    <w:rsid w:val="00210145"/>
    <w:rsid w:val="00210B63"/>
    <w:rsid w:val="00210E55"/>
    <w:rsid w:val="0021157C"/>
    <w:rsid w:val="002117CB"/>
    <w:rsid w:val="002119FE"/>
    <w:rsid w:val="00211A30"/>
    <w:rsid w:val="00211BC4"/>
    <w:rsid w:val="0021200D"/>
    <w:rsid w:val="00212232"/>
    <w:rsid w:val="00212243"/>
    <w:rsid w:val="00212BBB"/>
    <w:rsid w:val="00212E72"/>
    <w:rsid w:val="0021317A"/>
    <w:rsid w:val="00213245"/>
    <w:rsid w:val="0021357F"/>
    <w:rsid w:val="002135DC"/>
    <w:rsid w:val="00213D44"/>
    <w:rsid w:val="00213E74"/>
    <w:rsid w:val="00214187"/>
    <w:rsid w:val="002142C0"/>
    <w:rsid w:val="00214889"/>
    <w:rsid w:val="0021518F"/>
    <w:rsid w:val="002152A6"/>
    <w:rsid w:val="002153C8"/>
    <w:rsid w:val="002159B3"/>
    <w:rsid w:val="00215AB6"/>
    <w:rsid w:val="00215BD7"/>
    <w:rsid w:val="00215DFD"/>
    <w:rsid w:val="002167F3"/>
    <w:rsid w:val="00216C95"/>
    <w:rsid w:val="00216F80"/>
    <w:rsid w:val="00217310"/>
    <w:rsid w:val="00217649"/>
    <w:rsid w:val="002179BC"/>
    <w:rsid w:val="002179F4"/>
    <w:rsid w:val="00217E2A"/>
    <w:rsid w:val="002200E1"/>
    <w:rsid w:val="00220815"/>
    <w:rsid w:val="002211FE"/>
    <w:rsid w:val="00221402"/>
    <w:rsid w:val="002214F5"/>
    <w:rsid w:val="0022182A"/>
    <w:rsid w:val="0022184D"/>
    <w:rsid w:val="00221DF2"/>
    <w:rsid w:val="00222009"/>
    <w:rsid w:val="00222164"/>
    <w:rsid w:val="0022222D"/>
    <w:rsid w:val="002223C7"/>
    <w:rsid w:val="002226EF"/>
    <w:rsid w:val="00222782"/>
    <w:rsid w:val="00222AED"/>
    <w:rsid w:val="0022309A"/>
    <w:rsid w:val="002233E0"/>
    <w:rsid w:val="00223C94"/>
    <w:rsid w:val="0022430A"/>
    <w:rsid w:val="002243D4"/>
    <w:rsid w:val="002244F7"/>
    <w:rsid w:val="00224D37"/>
    <w:rsid w:val="002250A5"/>
    <w:rsid w:val="00225161"/>
    <w:rsid w:val="002251DE"/>
    <w:rsid w:val="00225222"/>
    <w:rsid w:val="00225581"/>
    <w:rsid w:val="00225A3A"/>
    <w:rsid w:val="0022641A"/>
    <w:rsid w:val="002267BD"/>
    <w:rsid w:val="00226FAB"/>
    <w:rsid w:val="00227150"/>
    <w:rsid w:val="0022716A"/>
    <w:rsid w:val="00227355"/>
    <w:rsid w:val="0022791E"/>
    <w:rsid w:val="00227B3A"/>
    <w:rsid w:val="00227B4F"/>
    <w:rsid w:val="00227D3B"/>
    <w:rsid w:val="0023001E"/>
    <w:rsid w:val="002308DA"/>
    <w:rsid w:val="00230971"/>
    <w:rsid w:val="002309B5"/>
    <w:rsid w:val="00230B3C"/>
    <w:rsid w:val="00230B98"/>
    <w:rsid w:val="00230E9D"/>
    <w:rsid w:val="00230F97"/>
    <w:rsid w:val="0023103E"/>
    <w:rsid w:val="00231442"/>
    <w:rsid w:val="00231614"/>
    <w:rsid w:val="00231D25"/>
    <w:rsid w:val="00231DE6"/>
    <w:rsid w:val="00231F4E"/>
    <w:rsid w:val="00231F99"/>
    <w:rsid w:val="002320EA"/>
    <w:rsid w:val="002322C8"/>
    <w:rsid w:val="002322D9"/>
    <w:rsid w:val="00232BFD"/>
    <w:rsid w:val="00232C35"/>
    <w:rsid w:val="00232D04"/>
    <w:rsid w:val="00232FA8"/>
    <w:rsid w:val="0023348B"/>
    <w:rsid w:val="00233575"/>
    <w:rsid w:val="00233A63"/>
    <w:rsid w:val="00233B14"/>
    <w:rsid w:val="00233B7E"/>
    <w:rsid w:val="00233DC6"/>
    <w:rsid w:val="0023463B"/>
    <w:rsid w:val="00234747"/>
    <w:rsid w:val="002348C2"/>
    <w:rsid w:val="00234B28"/>
    <w:rsid w:val="00234C23"/>
    <w:rsid w:val="002352B4"/>
    <w:rsid w:val="00235734"/>
    <w:rsid w:val="00235DB4"/>
    <w:rsid w:val="002361EC"/>
    <w:rsid w:val="002362F3"/>
    <w:rsid w:val="00236593"/>
    <w:rsid w:val="002365F2"/>
    <w:rsid w:val="00236E1F"/>
    <w:rsid w:val="002372C7"/>
    <w:rsid w:val="002374FE"/>
    <w:rsid w:val="00237703"/>
    <w:rsid w:val="00237B6C"/>
    <w:rsid w:val="00240181"/>
    <w:rsid w:val="002401AF"/>
    <w:rsid w:val="00240355"/>
    <w:rsid w:val="00240716"/>
    <w:rsid w:val="00240B24"/>
    <w:rsid w:val="00240F58"/>
    <w:rsid w:val="002413D5"/>
    <w:rsid w:val="00241445"/>
    <w:rsid w:val="0024185F"/>
    <w:rsid w:val="00241B1F"/>
    <w:rsid w:val="00241C4C"/>
    <w:rsid w:val="00242164"/>
    <w:rsid w:val="00242277"/>
    <w:rsid w:val="0024229D"/>
    <w:rsid w:val="0024250F"/>
    <w:rsid w:val="00242560"/>
    <w:rsid w:val="00242862"/>
    <w:rsid w:val="00242C5B"/>
    <w:rsid w:val="00242D40"/>
    <w:rsid w:val="00242D62"/>
    <w:rsid w:val="00243012"/>
    <w:rsid w:val="002432DD"/>
    <w:rsid w:val="00243C9B"/>
    <w:rsid w:val="00244248"/>
    <w:rsid w:val="00244400"/>
    <w:rsid w:val="00244732"/>
    <w:rsid w:val="0024483F"/>
    <w:rsid w:val="00244977"/>
    <w:rsid w:val="00244D3E"/>
    <w:rsid w:val="00244F0A"/>
    <w:rsid w:val="002454DC"/>
    <w:rsid w:val="0024563C"/>
    <w:rsid w:val="002456B9"/>
    <w:rsid w:val="00246246"/>
    <w:rsid w:val="00246758"/>
    <w:rsid w:val="00246C36"/>
    <w:rsid w:val="00247084"/>
    <w:rsid w:val="002473F7"/>
    <w:rsid w:val="002479C6"/>
    <w:rsid w:val="00247C71"/>
    <w:rsid w:val="0025000A"/>
    <w:rsid w:val="00250D62"/>
    <w:rsid w:val="00250DF0"/>
    <w:rsid w:val="00251C25"/>
    <w:rsid w:val="00251E14"/>
    <w:rsid w:val="00251E8C"/>
    <w:rsid w:val="00252559"/>
    <w:rsid w:val="00252BB5"/>
    <w:rsid w:val="00253848"/>
    <w:rsid w:val="002539B4"/>
    <w:rsid w:val="002539D3"/>
    <w:rsid w:val="002539D4"/>
    <w:rsid w:val="00253E8C"/>
    <w:rsid w:val="002541D4"/>
    <w:rsid w:val="0025424B"/>
    <w:rsid w:val="002545DB"/>
    <w:rsid w:val="002545EC"/>
    <w:rsid w:val="0025489E"/>
    <w:rsid w:val="002548CC"/>
    <w:rsid w:val="00254C07"/>
    <w:rsid w:val="00255B57"/>
    <w:rsid w:val="00255BAC"/>
    <w:rsid w:val="002563C5"/>
    <w:rsid w:val="002566EB"/>
    <w:rsid w:val="00256C61"/>
    <w:rsid w:val="00256CAD"/>
    <w:rsid w:val="00256F3F"/>
    <w:rsid w:val="00257319"/>
    <w:rsid w:val="002573E6"/>
    <w:rsid w:val="00257580"/>
    <w:rsid w:val="00257A4F"/>
    <w:rsid w:val="002603B3"/>
    <w:rsid w:val="00260671"/>
    <w:rsid w:val="0026076D"/>
    <w:rsid w:val="002608E6"/>
    <w:rsid w:val="00260AAC"/>
    <w:rsid w:val="00260C3A"/>
    <w:rsid w:val="00261074"/>
    <w:rsid w:val="002613D4"/>
    <w:rsid w:val="00261B9D"/>
    <w:rsid w:val="00261E4A"/>
    <w:rsid w:val="002622AF"/>
    <w:rsid w:val="00263251"/>
    <w:rsid w:val="002633D3"/>
    <w:rsid w:val="0026352B"/>
    <w:rsid w:val="0026353C"/>
    <w:rsid w:val="00263A51"/>
    <w:rsid w:val="00263B1B"/>
    <w:rsid w:val="00263CD0"/>
    <w:rsid w:val="00263EFE"/>
    <w:rsid w:val="0026413C"/>
    <w:rsid w:val="0026478C"/>
    <w:rsid w:val="00264CDD"/>
    <w:rsid w:val="00264DF9"/>
    <w:rsid w:val="002652E4"/>
    <w:rsid w:val="00265A32"/>
    <w:rsid w:val="00266923"/>
    <w:rsid w:val="002671B3"/>
    <w:rsid w:val="00267443"/>
    <w:rsid w:val="00267F3B"/>
    <w:rsid w:val="00267F62"/>
    <w:rsid w:val="00270618"/>
    <w:rsid w:val="0027077D"/>
    <w:rsid w:val="0027087D"/>
    <w:rsid w:val="0027111B"/>
    <w:rsid w:val="00271418"/>
    <w:rsid w:val="002728AC"/>
    <w:rsid w:val="00272A9D"/>
    <w:rsid w:val="00272F43"/>
    <w:rsid w:val="00273137"/>
    <w:rsid w:val="002733BE"/>
    <w:rsid w:val="00273780"/>
    <w:rsid w:val="002738CF"/>
    <w:rsid w:val="00273D3C"/>
    <w:rsid w:val="002741C1"/>
    <w:rsid w:val="002744FB"/>
    <w:rsid w:val="002749F0"/>
    <w:rsid w:val="00274A8A"/>
    <w:rsid w:val="00274C56"/>
    <w:rsid w:val="00275178"/>
    <w:rsid w:val="00275480"/>
    <w:rsid w:val="00275F34"/>
    <w:rsid w:val="00276227"/>
    <w:rsid w:val="00276454"/>
    <w:rsid w:val="002769ED"/>
    <w:rsid w:val="002770A6"/>
    <w:rsid w:val="002772E6"/>
    <w:rsid w:val="0027770B"/>
    <w:rsid w:val="00277C59"/>
    <w:rsid w:val="00277F05"/>
    <w:rsid w:val="002801AE"/>
    <w:rsid w:val="002805E4"/>
    <w:rsid w:val="00280751"/>
    <w:rsid w:val="002809AC"/>
    <w:rsid w:val="00280C0E"/>
    <w:rsid w:val="00280D40"/>
    <w:rsid w:val="002811A2"/>
    <w:rsid w:val="002817B6"/>
    <w:rsid w:val="00282A11"/>
    <w:rsid w:val="00282AFF"/>
    <w:rsid w:val="00282B9D"/>
    <w:rsid w:val="0028309F"/>
    <w:rsid w:val="00283312"/>
    <w:rsid w:val="00284156"/>
    <w:rsid w:val="002844F5"/>
    <w:rsid w:val="0028456D"/>
    <w:rsid w:val="0028468E"/>
    <w:rsid w:val="002846D4"/>
    <w:rsid w:val="002846E0"/>
    <w:rsid w:val="00285271"/>
    <w:rsid w:val="00285531"/>
    <w:rsid w:val="00285556"/>
    <w:rsid w:val="00285AA0"/>
    <w:rsid w:val="00286114"/>
    <w:rsid w:val="002861CA"/>
    <w:rsid w:val="00286256"/>
    <w:rsid w:val="00286673"/>
    <w:rsid w:val="00286786"/>
    <w:rsid w:val="002868D7"/>
    <w:rsid w:val="00286A7F"/>
    <w:rsid w:val="00286E93"/>
    <w:rsid w:val="00286EDA"/>
    <w:rsid w:val="0028744D"/>
    <w:rsid w:val="002874E2"/>
    <w:rsid w:val="00287567"/>
    <w:rsid w:val="002879AE"/>
    <w:rsid w:val="00287F40"/>
    <w:rsid w:val="00287F5E"/>
    <w:rsid w:val="002902E7"/>
    <w:rsid w:val="00290438"/>
    <w:rsid w:val="00290921"/>
    <w:rsid w:val="00290C3D"/>
    <w:rsid w:val="00290D0E"/>
    <w:rsid w:val="00291017"/>
    <w:rsid w:val="0029109F"/>
    <w:rsid w:val="00291210"/>
    <w:rsid w:val="002914F4"/>
    <w:rsid w:val="002917DE"/>
    <w:rsid w:val="00291A1F"/>
    <w:rsid w:val="0029207E"/>
    <w:rsid w:val="0029223A"/>
    <w:rsid w:val="002929C7"/>
    <w:rsid w:val="00292F82"/>
    <w:rsid w:val="002932E2"/>
    <w:rsid w:val="002936ED"/>
    <w:rsid w:val="0029371E"/>
    <w:rsid w:val="00293A78"/>
    <w:rsid w:val="00293B88"/>
    <w:rsid w:val="00293CB0"/>
    <w:rsid w:val="002940C3"/>
    <w:rsid w:val="002943D3"/>
    <w:rsid w:val="0029440F"/>
    <w:rsid w:val="00294557"/>
    <w:rsid w:val="00294C22"/>
    <w:rsid w:val="00294F0E"/>
    <w:rsid w:val="002957A2"/>
    <w:rsid w:val="00295DC1"/>
    <w:rsid w:val="00295EA2"/>
    <w:rsid w:val="002961C7"/>
    <w:rsid w:val="00296355"/>
    <w:rsid w:val="00296642"/>
    <w:rsid w:val="00296828"/>
    <w:rsid w:val="00296893"/>
    <w:rsid w:val="002969B8"/>
    <w:rsid w:val="002969F0"/>
    <w:rsid w:val="00296CEA"/>
    <w:rsid w:val="00296DC2"/>
    <w:rsid w:val="00296EDC"/>
    <w:rsid w:val="0029707D"/>
    <w:rsid w:val="002A03D1"/>
    <w:rsid w:val="002A084B"/>
    <w:rsid w:val="002A090B"/>
    <w:rsid w:val="002A0A3F"/>
    <w:rsid w:val="002A0E12"/>
    <w:rsid w:val="002A11A2"/>
    <w:rsid w:val="002A1818"/>
    <w:rsid w:val="002A18FA"/>
    <w:rsid w:val="002A1A5A"/>
    <w:rsid w:val="002A21B6"/>
    <w:rsid w:val="002A21F9"/>
    <w:rsid w:val="002A2372"/>
    <w:rsid w:val="002A255E"/>
    <w:rsid w:val="002A33C3"/>
    <w:rsid w:val="002A3F89"/>
    <w:rsid w:val="002A3FEF"/>
    <w:rsid w:val="002A439F"/>
    <w:rsid w:val="002A4848"/>
    <w:rsid w:val="002A4D9F"/>
    <w:rsid w:val="002A5291"/>
    <w:rsid w:val="002A547B"/>
    <w:rsid w:val="002A5652"/>
    <w:rsid w:val="002A5799"/>
    <w:rsid w:val="002A5AAE"/>
    <w:rsid w:val="002A5C56"/>
    <w:rsid w:val="002A6C75"/>
    <w:rsid w:val="002A6D62"/>
    <w:rsid w:val="002A73F7"/>
    <w:rsid w:val="002A74EE"/>
    <w:rsid w:val="002A7849"/>
    <w:rsid w:val="002A7BD4"/>
    <w:rsid w:val="002A7E65"/>
    <w:rsid w:val="002B044A"/>
    <w:rsid w:val="002B08F2"/>
    <w:rsid w:val="002B133E"/>
    <w:rsid w:val="002B1D3A"/>
    <w:rsid w:val="002B1EC3"/>
    <w:rsid w:val="002B2570"/>
    <w:rsid w:val="002B277A"/>
    <w:rsid w:val="002B28D9"/>
    <w:rsid w:val="002B2C2C"/>
    <w:rsid w:val="002B2D11"/>
    <w:rsid w:val="002B38B1"/>
    <w:rsid w:val="002B3C1F"/>
    <w:rsid w:val="002B3DEE"/>
    <w:rsid w:val="002B3FD7"/>
    <w:rsid w:val="002B4311"/>
    <w:rsid w:val="002B46B6"/>
    <w:rsid w:val="002B4848"/>
    <w:rsid w:val="002B4A5A"/>
    <w:rsid w:val="002B4ECA"/>
    <w:rsid w:val="002B4FC7"/>
    <w:rsid w:val="002B5233"/>
    <w:rsid w:val="002B5674"/>
    <w:rsid w:val="002B5690"/>
    <w:rsid w:val="002B5792"/>
    <w:rsid w:val="002B57C5"/>
    <w:rsid w:val="002B5824"/>
    <w:rsid w:val="002B59FE"/>
    <w:rsid w:val="002B5D94"/>
    <w:rsid w:val="002B5E50"/>
    <w:rsid w:val="002B6406"/>
    <w:rsid w:val="002B6491"/>
    <w:rsid w:val="002B69E7"/>
    <w:rsid w:val="002B6BE7"/>
    <w:rsid w:val="002B6EB0"/>
    <w:rsid w:val="002B6FD4"/>
    <w:rsid w:val="002B7100"/>
    <w:rsid w:val="002B71E7"/>
    <w:rsid w:val="002B7233"/>
    <w:rsid w:val="002B75DF"/>
    <w:rsid w:val="002B7742"/>
    <w:rsid w:val="002B776F"/>
    <w:rsid w:val="002B7CD4"/>
    <w:rsid w:val="002B7D11"/>
    <w:rsid w:val="002C0630"/>
    <w:rsid w:val="002C094B"/>
    <w:rsid w:val="002C0A72"/>
    <w:rsid w:val="002C10BC"/>
    <w:rsid w:val="002C1A0D"/>
    <w:rsid w:val="002C1E04"/>
    <w:rsid w:val="002C218C"/>
    <w:rsid w:val="002C2264"/>
    <w:rsid w:val="002C262C"/>
    <w:rsid w:val="002C28FC"/>
    <w:rsid w:val="002C31E2"/>
    <w:rsid w:val="002C31F6"/>
    <w:rsid w:val="002C349A"/>
    <w:rsid w:val="002C393C"/>
    <w:rsid w:val="002C3B27"/>
    <w:rsid w:val="002C421C"/>
    <w:rsid w:val="002C435E"/>
    <w:rsid w:val="002C4B15"/>
    <w:rsid w:val="002C4F6C"/>
    <w:rsid w:val="002C5FA5"/>
    <w:rsid w:val="002C6768"/>
    <w:rsid w:val="002C7132"/>
    <w:rsid w:val="002C7325"/>
    <w:rsid w:val="002C78EC"/>
    <w:rsid w:val="002C7BA7"/>
    <w:rsid w:val="002C7DC3"/>
    <w:rsid w:val="002C7FF6"/>
    <w:rsid w:val="002D054A"/>
    <w:rsid w:val="002D096C"/>
    <w:rsid w:val="002D0CDD"/>
    <w:rsid w:val="002D284B"/>
    <w:rsid w:val="002D28F1"/>
    <w:rsid w:val="002D2BFC"/>
    <w:rsid w:val="002D2E48"/>
    <w:rsid w:val="002D326D"/>
    <w:rsid w:val="002D33B6"/>
    <w:rsid w:val="002D3728"/>
    <w:rsid w:val="002D4092"/>
    <w:rsid w:val="002D44C9"/>
    <w:rsid w:val="002D4718"/>
    <w:rsid w:val="002D48FA"/>
    <w:rsid w:val="002D4CF5"/>
    <w:rsid w:val="002D540E"/>
    <w:rsid w:val="002D596F"/>
    <w:rsid w:val="002D5C03"/>
    <w:rsid w:val="002D5CAE"/>
    <w:rsid w:val="002D5FDF"/>
    <w:rsid w:val="002D63E2"/>
    <w:rsid w:val="002D6704"/>
    <w:rsid w:val="002D6B2B"/>
    <w:rsid w:val="002D6F79"/>
    <w:rsid w:val="002D7428"/>
    <w:rsid w:val="002D745E"/>
    <w:rsid w:val="002D7D19"/>
    <w:rsid w:val="002E0177"/>
    <w:rsid w:val="002E04BF"/>
    <w:rsid w:val="002E117D"/>
    <w:rsid w:val="002E1445"/>
    <w:rsid w:val="002E15D9"/>
    <w:rsid w:val="002E1D50"/>
    <w:rsid w:val="002E279C"/>
    <w:rsid w:val="002E2B7A"/>
    <w:rsid w:val="002E2C57"/>
    <w:rsid w:val="002E310E"/>
    <w:rsid w:val="002E35DF"/>
    <w:rsid w:val="002E387C"/>
    <w:rsid w:val="002E389B"/>
    <w:rsid w:val="002E3DF1"/>
    <w:rsid w:val="002E4097"/>
    <w:rsid w:val="002E40B3"/>
    <w:rsid w:val="002E42A5"/>
    <w:rsid w:val="002E4A60"/>
    <w:rsid w:val="002E4B84"/>
    <w:rsid w:val="002E51AD"/>
    <w:rsid w:val="002E5438"/>
    <w:rsid w:val="002E5A71"/>
    <w:rsid w:val="002E5B42"/>
    <w:rsid w:val="002E680D"/>
    <w:rsid w:val="002E6AED"/>
    <w:rsid w:val="002E6E29"/>
    <w:rsid w:val="002E7772"/>
    <w:rsid w:val="002E7A21"/>
    <w:rsid w:val="002E7D74"/>
    <w:rsid w:val="002F02C2"/>
    <w:rsid w:val="002F05E2"/>
    <w:rsid w:val="002F06D0"/>
    <w:rsid w:val="002F0A7C"/>
    <w:rsid w:val="002F0BA2"/>
    <w:rsid w:val="002F0BFF"/>
    <w:rsid w:val="002F0FB5"/>
    <w:rsid w:val="002F160C"/>
    <w:rsid w:val="002F17BC"/>
    <w:rsid w:val="002F180B"/>
    <w:rsid w:val="002F1AE5"/>
    <w:rsid w:val="002F21A3"/>
    <w:rsid w:val="002F23BB"/>
    <w:rsid w:val="002F27E4"/>
    <w:rsid w:val="002F2E29"/>
    <w:rsid w:val="002F336D"/>
    <w:rsid w:val="002F3DD7"/>
    <w:rsid w:val="002F45E6"/>
    <w:rsid w:val="002F45FE"/>
    <w:rsid w:val="002F49A8"/>
    <w:rsid w:val="002F5410"/>
    <w:rsid w:val="002F5853"/>
    <w:rsid w:val="002F59B9"/>
    <w:rsid w:val="002F5E5E"/>
    <w:rsid w:val="002F658B"/>
    <w:rsid w:val="002F6825"/>
    <w:rsid w:val="002F6DE5"/>
    <w:rsid w:val="002F71FE"/>
    <w:rsid w:val="002F7489"/>
    <w:rsid w:val="002F7654"/>
    <w:rsid w:val="002F76AB"/>
    <w:rsid w:val="002F774E"/>
    <w:rsid w:val="002F7BED"/>
    <w:rsid w:val="002F7E62"/>
    <w:rsid w:val="00300471"/>
    <w:rsid w:val="00300653"/>
    <w:rsid w:val="0030065A"/>
    <w:rsid w:val="003011C0"/>
    <w:rsid w:val="003014F2"/>
    <w:rsid w:val="003016E6"/>
    <w:rsid w:val="00301A97"/>
    <w:rsid w:val="00302067"/>
    <w:rsid w:val="003023A8"/>
    <w:rsid w:val="00302760"/>
    <w:rsid w:val="00302F4C"/>
    <w:rsid w:val="0030322E"/>
    <w:rsid w:val="00303BE5"/>
    <w:rsid w:val="00303BF8"/>
    <w:rsid w:val="00303FED"/>
    <w:rsid w:val="003046D1"/>
    <w:rsid w:val="0030472F"/>
    <w:rsid w:val="003047B1"/>
    <w:rsid w:val="00304D4D"/>
    <w:rsid w:val="003050BF"/>
    <w:rsid w:val="00305299"/>
    <w:rsid w:val="003052E4"/>
    <w:rsid w:val="0030589F"/>
    <w:rsid w:val="00305A9D"/>
    <w:rsid w:val="00305C0F"/>
    <w:rsid w:val="00305D6C"/>
    <w:rsid w:val="0030663B"/>
    <w:rsid w:val="0030718B"/>
    <w:rsid w:val="0030744B"/>
    <w:rsid w:val="0030765D"/>
    <w:rsid w:val="003077AC"/>
    <w:rsid w:val="00307A94"/>
    <w:rsid w:val="00307F02"/>
    <w:rsid w:val="00307FC4"/>
    <w:rsid w:val="003100E8"/>
    <w:rsid w:val="00310590"/>
    <w:rsid w:val="0031061E"/>
    <w:rsid w:val="003108B3"/>
    <w:rsid w:val="00310A95"/>
    <w:rsid w:val="00310D91"/>
    <w:rsid w:val="00310F38"/>
    <w:rsid w:val="00311292"/>
    <w:rsid w:val="003118E5"/>
    <w:rsid w:val="00311DCE"/>
    <w:rsid w:val="00312352"/>
    <w:rsid w:val="003124D6"/>
    <w:rsid w:val="00312883"/>
    <w:rsid w:val="00312F49"/>
    <w:rsid w:val="00314326"/>
    <w:rsid w:val="00314485"/>
    <w:rsid w:val="00314783"/>
    <w:rsid w:val="00314AA0"/>
    <w:rsid w:val="00314AE8"/>
    <w:rsid w:val="00314B4A"/>
    <w:rsid w:val="00314B7F"/>
    <w:rsid w:val="003150F4"/>
    <w:rsid w:val="00315295"/>
    <w:rsid w:val="00315537"/>
    <w:rsid w:val="00315773"/>
    <w:rsid w:val="003157C2"/>
    <w:rsid w:val="00315E1D"/>
    <w:rsid w:val="00315E92"/>
    <w:rsid w:val="00316860"/>
    <w:rsid w:val="003169EB"/>
    <w:rsid w:val="003178BE"/>
    <w:rsid w:val="00317B4E"/>
    <w:rsid w:val="00317FE8"/>
    <w:rsid w:val="00320488"/>
    <w:rsid w:val="003204F2"/>
    <w:rsid w:val="0032158F"/>
    <w:rsid w:val="00321779"/>
    <w:rsid w:val="003217EA"/>
    <w:rsid w:val="00321C71"/>
    <w:rsid w:val="00321D17"/>
    <w:rsid w:val="00321E4F"/>
    <w:rsid w:val="00322029"/>
    <w:rsid w:val="003233F6"/>
    <w:rsid w:val="003235A3"/>
    <w:rsid w:val="00323998"/>
    <w:rsid w:val="00323DD6"/>
    <w:rsid w:val="0032431A"/>
    <w:rsid w:val="0032437A"/>
    <w:rsid w:val="0032579C"/>
    <w:rsid w:val="00325A3D"/>
    <w:rsid w:val="00325DBA"/>
    <w:rsid w:val="00325DE3"/>
    <w:rsid w:val="00325F7B"/>
    <w:rsid w:val="003260DE"/>
    <w:rsid w:val="00326DE6"/>
    <w:rsid w:val="00326F9C"/>
    <w:rsid w:val="003272FA"/>
    <w:rsid w:val="00327538"/>
    <w:rsid w:val="003275D7"/>
    <w:rsid w:val="0032787B"/>
    <w:rsid w:val="00327881"/>
    <w:rsid w:val="00327BD4"/>
    <w:rsid w:val="003307FD"/>
    <w:rsid w:val="003309E6"/>
    <w:rsid w:val="00330BAE"/>
    <w:rsid w:val="00330C48"/>
    <w:rsid w:val="0033176B"/>
    <w:rsid w:val="00331A58"/>
    <w:rsid w:val="00331B25"/>
    <w:rsid w:val="00331E77"/>
    <w:rsid w:val="00332096"/>
    <w:rsid w:val="00332312"/>
    <w:rsid w:val="00332925"/>
    <w:rsid w:val="00333008"/>
    <w:rsid w:val="0033325E"/>
    <w:rsid w:val="00333380"/>
    <w:rsid w:val="00333526"/>
    <w:rsid w:val="003336C2"/>
    <w:rsid w:val="003337A3"/>
    <w:rsid w:val="003338B4"/>
    <w:rsid w:val="003339FF"/>
    <w:rsid w:val="00333F49"/>
    <w:rsid w:val="00334059"/>
    <w:rsid w:val="0033407E"/>
    <w:rsid w:val="00334394"/>
    <w:rsid w:val="0033483D"/>
    <w:rsid w:val="003353D7"/>
    <w:rsid w:val="003354DD"/>
    <w:rsid w:val="0033560E"/>
    <w:rsid w:val="003358C3"/>
    <w:rsid w:val="00335A94"/>
    <w:rsid w:val="00337068"/>
    <w:rsid w:val="0033790B"/>
    <w:rsid w:val="0033791D"/>
    <w:rsid w:val="003406D5"/>
    <w:rsid w:val="00340F53"/>
    <w:rsid w:val="00341172"/>
    <w:rsid w:val="00341B20"/>
    <w:rsid w:val="00341BE2"/>
    <w:rsid w:val="00341C2F"/>
    <w:rsid w:val="00341CF4"/>
    <w:rsid w:val="00341D8D"/>
    <w:rsid w:val="003420C9"/>
    <w:rsid w:val="003425EE"/>
    <w:rsid w:val="003431C4"/>
    <w:rsid w:val="00343600"/>
    <w:rsid w:val="00343EC8"/>
    <w:rsid w:val="00344152"/>
    <w:rsid w:val="003446A3"/>
    <w:rsid w:val="00344A35"/>
    <w:rsid w:val="00344D79"/>
    <w:rsid w:val="003450E5"/>
    <w:rsid w:val="003451F9"/>
    <w:rsid w:val="00345250"/>
    <w:rsid w:val="003454A5"/>
    <w:rsid w:val="0034579E"/>
    <w:rsid w:val="00345E10"/>
    <w:rsid w:val="00346647"/>
    <w:rsid w:val="003469AB"/>
    <w:rsid w:val="00346BC9"/>
    <w:rsid w:val="00346C5C"/>
    <w:rsid w:val="0034702B"/>
    <w:rsid w:val="003470E1"/>
    <w:rsid w:val="00347710"/>
    <w:rsid w:val="00347909"/>
    <w:rsid w:val="00347D0F"/>
    <w:rsid w:val="00347F6F"/>
    <w:rsid w:val="003508A7"/>
    <w:rsid w:val="003508CC"/>
    <w:rsid w:val="00350E0B"/>
    <w:rsid w:val="00350F04"/>
    <w:rsid w:val="00351220"/>
    <w:rsid w:val="003512B1"/>
    <w:rsid w:val="0035154D"/>
    <w:rsid w:val="00351C49"/>
    <w:rsid w:val="00351C63"/>
    <w:rsid w:val="00351CE4"/>
    <w:rsid w:val="00351CF3"/>
    <w:rsid w:val="00351DEB"/>
    <w:rsid w:val="00351EA8"/>
    <w:rsid w:val="00352E5A"/>
    <w:rsid w:val="003532B3"/>
    <w:rsid w:val="003535B8"/>
    <w:rsid w:val="003536F0"/>
    <w:rsid w:val="00353944"/>
    <w:rsid w:val="00353B2B"/>
    <w:rsid w:val="00353C1A"/>
    <w:rsid w:val="00353D4B"/>
    <w:rsid w:val="00353DE4"/>
    <w:rsid w:val="00353F34"/>
    <w:rsid w:val="0035417C"/>
    <w:rsid w:val="0035425C"/>
    <w:rsid w:val="00354274"/>
    <w:rsid w:val="0035449D"/>
    <w:rsid w:val="00354EAA"/>
    <w:rsid w:val="00355585"/>
    <w:rsid w:val="00355DAB"/>
    <w:rsid w:val="00355E86"/>
    <w:rsid w:val="00356011"/>
    <w:rsid w:val="003560A3"/>
    <w:rsid w:val="003567D2"/>
    <w:rsid w:val="00356A78"/>
    <w:rsid w:val="00357636"/>
    <w:rsid w:val="00357C13"/>
    <w:rsid w:val="00357F99"/>
    <w:rsid w:val="003604AF"/>
    <w:rsid w:val="00360A4F"/>
    <w:rsid w:val="00360D20"/>
    <w:rsid w:val="00360F0B"/>
    <w:rsid w:val="0036127B"/>
    <w:rsid w:val="0036190E"/>
    <w:rsid w:val="003619C0"/>
    <w:rsid w:val="00361CEE"/>
    <w:rsid w:val="00361DF6"/>
    <w:rsid w:val="00362058"/>
    <w:rsid w:val="00362187"/>
    <w:rsid w:val="003627C7"/>
    <w:rsid w:val="00362F06"/>
    <w:rsid w:val="00362FB6"/>
    <w:rsid w:val="00363268"/>
    <w:rsid w:val="003635CA"/>
    <w:rsid w:val="00363B73"/>
    <w:rsid w:val="00363E13"/>
    <w:rsid w:val="00363FA1"/>
    <w:rsid w:val="00364246"/>
    <w:rsid w:val="0036437A"/>
    <w:rsid w:val="00364515"/>
    <w:rsid w:val="00364669"/>
    <w:rsid w:val="0036481A"/>
    <w:rsid w:val="00364BA9"/>
    <w:rsid w:val="00364EAF"/>
    <w:rsid w:val="00364EBD"/>
    <w:rsid w:val="00364F4D"/>
    <w:rsid w:val="00364F58"/>
    <w:rsid w:val="00365224"/>
    <w:rsid w:val="003652AC"/>
    <w:rsid w:val="00365376"/>
    <w:rsid w:val="00365400"/>
    <w:rsid w:val="003654EB"/>
    <w:rsid w:val="003655C4"/>
    <w:rsid w:val="0036589A"/>
    <w:rsid w:val="00365FFF"/>
    <w:rsid w:val="0036616F"/>
    <w:rsid w:val="0036663D"/>
    <w:rsid w:val="00367359"/>
    <w:rsid w:val="003674FC"/>
    <w:rsid w:val="0036784B"/>
    <w:rsid w:val="00367E8B"/>
    <w:rsid w:val="003702D4"/>
    <w:rsid w:val="00370D87"/>
    <w:rsid w:val="00370F5E"/>
    <w:rsid w:val="003711D3"/>
    <w:rsid w:val="00371C7F"/>
    <w:rsid w:val="00371FE6"/>
    <w:rsid w:val="003722A2"/>
    <w:rsid w:val="003726DA"/>
    <w:rsid w:val="00373248"/>
    <w:rsid w:val="00373326"/>
    <w:rsid w:val="0037369A"/>
    <w:rsid w:val="003737AE"/>
    <w:rsid w:val="00373C81"/>
    <w:rsid w:val="00373CB4"/>
    <w:rsid w:val="00373F95"/>
    <w:rsid w:val="0037406A"/>
    <w:rsid w:val="00374118"/>
    <w:rsid w:val="00374C2C"/>
    <w:rsid w:val="0037515B"/>
    <w:rsid w:val="003752E0"/>
    <w:rsid w:val="0037547A"/>
    <w:rsid w:val="0037563B"/>
    <w:rsid w:val="00375BFD"/>
    <w:rsid w:val="00375C86"/>
    <w:rsid w:val="00375F9E"/>
    <w:rsid w:val="00376079"/>
    <w:rsid w:val="003764A1"/>
    <w:rsid w:val="003768B6"/>
    <w:rsid w:val="00376922"/>
    <w:rsid w:val="00376A0B"/>
    <w:rsid w:val="00376BE2"/>
    <w:rsid w:val="0037730D"/>
    <w:rsid w:val="0037731C"/>
    <w:rsid w:val="003774DF"/>
    <w:rsid w:val="00377B01"/>
    <w:rsid w:val="00380157"/>
    <w:rsid w:val="003806EE"/>
    <w:rsid w:val="003810D3"/>
    <w:rsid w:val="003812CF"/>
    <w:rsid w:val="00381853"/>
    <w:rsid w:val="00381CFA"/>
    <w:rsid w:val="00381DAD"/>
    <w:rsid w:val="00382446"/>
    <w:rsid w:val="00382664"/>
    <w:rsid w:val="00382C82"/>
    <w:rsid w:val="00383161"/>
    <w:rsid w:val="003839A8"/>
    <w:rsid w:val="0038405E"/>
    <w:rsid w:val="003849DE"/>
    <w:rsid w:val="00384CB0"/>
    <w:rsid w:val="00384DBF"/>
    <w:rsid w:val="00384EC9"/>
    <w:rsid w:val="00384FAB"/>
    <w:rsid w:val="003850FC"/>
    <w:rsid w:val="0038565D"/>
    <w:rsid w:val="0038572E"/>
    <w:rsid w:val="00385999"/>
    <w:rsid w:val="00385C29"/>
    <w:rsid w:val="00385D3A"/>
    <w:rsid w:val="00385FF3"/>
    <w:rsid w:val="003860B7"/>
    <w:rsid w:val="00386249"/>
    <w:rsid w:val="00386842"/>
    <w:rsid w:val="00387138"/>
    <w:rsid w:val="0038720B"/>
    <w:rsid w:val="0038747C"/>
    <w:rsid w:val="00387C15"/>
    <w:rsid w:val="0039099F"/>
    <w:rsid w:val="00390CBC"/>
    <w:rsid w:val="0039117D"/>
    <w:rsid w:val="0039123F"/>
    <w:rsid w:val="00391635"/>
    <w:rsid w:val="00391CBC"/>
    <w:rsid w:val="00392283"/>
    <w:rsid w:val="003922E3"/>
    <w:rsid w:val="003927FA"/>
    <w:rsid w:val="00392E59"/>
    <w:rsid w:val="00392EE2"/>
    <w:rsid w:val="00393042"/>
    <w:rsid w:val="00393471"/>
    <w:rsid w:val="00393499"/>
    <w:rsid w:val="003937C2"/>
    <w:rsid w:val="00393C6A"/>
    <w:rsid w:val="00393D6D"/>
    <w:rsid w:val="00393EA9"/>
    <w:rsid w:val="00394202"/>
    <w:rsid w:val="0039459F"/>
    <w:rsid w:val="003947EA"/>
    <w:rsid w:val="00394B31"/>
    <w:rsid w:val="00394D61"/>
    <w:rsid w:val="00394EEF"/>
    <w:rsid w:val="00395228"/>
    <w:rsid w:val="00395767"/>
    <w:rsid w:val="003958EF"/>
    <w:rsid w:val="00395970"/>
    <w:rsid w:val="00395B17"/>
    <w:rsid w:val="00395BE5"/>
    <w:rsid w:val="00395D4E"/>
    <w:rsid w:val="00395FB6"/>
    <w:rsid w:val="0039659B"/>
    <w:rsid w:val="00396641"/>
    <w:rsid w:val="00396729"/>
    <w:rsid w:val="00396E40"/>
    <w:rsid w:val="00396FC8"/>
    <w:rsid w:val="0039763C"/>
    <w:rsid w:val="00397A98"/>
    <w:rsid w:val="00397AE6"/>
    <w:rsid w:val="00397E24"/>
    <w:rsid w:val="003A00A2"/>
    <w:rsid w:val="003A017F"/>
    <w:rsid w:val="003A0EDD"/>
    <w:rsid w:val="003A1207"/>
    <w:rsid w:val="003A140D"/>
    <w:rsid w:val="003A143A"/>
    <w:rsid w:val="003A16C0"/>
    <w:rsid w:val="003A185E"/>
    <w:rsid w:val="003A20BC"/>
    <w:rsid w:val="003A21E7"/>
    <w:rsid w:val="003A25BC"/>
    <w:rsid w:val="003A25FF"/>
    <w:rsid w:val="003A2645"/>
    <w:rsid w:val="003A2712"/>
    <w:rsid w:val="003A277F"/>
    <w:rsid w:val="003A2B68"/>
    <w:rsid w:val="003A2E07"/>
    <w:rsid w:val="003A2EB4"/>
    <w:rsid w:val="003A35FC"/>
    <w:rsid w:val="003A3622"/>
    <w:rsid w:val="003A45FE"/>
    <w:rsid w:val="003A50CD"/>
    <w:rsid w:val="003A5544"/>
    <w:rsid w:val="003A570C"/>
    <w:rsid w:val="003A5B29"/>
    <w:rsid w:val="003A5C38"/>
    <w:rsid w:val="003A60FA"/>
    <w:rsid w:val="003A614C"/>
    <w:rsid w:val="003A61C8"/>
    <w:rsid w:val="003A6462"/>
    <w:rsid w:val="003A64DD"/>
    <w:rsid w:val="003A66F5"/>
    <w:rsid w:val="003A7791"/>
    <w:rsid w:val="003A7BBB"/>
    <w:rsid w:val="003A7CF1"/>
    <w:rsid w:val="003A7F73"/>
    <w:rsid w:val="003B0144"/>
    <w:rsid w:val="003B01E0"/>
    <w:rsid w:val="003B07B5"/>
    <w:rsid w:val="003B0808"/>
    <w:rsid w:val="003B0BBD"/>
    <w:rsid w:val="003B0D0E"/>
    <w:rsid w:val="003B16BC"/>
    <w:rsid w:val="003B197C"/>
    <w:rsid w:val="003B1FC2"/>
    <w:rsid w:val="003B2046"/>
    <w:rsid w:val="003B250B"/>
    <w:rsid w:val="003B2741"/>
    <w:rsid w:val="003B2A2B"/>
    <w:rsid w:val="003B2D74"/>
    <w:rsid w:val="003B30BD"/>
    <w:rsid w:val="003B335A"/>
    <w:rsid w:val="003B3384"/>
    <w:rsid w:val="003B38FE"/>
    <w:rsid w:val="003B3FC5"/>
    <w:rsid w:val="003B40BB"/>
    <w:rsid w:val="003B40CD"/>
    <w:rsid w:val="003B4728"/>
    <w:rsid w:val="003B5474"/>
    <w:rsid w:val="003B55E9"/>
    <w:rsid w:val="003B57E6"/>
    <w:rsid w:val="003B5911"/>
    <w:rsid w:val="003B597C"/>
    <w:rsid w:val="003B5E8F"/>
    <w:rsid w:val="003B6A64"/>
    <w:rsid w:val="003B6E80"/>
    <w:rsid w:val="003B7221"/>
    <w:rsid w:val="003B7233"/>
    <w:rsid w:val="003B75A4"/>
    <w:rsid w:val="003B7951"/>
    <w:rsid w:val="003B7E77"/>
    <w:rsid w:val="003C0576"/>
    <w:rsid w:val="003C05E7"/>
    <w:rsid w:val="003C0FAF"/>
    <w:rsid w:val="003C1032"/>
    <w:rsid w:val="003C1825"/>
    <w:rsid w:val="003C1AB9"/>
    <w:rsid w:val="003C1B30"/>
    <w:rsid w:val="003C2366"/>
    <w:rsid w:val="003C250E"/>
    <w:rsid w:val="003C3122"/>
    <w:rsid w:val="003C31B6"/>
    <w:rsid w:val="003C324B"/>
    <w:rsid w:val="003C338B"/>
    <w:rsid w:val="003C346D"/>
    <w:rsid w:val="003C3537"/>
    <w:rsid w:val="003C3AA7"/>
    <w:rsid w:val="003C4618"/>
    <w:rsid w:val="003C4650"/>
    <w:rsid w:val="003C494E"/>
    <w:rsid w:val="003C498F"/>
    <w:rsid w:val="003C4AF9"/>
    <w:rsid w:val="003C4B99"/>
    <w:rsid w:val="003C6936"/>
    <w:rsid w:val="003C6F07"/>
    <w:rsid w:val="003C7142"/>
    <w:rsid w:val="003C7300"/>
    <w:rsid w:val="003C7543"/>
    <w:rsid w:val="003C76F6"/>
    <w:rsid w:val="003C7BC9"/>
    <w:rsid w:val="003D0241"/>
    <w:rsid w:val="003D03E6"/>
    <w:rsid w:val="003D04C9"/>
    <w:rsid w:val="003D0555"/>
    <w:rsid w:val="003D05E0"/>
    <w:rsid w:val="003D0733"/>
    <w:rsid w:val="003D1033"/>
    <w:rsid w:val="003D11DE"/>
    <w:rsid w:val="003D1201"/>
    <w:rsid w:val="003D1293"/>
    <w:rsid w:val="003D1943"/>
    <w:rsid w:val="003D1999"/>
    <w:rsid w:val="003D1CBB"/>
    <w:rsid w:val="003D289A"/>
    <w:rsid w:val="003D290D"/>
    <w:rsid w:val="003D3061"/>
    <w:rsid w:val="003D3358"/>
    <w:rsid w:val="003D3416"/>
    <w:rsid w:val="003D3679"/>
    <w:rsid w:val="003D3AB6"/>
    <w:rsid w:val="003D3C87"/>
    <w:rsid w:val="003D3EC8"/>
    <w:rsid w:val="003D3F1B"/>
    <w:rsid w:val="003D4260"/>
    <w:rsid w:val="003D42F4"/>
    <w:rsid w:val="003D4331"/>
    <w:rsid w:val="003D4479"/>
    <w:rsid w:val="003D452E"/>
    <w:rsid w:val="003D4547"/>
    <w:rsid w:val="003D48A4"/>
    <w:rsid w:val="003D4C2E"/>
    <w:rsid w:val="003D4EA7"/>
    <w:rsid w:val="003D4F5F"/>
    <w:rsid w:val="003D50B9"/>
    <w:rsid w:val="003D5156"/>
    <w:rsid w:val="003D51E4"/>
    <w:rsid w:val="003D52F0"/>
    <w:rsid w:val="003D5596"/>
    <w:rsid w:val="003D56A4"/>
    <w:rsid w:val="003D57AF"/>
    <w:rsid w:val="003D57CD"/>
    <w:rsid w:val="003D5817"/>
    <w:rsid w:val="003D5984"/>
    <w:rsid w:val="003D5B2C"/>
    <w:rsid w:val="003D5B79"/>
    <w:rsid w:val="003D641A"/>
    <w:rsid w:val="003D6887"/>
    <w:rsid w:val="003D6C1C"/>
    <w:rsid w:val="003D6E5F"/>
    <w:rsid w:val="003D738F"/>
    <w:rsid w:val="003D77A3"/>
    <w:rsid w:val="003D7C35"/>
    <w:rsid w:val="003E04C1"/>
    <w:rsid w:val="003E0F10"/>
    <w:rsid w:val="003E1145"/>
    <w:rsid w:val="003E1941"/>
    <w:rsid w:val="003E1944"/>
    <w:rsid w:val="003E1971"/>
    <w:rsid w:val="003E1DB7"/>
    <w:rsid w:val="003E23DD"/>
    <w:rsid w:val="003E2961"/>
    <w:rsid w:val="003E2ABD"/>
    <w:rsid w:val="003E30D3"/>
    <w:rsid w:val="003E380D"/>
    <w:rsid w:val="003E4396"/>
    <w:rsid w:val="003E4B8C"/>
    <w:rsid w:val="003E4DAD"/>
    <w:rsid w:val="003E53B7"/>
    <w:rsid w:val="003E5AE3"/>
    <w:rsid w:val="003E5C3F"/>
    <w:rsid w:val="003E5DE1"/>
    <w:rsid w:val="003E5F65"/>
    <w:rsid w:val="003E6384"/>
    <w:rsid w:val="003E6669"/>
    <w:rsid w:val="003E677D"/>
    <w:rsid w:val="003E7618"/>
    <w:rsid w:val="003E7AEB"/>
    <w:rsid w:val="003E7CE9"/>
    <w:rsid w:val="003F0D86"/>
    <w:rsid w:val="003F0E50"/>
    <w:rsid w:val="003F128F"/>
    <w:rsid w:val="003F1B42"/>
    <w:rsid w:val="003F1FAD"/>
    <w:rsid w:val="003F2A26"/>
    <w:rsid w:val="003F31D2"/>
    <w:rsid w:val="003F34A2"/>
    <w:rsid w:val="003F3585"/>
    <w:rsid w:val="003F3B30"/>
    <w:rsid w:val="003F451B"/>
    <w:rsid w:val="003F4854"/>
    <w:rsid w:val="003F4995"/>
    <w:rsid w:val="003F5155"/>
    <w:rsid w:val="003F5B99"/>
    <w:rsid w:val="003F666A"/>
    <w:rsid w:val="003F66A2"/>
    <w:rsid w:val="003F682D"/>
    <w:rsid w:val="003F6B4A"/>
    <w:rsid w:val="003F6C88"/>
    <w:rsid w:val="003F736D"/>
    <w:rsid w:val="003F75C9"/>
    <w:rsid w:val="003F7689"/>
    <w:rsid w:val="003F7A5C"/>
    <w:rsid w:val="003F7AF7"/>
    <w:rsid w:val="003F7F9E"/>
    <w:rsid w:val="00400121"/>
    <w:rsid w:val="004004D7"/>
    <w:rsid w:val="0040059A"/>
    <w:rsid w:val="00400712"/>
    <w:rsid w:val="004009EE"/>
    <w:rsid w:val="004010AB"/>
    <w:rsid w:val="004010F3"/>
    <w:rsid w:val="00401411"/>
    <w:rsid w:val="00401890"/>
    <w:rsid w:val="00401F4B"/>
    <w:rsid w:val="00401FFF"/>
    <w:rsid w:val="0040273A"/>
    <w:rsid w:val="00402BAB"/>
    <w:rsid w:val="00402C46"/>
    <w:rsid w:val="00402D47"/>
    <w:rsid w:val="00402E85"/>
    <w:rsid w:val="00402E9D"/>
    <w:rsid w:val="004030F4"/>
    <w:rsid w:val="00403481"/>
    <w:rsid w:val="00403612"/>
    <w:rsid w:val="0040363D"/>
    <w:rsid w:val="00403785"/>
    <w:rsid w:val="00403B33"/>
    <w:rsid w:val="00403C28"/>
    <w:rsid w:val="00403D06"/>
    <w:rsid w:val="00403F49"/>
    <w:rsid w:val="004040A5"/>
    <w:rsid w:val="004047B1"/>
    <w:rsid w:val="00404BA9"/>
    <w:rsid w:val="00404CDB"/>
    <w:rsid w:val="0040540B"/>
    <w:rsid w:val="00405783"/>
    <w:rsid w:val="004057EE"/>
    <w:rsid w:val="00405C5A"/>
    <w:rsid w:val="004061EB"/>
    <w:rsid w:val="0040651D"/>
    <w:rsid w:val="004070BD"/>
    <w:rsid w:val="004071F6"/>
    <w:rsid w:val="00407336"/>
    <w:rsid w:val="00407459"/>
    <w:rsid w:val="00407D01"/>
    <w:rsid w:val="00407D0D"/>
    <w:rsid w:val="00407E46"/>
    <w:rsid w:val="004105BA"/>
    <w:rsid w:val="00410A4A"/>
    <w:rsid w:val="004113E6"/>
    <w:rsid w:val="004117A7"/>
    <w:rsid w:val="0041189C"/>
    <w:rsid w:val="00411B28"/>
    <w:rsid w:val="0041277A"/>
    <w:rsid w:val="00412B58"/>
    <w:rsid w:val="00412C89"/>
    <w:rsid w:val="00412D8A"/>
    <w:rsid w:val="00413020"/>
    <w:rsid w:val="004134CA"/>
    <w:rsid w:val="004138DC"/>
    <w:rsid w:val="004138EA"/>
    <w:rsid w:val="00413A47"/>
    <w:rsid w:val="00413AAF"/>
    <w:rsid w:val="00413D33"/>
    <w:rsid w:val="0041427F"/>
    <w:rsid w:val="00414327"/>
    <w:rsid w:val="00414BD9"/>
    <w:rsid w:val="00414DA6"/>
    <w:rsid w:val="004153A7"/>
    <w:rsid w:val="00415668"/>
    <w:rsid w:val="00415863"/>
    <w:rsid w:val="00415B15"/>
    <w:rsid w:val="00415CC7"/>
    <w:rsid w:val="00415D21"/>
    <w:rsid w:val="00415D77"/>
    <w:rsid w:val="00415FB5"/>
    <w:rsid w:val="00416006"/>
    <w:rsid w:val="0041604B"/>
    <w:rsid w:val="004160E5"/>
    <w:rsid w:val="00416AEC"/>
    <w:rsid w:val="00416CE9"/>
    <w:rsid w:val="00416D7A"/>
    <w:rsid w:val="00416E9A"/>
    <w:rsid w:val="00416FB5"/>
    <w:rsid w:val="004170AC"/>
    <w:rsid w:val="00417718"/>
    <w:rsid w:val="004177A2"/>
    <w:rsid w:val="00417C12"/>
    <w:rsid w:val="00417E12"/>
    <w:rsid w:val="00417E84"/>
    <w:rsid w:val="004201B2"/>
    <w:rsid w:val="004204BC"/>
    <w:rsid w:val="00420835"/>
    <w:rsid w:val="00420838"/>
    <w:rsid w:val="00420BFF"/>
    <w:rsid w:val="00420DA6"/>
    <w:rsid w:val="00421145"/>
    <w:rsid w:val="00421A75"/>
    <w:rsid w:val="00421E7E"/>
    <w:rsid w:val="00422114"/>
    <w:rsid w:val="004221F0"/>
    <w:rsid w:val="00422354"/>
    <w:rsid w:val="0042285E"/>
    <w:rsid w:val="004229FF"/>
    <w:rsid w:val="00422A1B"/>
    <w:rsid w:val="00422B42"/>
    <w:rsid w:val="00422E25"/>
    <w:rsid w:val="004234F5"/>
    <w:rsid w:val="004238EB"/>
    <w:rsid w:val="00423D4E"/>
    <w:rsid w:val="00423F3C"/>
    <w:rsid w:val="004245A3"/>
    <w:rsid w:val="00424FBD"/>
    <w:rsid w:val="00425CC7"/>
    <w:rsid w:val="004260D1"/>
    <w:rsid w:val="004263DE"/>
    <w:rsid w:val="004268A1"/>
    <w:rsid w:val="00426D7B"/>
    <w:rsid w:val="00426F4C"/>
    <w:rsid w:val="0042741A"/>
    <w:rsid w:val="004274A6"/>
    <w:rsid w:val="00430402"/>
    <w:rsid w:val="004313FC"/>
    <w:rsid w:val="0043159E"/>
    <w:rsid w:val="00431962"/>
    <w:rsid w:val="00431D4F"/>
    <w:rsid w:val="004324EA"/>
    <w:rsid w:val="004324F7"/>
    <w:rsid w:val="00432612"/>
    <w:rsid w:val="00432647"/>
    <w:rsid w:val="00432765"/>
    <w:rsid w:val="00432928"/>
    <w:rsid w:val="00432B48"/>
    <w:rsid w:val="00432EA8"/>
    <w:rsid w:val="00432FAF"/>
    <w:rsid w:val="00433175"/>
    <w:rsid w:val="0043318B"/>
    <w:rsid w:val="004331E2"/>
    <w:rsid w:val="0043344E"/>
    <w:rsid w:val="00433D27"/>
    <w:rsid w:val="00433D5A"/>
    <w:rsid w:val="00433E3F"/>
    <w:rsid w:val="00433F2C"/>
    <w:rsid w:val="00433FA5"/>
    <w:rsid w:val="0043401D"/>
    <w:rsid w:val="00434156"/>
    <w:rsid w:val="00434326"/>
    <w:rsid w:val="004347DD"/>
    <w:rsid w:val="00434841"/>
    <w:rsid w:val="004349E6"/>
    <w:rsid w:val="00434AEC"/>
    <w:rsid w:val="00434EDC"/>
    <w:rsid w:val="00435296"/>
    <w:rsid w:val="00435BD7"/>
    <w:rsid w:val="00436D52"/>
    <w:rsid w:val="00436E4C"/>
    <w:rsid w:val="00436E75"/>
    <w:rsid w:val="00437086"/>
    <w:rsid w:val="00437266"/>
    <w:rsid w:val="004374A0"/>
    <w:rsid w:val="004375C8"/>
    <w:rsid w:val="004378A4"/>
    <w:rsid w:val="004378BA"/>
    <w:rsid w:val="0044015C"/>
    <w:rsid w:val="004409E7"/>
    <w:rsid w:val="00440A24"/>
    <w:rsid w:val="00440C55"/>
    <w:rsid w:val="00440F15"/>
    <w:rsid w:val="004414EA"/>
    <w:rsid w:val="004415C7"/>
    <w:rsid w:val="00441EE5"/>
    <w:rsid w:val="00442734"/>
    <w:rsid w:val="00443237"/>
    <w:rsid w:val="00443621"/>
    <w:rsid w:val="00443A3A"/>
    <w:rsid w:val="00444088"/>
    <w:rsid w:val="004442AB"/>
    <w:rsid w:val="0044457B"/>
    <w:rsid w:val="00445457"/>
    <w:rsid w:val="00445AE5"/>
    <w:rsid w:val="00445F6F"/>
    <w:rsid w:val="004460B1"/>
    <w:rsid w:val="004461F9"/>
    <w:rsid w:val="00446B5A"/>
    <w:rsid w:val="00446B7D"/>
    <w:rsid w:val="00446C3F"/>
    <w:rsid w:val="004473B8"/>
    <w:rsid w:val="0044763D"/>
    <w:rsid w:val="0044764D"/>
    <w:rsid w:val="00447798"/>
    <w:rsid w:val="004477B3"/>
    <w:rsid w:val="00447D16"/>
    <w:rsid w:val="00447E6D"/>
    <w:rsid w:val="0045005F"/>
    <w:rsid w:val="004500ED"/>
    <w:rsid w:val="004507CB"/>
    <w:rsid w:val="00450980"/>
    <w:rsid w:val="0045099E"/>
    <w:rsid w:val="00450BAF"/>
    <w:rsid w:val="00450DD4"/>
    <w:rsid w:val="00450F23"/>
    <w:rsid w:val="0045187B"/>
    <w:rsid w:val="004518A3"/>
    <w:rsid w:val="00451B62"/>
    <w:rsid w:val="0045209C"/>
    <w:rsid w:val="0045237D"/>
    <w:rsid w:val="004526BC"/>
    <w:rsid w:val="00452815"/>
    <w:rsid w:val="00452935"/>
    <w:rsid w:val="00452B5C"/>
    <w:rsid w:val="00452D2D"/>
    <w:rsid w:val="0045391C"/>
    <w:rsid w:val="00453987"/>
    <w:rsid w:val="004543D6"/>
    <w:rsid w:val="0045446C"/>
    <w:rsid w:val="00454990"/>
    <w:rsid w:val="00454A6B"/>
    <w:rsid w:val="00455814"/>
    <w:rsid w:val="0045597A"/>
    <w:rsid w:val="00455B42"/>
    <w:rsid w:val="00455E76"/>
    <w:rsid w:val="0045612D"/>
    <w:rsid w:val="004562C7"/>
    <w:rsid w:val="0045651C"/>
    <w:rsid w:val="0045680B"/>
    <w:rsid w:val="004571EF"/>
    <w:rsid w:val="0045747D"/>
    <w:rsid w:val="00457A03"/>
    <w:rsid w:val="00457AE6"/>
    <w:rsid w:val="00460504"/>
    <w:rsid w:val="004606D2"/>
    <w:rsid w:val="00460890"/>
    <w:rsid w:val="00460A9C"/>
    <w:rsid w:val="00460AD7"/>
    <w:rsid w:val="00460B5B"/>
    <w:rsid w:val="00460D0E"/>
    <w:rsid w:val="00461171"/>
    <w:rsid w:val="00461210"/>
    <w:rsid w:val="004612D9"/>
    <w:rsid w:val="00461AD6"/>
    <w:rsid w:val="00461B12"/>
    <w:rsid w:val="00461C69"/>
    <w:rsid w:val="00462027"/>
    <w:rsid w:val="004623AD"/>
    <w:rsid w:val="00462471"/>
    <w:rsid w:val="00462815"/>
    <w:rsid w:val="00462893"/>
    <w:rsid w:val="00462EC8"/>
    <w:rsid w:val="00462F49"/>
    <w:rsid w:val="00462F68"/>
    <w:rsid w:val="004633D3"/>
    <w:rsid w:val="00463874"/>
    <w:rsid w:val="00464195"/>
    <w:rsid w:val="0046495C"/>
    <w:rsid w:val="0046508E"/>
    <w:rsid w:val="00465AC2"/>
    <w:rsid w:val="00465C24"/>
    <w:rsid w:val="00466608"/>
    <w:rsid w:val="0046696D"/>
    <w:rsid w:val="004671A2"/>
    <w:rsid w:val="00467B2D"/>
    <w:rsid w:val="00467D57"/>
    <w:rsid w:val="00467F7F"/>
    <w:rsid w:val="00470627"/>
    <w:rsid w:val="004706B8"/>
    <w:rsid w:val="004707C8"/>
    <w:rsid w:val="004709A6"/>
    <w:rsid w:val="00470D35"/>
    <w:rsid w:val="00470F85"/>
    <w:rsid w:val="0047198C"/>
    <w:rsid w:val="00471A4E"/>
    <w:rsid w:val="00471DAB"/>
    <w:rsid w:val="00471F55"/>
    <w:rsid w:val="00472080"/>
    <w:rsid w:val="004721FA"/>
    <w:rsid w:val="00472231"/>
    <w:rsid w:val="00472A3D"/>
    <w:rsid w:val="00472DD3"/>
    <w:rsid w:val="004739A7"/>
    <w:rsid w:val="00473B88"/>
    <w:rsid w:val="00474168"/>
    <w:rsid w:val="004741F4"/>
    <w:rsid w:val="0047492E"/>
    <w:rsid w:val="00474B1D"/>
    <w:rsid w:val="00474CA5"/>
    <w:rsid w:val="00474F3C"/>
    <w:rsid w:val="004752EA"/>
    <w:rsid w:val="004756EC"/>
    <w:rsid w:val="00475764"/>
    <w:rsid w:val="004758DF"/>
    <w:rsid w:val="00475CA0"/>
    <w:rsid w:val="00475CA7"/>
    <w:rsid w:val="00475D98"/>
    <w:rsid w:val="00476025"/>
    <w:rsid w:val="00476418"/>
    <w:rsid w:val="004767AC"/>
    <w:rsid w:val="004773A3"/>
    <w:rsid w:val="00477518"/>
    <w:rsid w:val="00477C5F"/>
    <w:rsid w:val="004800A4"/>
    <w:rsid w:val="0048043F"/>
    <w:rsid w:val="004804A0"/>
    <w:rsid w:val="004806CA"/>
    <w:rsid w:val="0048092C"/>
    <w:rsid w:val="00480B4E"/>
    <w:rsid w:val="00480D37"/>
    <w:rsid w:val="00480D68"/>
    <w:rsid w:val="00481035"/>
    <w:rsid w:val="00481168"/>
    <w:rsid w:val="004811DA"/>
    <w:rsid w:val="004813B4"/>
    <w:rsid w:val="004813EE"/>
    <w:rsid w:val="00481532"/>
    <w:rsid w:val="004816A8"/>
    <w:rsid w:val="00482324"/>
    <w:rsid w:val="004826BD"/>
    <w:rsid w:val="0048286E"/>
    <w:rsid w:val="004828DE"/>
    <w:rsid w:val="00482D41"/>
    <w:rsid w:val="00482FAA"/>
    <w:rsid w:val="004839AE"/>
    <w:rsid w:val="00483A23"/>
    <w:rsid w:val="00483E04"/>
    <w:rsid w:val="00483EE4"/>
    <w:rsid w:val="00483FD7"/>
    <w:rsid w:val="00484287"/>
    <w:rsid w:val="004844C2"/>
    <w:rsid w:val="00484888"/>
    <w:rsid w:val="00484B5A"/>
    <w:rsid w:val="004854FA"/>
    <w:rsid w:val="004858F7"/>
    <w:rsid w:val="00485B3B"/>
    <w:rsid w:val="00485DFF"/>
    <w:rsid w:val="00486115"/>
    <w:rsid w:val="0048684F"/>
    <w:rsid w:val="00486D84"/>
    <w:rsid w:val="00486F32"/>
    <w:rsid w:val="0048709A"/>
    <w:rsid w:val="00487198"/>
    <w:rsid w:val="004875C8"/>
    <w:rsid w:val="0048769C"/>
    <w:rsid w:val="00487B49"/>
    <w:rsid w:val="00487FA0"/>
    <w:rsid w:val="00487FE8"/>
    <w:rsid w:val="00490022"/>
    <w:rsid w:val="00490411"/>
    <w:rsid w:val="004904E0"/>
    <w:rsid w:val="00490775"/>
    <w:rsid w:val="004908DD"/>
    <w:rsid w:val="00490FE3"/>
    <w:rsid w:val="0049190A"/>
    <w:rsid w:val="00491953"/>
    <w:rsid w:val="00491AC2"/>
    <w:rsid w:val="00491B7C"/>
    <w:rsid w:val="00491CB1"/>
    <w:rsid w:val="004921B8"/>
    <w:rsid w:val="00492B44"/>
    <w:rsid w:val="00492B6D"/>
    <w:rsid w:val="00493558"/>
    <w:rsid w:val="00493CF1"/>
    <w:rsid w:val="00493F46"/>
    <w:rsid w:val="00493FC7"/>
    <w:rsid w:val="004940A7"/>
    <w:rsid w:val="004941F5"/>
    <w:rsid w:val="00494383"/>
    <w:rsid w:val="0049497F"/>
    <w:rsid w:val="00494B6D"/>
    <w:rsid w:val="00494F55"/>
    <w:rsid w:val="00495B47"/>
    <w:rsid w:val="00495D9C"/>
    <w:rsid w:val="00495ECA"/>
    <w:rsid w:val="0049608A"/>
    <w:rsid w:val="00496479"/>
    <w:rsid w:val="00496B60"/>
    <w:rsid w:val="00496F44"/>
    <w:rsid w:val="0049746B"/>
    <w:rsid w:val="004974DF"/>
    <w:rsid w:val="00497A61"/>
    <w:rsid w:val="00497CE9"/>
    <w:rsid w:val="004A07CB"/>
    <w:rsid w:val="004A0911"/>
    <w:rsid w:val="004A0B57"/>
    <w:rsid w:val="004A0F09"/>
    <w:rsid w:val="004A12D4"/>
    <w:rsid w:val="004A1334"/>
    <w:rsid w:val="004A1ABF"/>
    <w:rsid w:val="004A1AF8"/>
    <w:rsid w:val="004A1BE3"/>
    <w:rsid w:val="004A1D1F"/>
    <w:rsid w:val="004A2BB8"/>
    <w:rsid w:val="004A2F91"/>
    <w:rsid w:val="004A3137"/>
    <w:rsid w:val="004A38E1"/>
    <w:rsid w:val="004A3A2F"/>
    <w:rsid w:val="004A3A54"/>
    <w:rsid w:val="004A3D98"/>
    <w:rsid w:val="004A3FFF"/>
    <w:rsid w:val="004A4802"/>
    <w:rsid w:val="004A4CC4"/>
    <w:rsid w:val="004A4D13"/>
    <w:rsid w:val="004A65BB"/>
    <w:rsid w:val="004A6A8C"/>
    <w:rsid w:val="004A6BF9"/>
    <w:rsid w:val="004A6D15"/>
    <w:rsid w:val="004A7192"/>
    <w:rsid w:val="004A7313"/>
    <w:rsid w:val="004A7342"/>
    <w:rsid w:val="004A7702"/>
    <w:rsid w:val="004A78E7"/>
    <w:rsid w:val="004A794B"/>
    <w:rsid w:val="004A7CDD"/>
    <w:rsid w:val="004A7F8E"/>
    <w:rsid w:val="004A7FC2"/>
    <w:rsid w:val="004B0347"/>
    <w:rsid w:val="004B045D"/>
    <w:rsid w:val="004B0702"/>
    <w:rsid w:val="004B088E"/>
    <w:rsid w:val="004B1017"/>
    <w:rsid w:val="004B10DE"/>
    <w:rsid w:val="004B118C"/>
    <w:rsid w:val="004B149F"/>
    <w:rsid w:val="004B156E"/>
    <w:rsid w:val="004B17B2"/>
    <w:rsid w:val="004B19AF"/>
    <w:rsid w:val="004B1E1F"/>
    <w:rsid w:val="004B1E94"/>
    <w:rsid w:val="004B1FC3"/>
    <w:rsid w:val="004B2183"/>
    <w:rsid w:val="004B2B0E"/>
    <w:rsid w:val="004B3A23"/>
    <w:rsid w:val="004B3B20"/>
    <w:rsid w:val="004B3C83"/>
    <w:rsid w:val="004B3D88"/>
    <w:rsid w:val="004B4171"/>
    <w:rsid w:val="004B496E"/>
    <w:rsid w:val="004B4C29"/>
    <w:rsid w:val="004B508E"/>
    <w:rsid w:val="004B50FA"/>
    <w:rsid w:val="004B5608"/>
    <w:rsid w:val="004B5650"/>
    <w:rsid w:val="004B5BE4"/>
    <w:rsid w:val="004B5DB0"/>
    <w:rsid w:val="004B5E68"/>
    <w:rsid w:val="004B63F3"/>
    <w:rsid w:val="004B6B9D"/>
    <w:rsid w:val="004B75AC"/>
    <w:rsid w:val="004B7B03"/>
    <w:rsid w:val="004B7ECD"/>
    <w:rsid w:val="004B7FD5"/>
    <w:rsid w:val="004C00E1"/>
    <w:rsid w:val="004C0291"/>
    <w:rsid w:val="004C03CC"/>
    <w:rsid w:val="004C0501"/>
    <w:rsid w:val="004C06E0"/>
    <w:rsid w:val="004C0858"/>
    <w:rsid w:val="004C11F8"/>
    <w:rsid w:val="004C1417"/>
    <w:rsid w:val="004C168C"/>
    <w:rsid w:val="004C1927"/>
    <w:rsid w:val="004C1B91"/>
    <w:rsid w:val="004C1C37"/>
    <w:rsid w:val="004C1E81"/>
    <w:rsid w:val="004C1FB5"/>
    <w:rsid w:val="004C1FD5"/>
    <w:rsid w:val="004C22C0"/>
    <w:rsid w:val="004C281B"/>
    <w:rsid w:val="004C297C"/>
    <w:rsid w:val="004C34A9"/>
    <w:rsid w:val="004C356E"/>
    <w:rsid w:val="004C3583"/>
    <w:rsid w:val="004C395E"/>
    <w:rsid w:val="004C3A77"/>
    <w:rsid w:val="004C3E7D"/>
    <w:rsid w:val="004C41FF"/>
    <w:rsid w:val="004C459A"/>
    <w:rsid w:val="004C47C3"/>
    <w:rsid w:val="004C4B7C"/>
    <w:rsid w:val="004C4E13"/>
    <w:rsid w:val="004C5342"/>
    <w:rsid w:val="004C55A5"/>
    <w:rsid w:val="004C5603"/>
    <w:rsid w:val="004C6017"/>
    <w:rsid w:val="004C667D"/>
    <w:rsid w:val="004C675D"/>
    <w:rsid w:val="004C69A3"/>
    <w:rsid w:val="004C7275"/>
    <w:rsid w:val="004C7441"/>
    <w:rsid w:val="004C7669"/>
    <w:rsid w:val="004C7809"/>
    <w:rsid w:val="004C7977"/>
    <w:rsid w:val="004C7A79"/>
    <w:rsid w:val="004C7C8B"/>
    <w:rsid w:val="004D06AB"/>
    <w:rsid w:val="004D0E4A"/>
    <w:rsid w:val="004D0F9E"/>
    <w:rsid w:val="004D101F"/>
    <w:rsid w:val="004D1B59"/>
    <w:rsid w:val="004D1CD4"/>
    <w:rsid w:val="004D2134"/>
    <w:rsid w:val="004D26A7"/>
    <w:rsid w:val="004D2C33"/>
    <w:rsid w:val="004D2DD7"/>
    <w:rsid w:val="004D33F9"/>
    <w:rsid w:val="004D36D5"/>
    <w:rsid w:val="004D36F7"/>
    <w:rsid w:val="004D3869"/>
    <w:rsid w:val="004D3ACA"/>
    <w:rsid w:val="004D40CB"/>
    <w:rsid w:val="004D4143"/>
    <w:rsid w:val="004D4310"/>
    <w:rsid w:val="004D4D39"/>
    <w:rsid w:val="004D4F92"/>
    <w:rsid w:val="004D5AFE"/>
    <w:rsid w:val="004D5C31"/>
    <w:rsid w:val="004D5E34"/>
    <w:rsid w:val="004D6E7A"/>
    <w:rsid w:val="004D749D"/>
    <w:rsid w:val="004D77FB"/>
    <w:rsid w:val="004D7CA1"/>
    <w:rsid w:val="004D7D2A"/>
    <w:rsid w:val="004D7F13"/>
    <w:rsid w:val="004E000F"/>
    <w:rsid w:val="004E01E5"/>
    <w:rsid w:val="004E0455"/>
    <w:rsid w:val="004E0B7C"/>
    <w:rsid w:val="004E138C"/>
    <w:rsid w:val="004E149B"/>
    <w:rsid w:val="004E1C94"/>
    <w:rsid w:val="004E207C"/>
    <w:rsid w:val="004E20C2"/>
    <w:rsid w:val="004E26F5"/>
    <w:rsid w:val="004E2D96"/>
    <w:rsid w:val="004E2F67"/>
    <w:rsid w:val="004E30D3"/>
    <w:rsid w:val="004E3409"/>
    <w:rsid w:val="004E3893"/>
    <w:rsid w:val="004E3DB4"/>
    <w:rsid w:val="004E3E3F"/>
    <w:rsid w:val="004E3EA0"/>
    <w:rsid w:val="004E4022"/>
    <w:rsid w:val="004E4691"/>
    <w:rsid w:val="004E4867"/>
    <w:rsid w:val="004E4DC3"/>
    <w:rsid w:val="004E4EC6"/>
    <w:rsid w:val="004E4F0E"/>
    <w:rsid w:val="004E51FC"/>
    <w:rsid w:val="004E5241"/>
    <w:rsid w:val="004E5454"/>
    <w:rsid w:val="004E57BA"/>
    <w:rsid w:val="004E583E"/>
    <w:rsid w:val="004E5D58"/>
    <w:rsid w:val="004E5E7E"/>
    <w:rsid w:val="004E635B"/>
    <w:rsid w:val="004E6512"/>
    <w:rsid w:val="004E6CD8"/>
    <w:rsid w:val="004E6F2C"/>
    <w:rsid w:val="004E7075"/>
    <w:rsid w:val="004E729A"/>
    <w:rsid w:val="004E7962"/>
    <w:rsid w:val="004E7F9A"/>
    <w:rsid w:val="004F01FB"/>
    <w:rsid w:val="004F0351"/>
    <w:rsid w:val="004F03A1"/>
    <w:rsid w:val="004F0AC7"/>
    <w:rsid w:val="004F0BB9"/>
    <w:rsid w:val="004F0C6F"/>
    <w:rsid w:val="004F0EF4"/>
    <w:rsid w:val="004F11F6"/>
    <w:rsid w:val="004F1588"/>
    <w:rsid w:val="004F1D6E"/>
    <w:rsid w:val="004F1DAC"/>
    <w:rsid w:val="004F20EE"/>
    <w:rsid w:val="004F228A"/>
    <w:rsid w:val="004F30BA"/>
    <w:rsid w:val="004F3445"/>
    <w:rsid w:val="004F362D"/>
    <w:rsid w:val="004F3A3F"/>
    <w:rsid w:val="004F3DE3"/>
    <w:rsid w:val="004F440F"/>
    <w:rsid w:val="004F4BFF"/>
    <w:rsid w:val="004F4CF8"/>
    <w:rsid w:val="004F4EE7"/>
    <w:rsid w:val="004F657B"/>
    <w:rsid w:val="004F67AC"/>
    <w:rsid w:val="004F6ACE"/>
    <w:rsid w:val="004F6B80"/>
    <w:rsid w:val="004F6D5E"/>
    <w:rsid w:val="004F6DD2"/>
    <w:rsid w:val="004F72F3"/>
    <w:rsid w:val="004F7A77"/>
    <w:rsid w:val="004F7BC5"/>
    <w:rsid w:val="00500012"/>
    <w:rsid w:val="005001CD"/>
    <w:rsid w:val="005008E1"/>
    <w:rsid w:val="00501075"/>
    <w:rsid w:val="00501265"/>
    <w:rsid w:val="00501731"/>
    <w:rsid w:val="005023B3"/>
    <w:rsid w:val="00502CEB"/>
    <w:rsid w:val="00502E39"/>
    <w:rsid w:val="00503099"/>
    <w:rsid w:val="00503446"/>
    <w:rsid w:val="005041C2"/>
    <w:rsid w:val="00504819"/>
    <w:rsid w:val="00504B48"/>
    <w:rsid w:val="00504D88"/>
    <w:rsid w:val="005056B6"/>
    <w:rsid w:val="0050589A"/>
    <w:rsid w:val="00505FA8"/>
    <w:rsid w:val="00506032"/>
    <w:rsid w:val="00506068"/>
    <w:rsid w:val="00506A62"/>
    <w:rsid w:val="005076EC"/>
    <w:rsid w:val="00507A16"/>
    <w:rsid w:val="00507D85"/>
    <w:rsid w:val="005100DB"/>
    <w:rsid w:val="0051056D"/>
    <w:rsid w:val="00510A69"/>
    <w:rsid w:val="00510F77"/>
    <w:rsid w:val="00511311"/>
    <w:rsid w:val="005115E5"/>
    <w:rsid w:val="00511708"/>
    <w:rsid w:val="005119D9"/>
    <w:rsid w:val="00511E99"/>
    <w:rsid w:val="005120D8"/>
    <w:rsid w:val="00512115"/>
    <w:rsid w:val="005123D0"/>
    <w:rsid w:val="00512731"/>
    <w:rsid w:val="00512916"/>
    <w:rsid w:val="00512C64"/>
    <w:rsid w:val="00513029"/>
    <w:rsid w:val="005135C8"/>
    <w:rsid w:val="00513699"/>
    <w:rsid w:val="00513B40"/>
    <w:rsid w:val="00513EEC"/>
    <w:rsid w:val="005141A9"/>
    <w:rsid w:val="00514556"/>
    <w:rsid w:val="00514A06"/>
    <w:rsid w:val="00514AC4"/>
    <w:rsid w:val="005152B2"/>
    <w:rsid w:val="005154E1"/>
    <w:rsid w:val="005156FE"/>
    <w:rsid w:val="00515985"/>
    <w:rsid w:val="00515C29"/>
    <w:rsid w:val="0051607B"/>
    <w:rsid w:val="0051624A"/>
    <w:rsid w:val="0051660A"/>
    <w:rsid w:val="00516611"/>
    <w:rsid w:val="0051662E"/>
    <w:rsid w:val="00516AA8"/>
    <w:rsid w:val="00516B1B"/>
    <w:rsid w:val="00516CE4"/>
    <w:rsid w:val="00516D64"/>
    <w:rsid w:val="00516FDC"/>
    <w:rsid w:val="0051769E"/>
    <w:rsid w:val="005177E0"/>
    <w:rsid w:val="00517BF9"/>
    <w:rsid w:val="00517C44"/>
    <w:rsid w:val="00520223"/>
    <w:rsid w:val="00520277"/>
    <w:rsid w:val="005205C9"/>
    <w:rsid w:val="00520CD9"/>
    <w:rsid w:val="005210C2"/>
    <w:rsid w:val="0052150F"/>
    <w:rsid w:val="00521A4B"/>
    <w:rsid w:val="00521B01"/>
    <w:rsid w:val="00521C51"/>
    <w:rsid w:val="00522C6B"/>
    <w:rsid w:val="00522C77"/>
    <w:rsid w:val="00522FAA"/>
    <w:rsid w:val="005236EF"/>
    <w:rsid w:val="00523936"/>
    <w:rsid w:val="00523C21"/>
    <w:rsid w:val="00523CF1"/>
    <w:rsid w:val="00523CFF"/>
    <w:rsid w:val="00524007"/>
    <w:rsid w:val="0052401B"/>
    <w:rsid w:val="005243DB"/>
    <w:rsid w:val="0052479D"/>
    <w:rsid w:val="00524A7C"/>
    <w:rsid w:val="00524B18"/>
    <w:rsid w:val="00524D2F"/>
    <w:rsid w:val="00524E55"/>
    <w:rsid w:val="005256DD"/>
    <w:rsid w:val="0052570D"/>
    <w:rsid w:val="00525B5A"/>
    <w:rsid w:val="00525F7B"/>
    <w:rsid w:val="00525FE2"/>
    <w:rsid w:val="005263A1"/>
    <w:rsid w:val="00526467"/>
    <w:rsid w:val="005264BE"/>
    <w:rsid w:val="0052687A"/>
    <w:rsid w:val="00526911"/>
    <w:rsid w:val="005273BA"/>
    <w:rsid w:val="00527A68"/>
    <w:rsid w:val="0053007E"/>
    <w:rsid w:val="00530108"/>
    <w:rsid w:val="005307AE"/>
    <w:rsid w:val="00530922"/>
    <w:rsid w:val="0053093E"/>
    <w:rsid w:val="0053099D"/>
    <w:rsid w:val="00530E34"/>
    <w:rsid w:val="00530EA3"/>
    <w:rsid w:val="00530FE2"/>
    <w:rsid w:val="00531021"/>
    <w:rsid w:val="00531AF3"/>
    <w:rsid w:val="00532148"/>
    <w:rsid w:val="00532573"/>
    <w:rsid w:val="00532629"/>
    <w:rsid w:val="0053270E"/>
    <w:rsid w:val="00532B22"/>
    <w:rsid w:val="005333A7"/>
    <w:rsid w:val="00533454"/>
    <w:rsid w:val="0053369A"/>
    <w:rsid w:val="0053385C"/>
    <w:rsid w:val="005338A3"/>
    <w:rsid w:val="00533AD1"/>
    <w:rsid w:val="00534282"/>
    <w:rsid w:val="0053448A"/>
    <w:rsid w:val="005349A7"/>
    <w:rsid w:val="00534B1F"/>
    <w:rsid w:val="00534BA6"/>
    <w:rsid w:val="00534E61"/>
    <w:rsid w:val="0053509A"/>
    <w:rsid w:val="00535233"/>
    <w:rsid w:val="0053549D"/>
    <w:rsid w:val="00535D49"/>
    <w:rsid w:val="00535E2A"/>
    <w:rsid w:val="00535E35"/>
    <w:rsid w:val="0053621A"/>
    <w:rsid w:val="00536540"/>
    <w:rsid w:val="005366B8"/>
    <w:rsid w:val="0053689D"/>
    <w:rsid w:val="00537451"/>
    <w:rsid w:val="005375BD"/>
    <w:rsid w:val="00537E82"/>
    <w:rsid w:val="005400A7"/>
    <w:rsid w:val="005403A8"/>
    <w:rsid w:val="005408F9"/>
    <w:rsid w:val="005418E3"/>
    <w:rsid w:val="005421BE"/>
    <w:rsid w:val="00542418"/>
    <w:rsid w:val="005425C7"/>
    <w:rsid w:val="0054289C"/>
    <w:rsid w:val="00542902"/>
    <w:rsid w:val="00542A64"/>
    <w:rsid w:val="00542E5E"/>
    <w:rsid w:val="00543327"/>
    <w:rsid w:val="0054362C"/>
    <w:rsid w:val="00543DDB"/>
    <w:rsid w:val="0054421D"/>
    <w:rsid w:val="00544314"/>
    <w:rsid w:val="00544BC4"/>
    <w:rsid w:val="00544F55"/>
    <w:rsid w:val="005459E5"/>
    <w:rsid w:val="00545D5B"/>
    <w:rsid w:val="00546569"/>
    <w:rsid w:val="005468FD"/>
    <w:rsid w:val="00546959"/>
    <w:rsid w:val="005470A5"/>
    <w:rsid w:val="00547241"/>
    <w:rsid w:val="005472A6"/>
    <w:rsid w:val="005472CB"/>
    <w:rsid w:val="00547432"/>
    <w:rsid w:val="005478AF"/>
    <w:rsid w:val="00547ECF"/>
    <w:rsid w:val="00550275"/>
    <w:rsid w:val="00550416"/>
    <w:rsid w:val="005504D9"/>
    <w:rsid w:val="00550C82"/>
    <w:rsid w:val="00550D36"/>
    <w:rsid w:val="00550EF8"/>
    <w:rsid w:val="005511EA"/>
    <w:rsid w:val="00552403"/>
    <w:rsid w:val="00552483"/>
    <w:rsid w:val="00552A2E"/>
    <w:rsid w:val="00552B8E"/>
    <w:rsid w:val="00553166"/>
    <w:rsid w:val="0055357C"/>
    <w:rsid w:val="00553635"/>
    <w:rsid w:val="00553770"/>
    <w:rsid w:val="00553775"/>
    <w:rsid w:val="00553BFE"/>
    <w:rsid w:val="00553D9A"/>
    <w:rsid w:val="00554C2A"/>
    <w:rsid w:val="00554DBF"/>
    <w:rsid w:val="00555003"/>
    <w:rsid w:val="005550BB"/>
    <w:rsid w:val="00555638"/>
    <w:rsid w:val="00555684"/>
    <w:rsid w:val="00555AAC"/>
    <w:rsid w:val="005561AB"/>
    <w:rsid w:val="0055680D"/>
    <w:rsid w:val="005575D6"/>
    <w:rsid w:val="00557710"/>
    <w:rsid w:val="00557E7A"/>
    <w:rsid w:val="00560024"/>
    <w:rsid w:val="00560186"/>
    <w:rsid w:val="00560341"/>
    <w:rsid w:val="0056046A"/>
    <w:rsid w:val="00560540"/>
    <w:rsid w:val="005606A6"/>
    <w:rsid w:val="005611E3"/>
    <w:rsid w:val="0056126B"/>
    <w:rsid w:val="00561AC2"/>
    <w:rsid w:val="00561FF1"/>
    <w:rsid w:val="005628FC"/>
    <w:rsid w:val="00562AAF"/>
    <w:rsid w:val="00562F7D"/>
    <w:rsid w:val="0056301A"/>
    <w:rsid w:val="0056306D"/>
    <w:rsid w:val="005633D1"/>
    <w:rsid w:val="005636F8"/>
    <w:rsid w:val="00563C0C"/>
    <w:rsid w:val="00563D7A"/>
    <w:rsid w:val="00564182"/>
    <w:rsid w:val="005641A9"/>
    <w:rsid w:val="005642DC"/>
    <w:rsid w:val="005644CA"/>
    <w:rsid w:val="00564B61"/>
    <w:rsid w:val="00564BC1"/>
    <w:rsid w:val="00564E6B"/>
    <w:rsid w:val="005653C2"/>
    <w:rsid w:val="0056560E"/>
    <w:rsid w:val="00565AD4"/>
    <w:rsid w:val="00566564"/>
    <w:rsid w:val="005666F9"/>
    <w:rsid w:val="005669F5"/>
    <w:rsid w:val="00566A65"/>
    <w:rsid w:val="00566E8E"/>
    <w:rsid w:val="00566E94"/>
    <w:rsid w:val="00566F85"/>
    <w:rsid w:val="00567588"/>
    <w:rsid w:val="0056787E"/>
    <w:rsid w:val="00567A7C"/>
    <w:rsid w:val="00567BFB"/>
    <w:rsid w:val="00567D5C"/>
    <w:rsid w:val="00567E67"/>
    <w:rsid w:val="0057004F"/>
    <w:rsid w:val="005704A2"/>
    <w:rsid w:val="005707FA"/>
    <w:rsid w:val="005709AA"/>
    <w:rsid w:val="00570BB0"/>
    <w:rsid w:val="00571437"/>
    <w:rsid w:val="0057162B"/>
    <w:rsid w:val="00571C37"/>
    <w:rsid w:val="00571D40"/>
    <w:rsid w:val="00572153"/>
    <w:rsid w:val="00572227"/>
    <w:rsid w:val="0057259C"/>
    <w:rsid w:val="005725BB"/>
    <w:rsid w:val="005727C1"/>
    <w:rsid w:val="005727E9"/>
    <w:rsid w:val="005728F2"/>
    <w:rsid w:val="00572A45"/>
    <w:rsid w:val="00572F6E"/>
    <w:rsid w:val="0057314F"/>
    <w:rsid w:val="00573172"/>
    <w:rsid w:val="0057326D"/>
    <w:rsid w:val="005736EF"/>
    <w:rsid w:val="00573720"/>
    <w:rsid w:val="00573E2F"/>
    <w:rsid w:val="00574333"/>
    <w:rsid w:val="0057454E"/>
    <w:rsid w:val="00574777"/>
    <w:rsid w:val="00574EA2"/>
    <w:rsid w:val="00575291"/>
    <w:rsid w:val="005753AB"/>
    <w:rsid w:val="00575C47"/>
    <w:rsid w:val="00575C48"/>
    <w:rsid w:val="00575C70"/>
    <w:rsid w:val="00575D71"/>
    <w:rsid w:val="00576314"/>
    <w:rsid w:val="005764DE"/>
    <w:rsid w:val="0057697F"/>
    <w:rsid w:val="00577728"/>
    <w:rsid w:val="0057778A"/>
    <w:rsid w:val="005777D1"/>
    <w:rsid w:val="00577A95"/>
    <w:rsid w:val="00577D1F"/>
    <w:rsid w:val="00580034"/>
    <w:rsid w:val="00580EF9"/>
    <w:rsid w:val="005811A3"/>
    <w:rsid w:val="00581220"/>
    <w:rsid w:val="00581A19"/>
    <w:rsid w:val="0058259D"/>
    <w:rsid w:val="00582C78"/>
    <w:rsid w:val="00582D5D"/>
    <w:rsid w:val="005832F7"/>
    <w:rsid w:val="005835E5"/>
    <w:rsid w:val="00583810"/>
    <w:rsid w:val="0058384E"/>
    <w:rsid w:val="0058408C"/>
    <w:rsid w:val="00584939"/>
    <w:rsid w:val="00584B13"/>
    <w:rsid w:val="0058555F"/>
    <w:rsid w:val="00585806"/>
    <w:rsid w:val="0058580F"/>
    <w:rsid w:val="00585A95"/>
    <w:rsid w:val="005865F5"/>
    <w:rsid w:val="00586C97"/>
    <w:rsid w:val="00586FAD"/>
    <w:rsid w:val="00587024"/>
    <w:rsid w:val="00587046"/>
    <w:rsid w:val="0058736A"/>
    <w:rsid w:val="0058738D"/>
    <w:rsid w:val="005874AE"/>
    <w:rsid w:val="00587A29"/>
    <w:rsid w:val="00587DE7"/>
    <w:rsid w:val="00590390"/>
    <w:rsid w:val="00590543"/>
    <w:rsid w:val="005906CF"/>
    <w:rsid w:val="005907E0"/>
    <w:rsid w:val="00590961"/>
    <w:rsid w:val="00590A03"/>
    <w:rsid w:val="00590A4C"/>
    <w:rsid w:val="00591506"/>
    <w:rsid w:val="005915BB"/>
    <w:rsid w:val="00591AC9"/>
    <w:rsid w:val="00591C40"/>
    <w:rsid w:val="00591D57"/>
    <w:rsid w:val="0059205B"/>
    <w:rsid w:val="005923D7"/>
    <w:rsid w:val="005924C2"/>
    <w:rsid w:val="005936A1"/>
    <w:rsid w:val="005938DA"/>
    <w:rsid w:val="00593CAA"/>
    <w:rsid w:val="00594747"/>
    <w:rsid w:val="005948CA"/>
    <w:rsid w:val="00594C11"/>
    <w:rsid w:val="00594E62"/>
    <w:rsid w:val="0059517C"/>
    <w:rsid w:val="005951EC"/>
    <w:rsid w:val="00595485"/>
    <w:rsid w:val="00595575"/>
    <w:rsid w:val="00595DF1"/>
    <w:rsid w:val="00595DF2"/>
    <w:rsid w:val="00595E03"/>
    <w:rsid w:val="00595F4B"/>
    <w:rsid w:val="00596012"/>
    <w:rsid w:val="005960BB"/>
    <w:rsid w:val="0059635A"/>
    <w:rsid w:val="00596624"/>
    <w:rsid w:val="00596779"/>
    <w:rsid w:val="005972F1"/>
    <w:rsid w:val="00597912"/>
    <w:rsid w:val="00597BA8"/>
    <w:rsid w:val="005A098D"/>
    <w:rsid w:val="005A0C34"/>
    <w:rsid w:val="005A15B2"/>
    <w:rsid w:val="005A1BB1"/>
    <w:rsid w:val="005A1D5A"/>
    <w:rsid w:val="005A1DCD"/>
    <w:rsid w:val="005A1EED"/>
    <w:rsid w:val="005A2250"/>
    <w:rsid w:val="005A24F9"/>
    <w:rsid w:val="005A2E35"/>
    <w:rsid w:val="005A2E5B"/>
    <w:rsid w:val="005A2E62"/>
    <w:rsid w:val="005A302D"/>
    <w:rsid w:val="005A3AB8"/>
    <w:rsid w:val="005A428C"/>
    <w:rsid w:val="005A46DB"/>
    <w:rsid w:val="005A475C"/>
    <w:rsid w:val="005A51AD"/>
    <w:rsid w:val="005A5291"/>
    <w:rsid w:val="005A5712"/>
    <w:rsid w:val="005A62F6"/>
    <w:rsid w:val="005A63A4"/>
    <w:rsid w:val="005A6722"/>
    <w:rsid w:val="005A68CA"/>
    <w:rsid w:val="005A69F4"/>
    <w:rsid w:val="005A6BD7"/>
    <w:rsid w:val="005A6F0F"/>
    <w:rsid w:val="005A708E"/>
    <w:rsid w:val="005A7597"/>
    <w:rsid w:val="005A75E9"/>
    <w:rsid w:val="005A78BE"/>
    <w:rsid w:val="005A7BC4"/>
    <w:rsid w:val="005A7D2E"/>
    <w:rsid w:val="005B0170"/>
    <w:rsid w:val="005B04C4"/>
    <w:rsid w:val="005B0744"/>
    <w:rsid w:val="005B08E9"/>
    <w:rsid w:val="005B09E1"/>
    <w:rsid w:val="005B0BE0"/>
    <w:rsid w:val="005B111F"/>
    <w:rsid w:val="005B14FA"/>
    <w:rsid w:val="005B1606"/>
    <w:rsid w:val="005B1DA2"/>
    <w:rsid w:val="005B1FCC"/>
    <w:rsid w:val="005B2460"/>
    <w:rsid w:val="005B277D"/>
    <w:rsid w:val="005B2D3E"/>
    <w:rsid w:val="005B377A"/>
    <w:rsid w:val="005B3A1D"/>
    <w:rsid w:val="005B3B30"/>
    <w:rsid w:val="005B3E58"/>
    <w:rsid w:val="005B3E99"/>
    <w:rsid w:val="005B4B01"/>
    <w:rsid w:val="005B510D"/>
    <w:rsid w:val="005B5262"/>
    <w:rsid w:val="005B57F1"/>
    <w:rsid w:val="005B6103"/>
    <w:rsid w:val="005B64CB"/>
    <w:rsid w:val="005B6972"/>
    <w:rsid w:val="005B6B84"/>
    <w:rsid w:val="005B789F"/>
    <w:rsid w:val="005B78A8"/>
    <w:rsid w:val="005B78F5"/>
    <w:rsid w:val="005C01A5"/>
    <w:rsid w:val="005C03CB"/>
    <w:rsid w:val="005C0A31"/>
    <w:rsid w:val="005C0CAB"/>
    <w:rsid w:val="005C10F1"/>
    <w:rsid w:val="005C15AF"/>
    <w:rsid w:val="005C199E"/>
    <w:rsid w:val="005C1B2A"/>
    <w:rsid w:val="005C1F6C"/>
    <w:rsid w:val="005C1F9F"/>
    <w:rsid w:val="005C1FB3"/>
    <w:rsid w:val="005C231A"/>
    <w:rsid w:val="005C2D6D"/>
    <w:rsid w:val="005C2EB4"/>
    <w:rsid w:val="005C319C"/>
    <w:rsid w:val="005C3F17"/>
    <w:rsid w:val="005C3F43"/>
    <w:rsid w:val="005C3FB5"/>
    <w:rsid w:val="005C443A"/>
    <w:rsid w:val="005C4DC5"/>
    <w:rsid w:val="005C4ED1"/>
    <w:rsid w:val="005C511D"/>
    <w:rsid w:val="005C51BC"/>
    <w:rsid w:val="005C56D3"/>
    <w:rsid w:val="005C5CCE"/>
    <w:rsid w:val="005C5D25"/>
    <w:rsid w:val="005C5D7C"/>
    <w:rsid w:val="005C5E84"/>
    <w:rsid w:val="005C60CA"/>
    <w:rsid w:val="005C63F9"/>
    <w:rsid w:val="005C6590"/>
    <w:rsid w:val="005C6737"/>
    <w:rsid w:val="005C6B3A"/>
    <w:rsid w:val="005C6B97"/>
    <w:rsid w:val="005C7141"/>
    <w:rsid w:val="005C7218"/>
    <w:rsid w:val="005C7A7C"/>
    <w:rsid w:val="005C7C74"/>
    <w:rsid w:val="005D0855"/>
    <w:rsid w:val="005D0BE7"/>
    <w:rsid w:val="005D0C29"/>
    <w:rsid w:val="005D0CC3"/>
    <w:rsid w:val="005D0D85"/>
    <w:rsid w:val="005D10AA"/>
    <w:rsid w:val="005D14DD"/>
    <w:rsid w:val="005D1A88"/>
    <w:rsid w:val="005D1B25"/>
    <w:rsid w:val="005D1CC7"/>
    <w:rsid w:val="005D1EB9"/>
    <w:rsid w:val="005D1F7F"/>
    <w:rsid w:val="005D2462"/>
    <w:rsid w:val="005D2D5C"/>
    <w:rsid w:val="005D33A8"/>
    <w:rsid w:val="005D3755"/>
    <w:rsid w:val="005D3762"/>
    <w:rsid w:val="005D37C9"/>
    <w:rsid w:val="005D3B39"/>
    <w:rsid w:val="005D4040"/>
    <w:rsid w:val="005D4268"/>
    <w:rsid w:val="005D43CE"/>
    <w:rsid w:val="005D456D"/>
    <w:rsid w:val="005D4E11"/>
    <w:rsid w:val="005D4FA3"/>
    <w:rsid w:val="005D507D"/>
    <w:rsid w:val="005D526A"/>
    <w:rsid w:val="005D527B"/>
    <w:rsid w:val="005D542F"/>
    <w:rsid w:val="005D56E6"/>
    <w:rsid w:val="005D594E"/>
    <w:rsid w:val="005D5DBF"/>
    <w:rsid w:val="005D5DDF"/>
    <w:rsid w:val="005D5E5F"/>
    <w:rsid w:val="005D6315"/>
    <w:rsid w:val="005D6371"/>
    <w:rsid w:val="005D6539"/>
    <w:rsid w:val="005D657F"/>
    <w:rsid w:val="005D76C4"/>
    <w:rsid w:val="005D7C45"/>
    <w:rsid w:val="005D7D22"/>
    <w:rsid w:val="005E02F1"/>
    <w:rsid w:val="005E04F1"/>
    <w:rsid w:val="005E06C7"/>
    <w:rsid w:val="005E0A13"/>
    <w:rsid w:val="005E0DDC"/>
    <w:rsid w:val="005E1321"/>
    <w:rsid w:val="005E172F"/>
    <w:rsid w:val="005E18A8"/>
    <w:rsid w:val="005E1942"/>
    <w:rsid w:val="005E1DC1"/>
    <w:rsid w:val="005E1DD9"/>
    <w:rsid w:val="005E220A"/>
    <w:rsid w:val="005E2389"/>
    <w:rsid w:val="005E3515"/>
    <w:rsid w:val="005E366E"/>
    <w:rsid w:val="005E36D9"/>
    <w:rsid w:val="005E3840"/>
    <w:rsid w:val="005E44AB"/>
    <w:rsid w:val="005E4C09"/>
    <w:rsid w:val="005E58FF"/>
    <w:rsid w:val="005E5C5F"/>
    <w:rsid w:val="005E5DB0"/>
    <w:rsid w:val="005E60EB"/>
    <w:rsid w:val="005E61EB"/>
    <w:rsid w:val="005E6340"/>
    <w:rsid w:val="005E637A"/>
    <w:rsid w:val="005E6D73"/>
    <w:rsid w:val="005E6F8F"/>
    <w:rsid w:val="005E700B"/>
    <w:rsid w:val="005E745B"/>
    <w:rsid w:val="005E750E"/>
    <w:rsid w:val="005E79A1"/>
    <w:rsid w:val="005E79F3"/>
    <w:rsid w:val="005E7EA2"/>
    <w:rsid w:val="005E7F6B"/>
    <w:rsid w:val="005E7FF7"/>
    <w:rsid w:val="005F0112"/>
    <w:rsid w:val="005F01F7"/>
    <w:rsid w:val="005F03FA"/>
    <w:rsid w:val="005F0470"/>
    <w:rsid w:val="005F081C"/>
    <w:rsid w:val="005F0BEE"/>
    <w:rsid w:val="005F0C62"/>
    <w:rsid w:val="005F1205"/>
    <w:rsid w:val="005F147C"/>
    <w:rsid w:val="005F1497"/>
    <w:rsid w:val="005F15C7"/>
    <w:rsid w:val="005F1D09"/>
    <w:rsid w:val="005F1DAD"/>
    <w:rsid w:val="005F2167"/>
    <w:rsid w:val="005F2201"/>
    <w:rsid w:val="005F22AA"/>
    <w:rsid w:val="005F2472"/>
    <w:rsid w:val="005F2485"/>
    <w:rsid w:val="005F2764"/>
    <w:rsid w:val="005F2AC2"/>
    <w:rsid w:val="005F302D"/>
    <w:rsid w:val="005F314A"/>
    <w:rsid w:val="005F34D8"/>
    <w:rsid w:val="005F3850"/>
    <w:rsid w:val="005F38EA"/>
    <w:rsid w:val="005F407F"/>
    <w:rsid w:val="005F4624"/>
    <w:rsid w:val="005F477C"/>
    <w:rsid w:val="005F4D20"/>
    <w:rsid w:val="005F4E57"/>
    <w:rsid w:val="005F5522"/>
    <w:rsid w:val="005F56CC"/>
    <w:rsid w:val="005F5ACE"/>
    <w:rsid w:val="005F5EC1"/>
    <w:rsid w:val="005F6604"/>
    <w:rsid w:val="005F674C"/>
    <w:rsid w:val="005F6D33"/>
    <w:rsid w:val="005F76FC"/>
    <w:rsid w:val="005F771E"/>
    <w:rsid w:val="005F7BE3"/>
    <w:rsid w:val="005F7E76"/>
    <w:rsid w:val="006003BE"/>
    <w:rsid w:val="006009AD"/>
    <w:rsid w:val="0060181E"/>
    <w:rsid w:val="0060188F"/>
    <w:rsid w:val="00601940"/>
    <w:rsid w:val="00601DB6"/>
    <w:rsid w:val="00601F75"/>
    <w:rsid w:val="00602F0F"/>
    <w:rsid w:val="006031A0"/>
    <w:rsid w:val="0060367D"/>
    <w:rsid w:val="00603EA2"/>
    <w:rsid w:val="00604347"/>
    <w:rsid w:val="00604935"/>
    <w:rsid w:val="00604BC2"/>
    <w:rsid w:val="006053D0"/>
    <w:rsid w:val="006058DC"/>
    <w:rsid w:val="00605CF4"/>
    <w:rsid w:val="00605D96"/>
    <w:rsid w:val="006061AC"/>
    <w:rsid w:val="00606813"/>
    <w:rsid w:val="00606DD9"/>
    <w:rsid w:val="0060708F"/>
    <w:rsid w:val="00607703"/>
    <w:rsid w:val="00607EA9"/>
    <w:rsid w:val="0061020C"/>
    <w:rsid w:val="006103ED"/>
    <w:rsid w:val="00610713"/>
    <w:rsid w:val="006107CF"/>
    <w:rsid w:val="00610BA7"/>
    <w:rsid w:val="00610C8B"/>
    <w:rsid w:val="00610EDA"/>
    <w:rsid w:val="006116B3"/>
    <w:rsid w:val="00611FD7"/>
    <w:rsid w:val="00612123"/>
    <w:rsid w:val="006122EC"/>
    <w:rsid w:val="006123E7"/>
    <w:rsid w:val="0061242D"/>
    <w:rsid w:val="00612A88"/>
    <w:rsid w:val="00612A95"/>
    <w:rsid w:val="00612B70"/>
    <w:rsid w:val="00612E55"/>
    <w:rsid w:val="00613045"/>
    <w:rsid w:val="00613AAF"/>
    <w:rsid w:val="00613C1B"/>
    <w:rsid w:val="00614368"/>
    <w:rsid w:val="00614B69"/>
    <w:rsid w:val="00615268"/>
    <w:rsid w:val="006152E2"/>
    <w:rsid w:val="006158C5"/>
    <w:rsid w:val="00615AB3"/>
    <w:rsid w:val="00615D98"/>
    <w:rsid w:val="00615F98"/>
    <w:rsid w:val="0061640A"/>
    <w:rsid w:val="0061676D"/>
    <w:rsid w:val="00616D4B"/>
    <w:rsid w:val="006173D7"/>
    <w:rsid w:val="006175EC"/>
    <w:rsid w:val="0061784D"/>
    <w:rsid w:val="00617C28"/>
    <w:rsid w:val="00617D82"/>
    <w:rsid w:val="00620382"/>
    <w:rsid w:val="0062052E"/>
    <w:rsid w:val="006206F3"/>
    <w:rsid w:val="00620CA3"/>
    <w:rsid w:val="00620D90"/>
    <w:rsid w:val="00620EDF"/>
    <w:rsid w:val="006212AA"/>
    <w:rsid w:val="00621392"/>
    <w:rsid w:val="006219B3"/>
    <w:rsid w:val="00621E99"/>
    <w:rsid w:val="00622290"/>
    <w:rsid w:val="00622346"/>
    <w:rsid w:val="00622494"/>
    <w:rsid w:val="006224DE"/>
    <w:rsid w:val="006227CC"/>
    <w:rsid w:val="00622B36"/>
    <w:rsid w:val="006230A8"/>
    <w:rsid w:val="0062330D"/>
    <w:rsid w:val="00623355"/>
    <w:rsid w:val="006236EC"/>
    <w:rsid w:val="00623FCA"/>
    <w:rsid w:val="00624156"/>
    <w:rsid w:val="00624224"/>
    <w:rsid w:val="0062422F"/>
    <w:rsid w:val="00624C5B"/>
    <w:rsid w:val="00624E20"/>
    <w:rsid w:val="00625878"/>
    <w:rsid w:val="006259F6"/>
    <w:rsid w:val="00625F74"/>
    <w:rsid w:val="0062624C"/>
    <w:rsid w:val="00626CB9"/>
    <w:rsid w:val="006270C2"/>
    <w:rsid w:val="0062745F"/>
    <w:rsid w:val="006276CD"/>
    <w:rsid w:val="00627BB0"/>
    <w:rsid w:val="00627CD1"/>
    <w:rsid w:val="00627EDA"/>
    <w:rsid w:val="00630056"/>
    <w:rsid w:val="0063020B"/>
    <w:rsid w:val="0063046C"/>
    <w:rsid w:val="00630C49"/>
    <w:rsid w:val="00630CCF"/>
    <w:rsid w:val="006311A4"/>
    <w:rsid w:val="00631224"/>
    <w:rsid w:val="0063123B"/>
    <w:rsid w:val="006315CE"/>
    <w:rsid w:val="0063182E"/>
    <w:rsid w:val="00631956"/>
    <w:rsid w:val="00631C3F"/>
    <w:rsid w:val="00631CEB"/>
    <w:rsid w:val="00631F61"/>
    <w:rsid w:val="0063233B"/>
    <w:rsid w:val="00632573"/>
    <w:rsid w:val="00632678"/>
    <w:rsid w:val="006326CB"/>
    <w:rsid w:val="00632D60"/>
    <w:rsid w:val="00632F76"/>
    <w:rsid w:val="006336E0"/>
    <w:rsid w:val="0063376C"/>
    <w:rsid w:val="006350A1"/>
    <w:rsid w:val="006351D6"/>
    <w:rsid w:val="006353A5"/>
    <w:rsid w:val="00635903"/>
    <w:rsid w:val="0063659B"/>
    <w:rsid w:val="0063691D"/>
    <w:rsid w:val="00636E5A"/>
    <w:rsid w:val="006370FF"/>
    <w:rsid w:val="006371FE"/>
    <w:rsid w:val="00637289"/>
    <w:rsid w:val="006373FE"/>
    <w:rsid w:val="00637540"/>
    <w:rsid w:val="0063762F"/>
    <w:rsid w:val="00637905"/>
    <w:rsid w:val="0064008C"/>
    <w:rsid w:val="00640118"/>
    <w:rsid w:val="00640203"/>
    <w:rsid w:val="006403FB"/>
    <w:rsid w:val="0064049A"/>
    <w:rsid w:val="00640CB6"/>
    <w:rsid w:val="00640E8F"/>
    <w:rsid w:val="00640FA5"/>
    <w:rsid w:val="006410E5"/>
    <w:rsid w:val="00641C0E"/>
    <w:rsid w:val="00641CBE"/>
    <w:rsid w:val="00641CC9"/>
    <w:rsid w:val="00641D8B"/>
    <w:rsid w:val="00641F5E"/>
    <w:rsid w:val="00642862"/>
    <w:rsid w:val="00642A4E"/>
    <w:rsid w:val="00642E8A"/>
    <w:rsid w:val="00643423"/>
    <w:rsid w:val="00643508"/>
    <w:rsid w:val="00643BA8"/>
    <w:rsid w:val="006445B5"/>
    <w:rsid w:val="00644A46"/>
    <w:rsid w:val="0064574B"/>
    <w:rsid w:val="00645830"/>
    <w:rsid w:val="006464DC"/>
    <w:rsid w:val="00646612"/>
    <w:rsid w:val="00646735"/>
    <w:rsid w:val="006468CD"/>
    <w:rsid w:val="00646AAC"/>
    <w:rsid w:val="006470EE"/>
    <w:rsid w:val="006471D4"/>
    <w:rsid w:val="00647874"/>
    <w:rsid w:val="00647D30"/>
    <w:rsid w:val="00650137"/>
    <w:rsid w:val="0065014C"/>
    <w:rsid w:val="00650544"/>
    <w:rsid w:val="0065088E"/>
    <w:rsid w:val="006508DB"/>
    <w:rsid w:val="00650C59"/>
    <w:rsid w:val="00650D38"/>
    <w:rsid w:val="00650E18"/>
    <w:rsid w:val="0065130E"/>
    <w:rsid w:val="006513C8"/>
    <w:rsid w:val="006518AD"/>
    <w:rsid w:val="006522BA"/>
    <w:rsid w:val="0065242E"/>
    <w:rsid w:val="00652A25"/>
    <w:rsid w:val="00652CC2"/>
    <w:rsid w:val="00652DAE"/>
    <w:rsid w:val="006530A1"/>
    <w:rsid w:val="006534E9"/>
    <w:rsid w:val="00653653"/>
    <w:rsid w:val="006536D3"/>
    <w:rsid w:val="00653FFC"/>
    <w:rsid w:val="006544A3"/>
    <w:rsid w:val="006546D4"/>
    <w:rsid w:val="006548B6"/>
    <w:rsid w:val="006548C6"/>
    <w:rsid w:val="00654985"/>
    <w:rsid w:val="00654E51"/>
    <w:rsid w:val="00654E58"/>
    <w:rsid w:val="006550C2"/>
    <w:rsid w:val="00655449"/>
    <w:rsid w:val="006555DD"/>
    <w:rsid w:val="0065581A"/>
    <w:rsid w:val="006558B5"/>
    <w:rsid w:val="00655AA6"/>
    <w:rsid w:val="00655B73"/>
    <w:rsid w:val="0065622E"/>
    <w:rsid w:val="00656829"/>
    <w:rsid w:val="00656AD3"/>
    <w:rsid w:val="00656C79"/>
    <w:rsid w:val="00656F01"/>
    <w:rsid w:val="0065717F"/>
    <w:rsid w:val="00657746"/>
    <w:rsid w:val="006578D0"/>
    <w:rsid w:val="00657FE5"/>
    <w:rsid w:val="00660732"/>
    <w:rsid w:val="006607B8"/>
    <w:rsid w:val="00660FF6"/>
    <w:rsid w:val="0066102F"/>
    <w:rsid w:val="0066133D"/>
    <w:rsid w:val="00661869"/>
    <w:rsid w:val="00661B9D"/>
    <w:rsid w:val="00661FFD"/>
    <w:rsid w:val="006621BD"/>
    <w:rsid w:val="006625F8"/>
    <w:rsid w:val="006626B7"/>
    <w:rsid w:val="00662988"/>
    <w:rsid w:val="00662BD1"/>
    <w:rsid w:val="0066363A"/>
    <w:rsid w:val="0066391F"/>
    <w:rsid w:val="006644A6"/>
    <w:rsid w:val="0066494C"/>
    <w:rsid w:val="00664B32"/>
    <w:rsid w:val="00665032"/>
    <w:rsid w:val="0066524B"/>
    <w:rsid w:val="006652EC"/>
    <w:rsid w:val="0066534F"/>
    <w:rsid w:val="006656B3"/>
    <w:rsid w:val="00665790"/>
    <w:rsid w:val="00665949"/>
    <w:rsid w:val="00665B8E"/>
    <w:rsid w:val="00665FE2"/>
    <w:rsid w:val="006661A4"/>
    <w:rsid w:val="00666295"/>
    <w:rsid w:val="00666325"/>
    <w:rsid w:val="0066635C"/>
    <w:rsid w:val="00666626"/>
    <w:rsid w:val="00666A1B"/>
    <w:rsid w:val="006671EC"/>
    <w:rsid w:val="006676C9"/>
    <w:rsid w:val="006678AE"/>
    <w:rsid w:val="006679F6"/>
    <w:rsid w:val="00667FCD"/>
    <w:rsid w:val="006706EC"/>
    <w:rsid w:val="00670882"/>
    <w:rsid w:val="00670A88"/>
    <w:rsid w:val="00670D12"/>
    <w:rsid w:val="00670DFF"/>
    <w:rsid w:val="006710ED"/>
    <w:rsid w:val="006715DE"/>
    <w:rsid w:val="00671ADD"/>
    <w:rsid w:val="00672037"/>
    <w:rsid w:val="0067248F"/>
    <w:rsid w:val="006736A5"/>
    <w:rsid w:val="0067433F"/>
    <w:rsid w:val="00674419"/>
    <w:rsid w:val="00674437"/>
    <w:rsid w:val="00674527"/>
    <w:rsid w:val="006746C5"/>
    <w:rsid w:val="006747C5"/>
    <w:rsid w:val="00674A94"/>
    <w:rsid w:val="00674BBE"/>
    <w:rsid w:val="00674C30"/>
    <w:rsid w:val="00675025"/>
    <w:rsid w:val="0067540B"/>
    <w:rsid w:val="00675615"/>
    <w:rsid w:val="006757CE"/>
    <w:rsid w:val="00675BEB"/>
    <w:rsid w:val="00675CE7"/>
    <w:rsid w:val="00675D3A"/>
    <w:rsid w:val="00676094"/>
    <w:rsid w:val="00676240"/>
    <w:rsid w:val="0067652D"/>
    <w:rsid w:val="00676664"/>
    <w:rsid w:val="0067686D"/>
    <w:rsid w:val="00676ACE"/>
    <w:rsid w:val="0067716E"/>
    <w:rsid w:val="00677950"/>
    <w:rsid w:val="00677E16"/>
    <w:rsid w:val="00677FEE"/>
    <w:rsid w:val="00680004"/>
    <w:rsid w:val="006801EF"/>
    <w:rsid w:val="00680773"/>
    <w:rsid w:val="00680884"/>
    <w:rsid w:val="00680A89"/>
    <w:rsid w:val="00680C2F"/>
    <w:rsid w:val="00680C5E"/>
    <w:rsid w:val="00680F23"/>
    <w:rsid w:val="006815E4"/>
    <w:rsid w:val="006815FB"/>
    <w:rsid w:val="00681AC5"/>
    <w:rsid w:val="00681BB0"/>
    <w:rsid w:val="006822C4"/>
    <w:rsid w:val="00682425"/>
    <w:rsid w:val="00682C65"/>
    <w:rsid w:val="006832F1"/>
    <w:rsid w:val="0068335D"/>
    <w:rsid w:val="00683745"/>
    <w:rsid w:val="0068382C"/>
    <w:rsid w:val="0068387F"/>
    <w:rsid w:val="00683984"/>
    <w:rsid w:val="00683C3E"/>
    <w:rsid w:val="00684139"/>
    <w:rsid w:val="00684239"/>
    <w:rsid w:val="006842D5"/>
    <w:rsid w:val="00684496"/>
    <w:rsid w:val="006848D1"/>
    <w:rsid w:val="00684C93"/>
    <w:rsid w:val="00684F03"/>
    <w:rsid w:val="00685400"/>
    <w:rsid w:val="00685438"/>
    <w:rsid w:val="00685AEA"/>
    <w:rsid w:val="006869AF"/>
    <w:rsid w:val="006869E0"/>
    <w:rsid w:val="006872D3"/>
    <w:rsid w:val="006873BD"/>
    <w:rsid w:val="006878E7"/>
    <w:rsid w:val="00687CC6"/>
    <w:rsid w:val="00687DCB"/>
    <w:rsid w:val="0069014E"/>
    <w:rsid w:val="006904BF"/>
    <w:rsid w:val="00690577"/>
    <w:rsid w:val="00690B51"/>
    <w:rsid w:val="00690B81"/>
    <w:rsid w:val="00690F98"/>
    <w:rsid w:val="00691335"/>
    <w:rsid w:val="0069197A"/>
    <w:rsid w:val="00691FFF"/>
    <w:rsid w:val="006921B0"/>
    <w:rsid w:val="00692644"/>
    <w:rsid w:val="00692D51"/>
    <w:rsid w:val="00692ECE"/>
    <w:rsid w:val="00693232"/>
    <w:rsid w:val="006933BC"/>
    <w:rsid w:val="006934BC"/>
    <w:rsid w:val="00693C80"/>
    <w:rsid w:val="00694368"/>
    <w:rsid w:val="0069455C"/>
    <w:rsid w:val="00694E1E"/>
    <w:rsid w:val="00694F6C"/>
    <w:rsid w:val="00694FE1"/>
    <w:rsid w:val="0069514B"/>
    <w:rsid w:val="0069572B"/>
    <w:rsid w:val="0069581D"/>
    <w:rsid w:val="00695AF9"/>
    <w:rsid w:val="00695B72"/>
    <w:rsid w:val="00695BD1"/>
    <w:rsid w:val="00695F80"/>
    <w:rsid w:val="0069636A"/>
    <w:rsid w:val="00696565"/>
    <w:rsid w:val="00696ADD"/>
    <w:rsid w:val="00696ED6"/>
    <w:rsid w:val="006970C9"/>
    <w:rsid w:val="00697190"/>
    <w:rsid w:val="00697964"/>
    <w:rsid w:val="006979C1"/>
    <w:rsid w:val="006A01C8"/>
    <w:rsid w:val="006A04A7"/>
    <w:rsid w:val="006A0507"/>
    <w:rsid w:val="006A05D2"/>
    <w:rsid w:val="006A0B36"/>
    <w:rsid w:val="006A0DF8"/>
    <w:rsid w:val="006A1DE4"/>
    <w:rsid w:val="006A2467"/>
    <w:rsid w:val="006A37DD"/>
    <w:rsid w:val="006A3885"/>
    <w:rsid w:val="006A3DB1"/>
    <w:rsid w:val="006A403E"/>
    <w:rsid w:val="006A4078"/>
    <w:rsid w:val="006A4422"/>
    <w:rsid w:val="006A490C"/>
    <w:rsid w:val="006A4AEE"/>
    <w:rsid w:val="006A4E4F"/>
    <w:rsid w:val="006A4F46"/>
    <w:rsid w:val="006A52B6"/>
    <w:rsid w:val="006A5522"/>
    <w:rsid w:val="006A5566"/>
    <w:rsid w:val="006A5929"/>
    <w:rsid w:val="006A5D55"/>
    <w:rsid w:val="006A5E76"/>
    <w:rsid w:val="006A6340"/>
    <w:rsid w:val="006A65BD"/>
    <w:rsid w:val="006A669E"/>
    <w:rsid w:val="006A66C9"/>
    <w:rsid w:val="006A6C2D"/>
    <w:rsid w:val="006A6EB6"/>
    <w:rsid w:val="006A7201"/>
    <w:rsid w:val="006A7593"/>
    <w:rsid w:val="006A75D3"/>
    <w:rsid w:val="006A7988"/>
    <w:rsid w:val="006A7D77"/>
    <w:rsid w:val="006B00D9"/>
    <w:rsid w:val="006B039C"/>
    <w:rsid w:val="006B06F0"/>
    <w:rsid w:val="006B0827"/>
    <w:rsid w:val="006B0B5F"/>
    <w:rsid w:val="006B0DAE"/>
    <w:rsid w:val="006B101B"/>
    <w:rsid w:val="006B1309"/>
    <w:rsid w:val="006B14BD"/>
    <w:rsid w:val="006B15E9"/>
    <w:rsid w:val="006B1974"/>
    <w:rsid w:val="006B19B1"/>
    <w:rsid w:val="006B1C04"/>
    <w:rsid w:val="006B1EEB"/>
    <w:rsid w:val="006B259C"/>
    <w:rsid w:val="006B2B64"/>
    <w:rsid w:val="006B3555"/>
    <w:rsid w:val="006B36E3"/>
    <w:rsid w:val="006B3AF6"/>
    <w:rsid w:val="006B3B7A"/>
    <w:rsid w:val="006B3F06"/>
    <w:rsid w:val="006B4232"/>
    <w:rsid w:val="006B424C"/>
    <w:rsid w:val="006B4AAE"/>
    <w:rsid w:val="006B510C"/>
    <w:rsid w:val="006B5634"/>
    <w:rsid w:val="006B579A"/>
    <w:rsid w:val="006B585E"/>
    <w:rsid w:val="006B5C24"/>
    <w:rsid w:val="006B6222"/>
    <w:rsid w:val="006B6466"/>
    <w:rsid w:val="006B73DE"/>
    <w:rsid w:val="006B787B"/>
    <w:rsid w:val="006B7BF6"/>
    <w:rsid w:val="006B7CF1"/>
    <w:rsid w:val="006B7D8F"/>
    <w:rsid w:val="006B7F4C"/>
    <w:rsid w:val="006C0464"/>
    <w:rsid w:val="006C0AC3"/>
    <w:rsid w:val="006C1566"/>
    <w:rsid w:val="006C1CCC"/>
    <w:rsid w:val="006C2297"/>
    <w:rsid w:val="006C23E8"/>
    <w:rsid w:val="006C264C"/>
    <w:rsid w:val="006C282D"/>
    <w:rsid w:val="006C3214"/>
    <w:rsid w:val="006C3EDC"/>
    <w:rsid w:val="006C43AE"/>
    <w:rsid w:val="006C45FA"/>
    <w:rsid w:val="006C4762"/>
    <w:rsid w:val="006C4D74"/>
    <w:rsid w:val="006C4F29"/>
    <w:rsid w:val="006C50CA"/>
    <w:rsid w:val="006C5187"/>
    <w:rsid w:val="006C53FB"/>
    <w:rsid w:val="006C5523"/>
    <w:rsid w:val="006C591F"/>
    <w:rsid w:val="006C59B3"/>
    <w:rsid w:val="006C6242"/>
    <w:rsid w:val="006C63FF"/>
    <w:rsid w:val="006C650B"/>
    <w:rsid w:val="006C6A7D"/>
    <w:rsid w:val="006C6BF7"/>
    <w:rsid w:val="006C7061"/>
    <w:rsid w:val="006C73B3"/>
    <w:rsid w:val="006C7556"/>
    <w:rsid w:val="006C7D4D"/>
    <w:rsid w:val="006D0050"/>
    <w:rsid w:val="006D005E"/>
    <w:rsid w:val="006D0130"/>
    <w:rsid w:val="006D024E"/>
    <w:rsid w:val="006D0B3D"/>
    <w:rsid w:val="006D0BAC"/>
    <w:rsid w:val="006D0ED5"/>
    <w:rsid w:val="006D0FB5"/>
    <w:rsid w:val="006D10F5"/>
    <w:rsid w:val="006D14B8"/>
    <w:rsid w:val="006D1C2F"/>
    <w:rsid w:val="006D1D10"/>
    <w:rsid w:val="006D2018"/>
    <w:rsid w:val="006D20A9"/>
    <w:rsid w:val="006D22DB"/>
    <w:rsid w:val="006D261D"/>
    <w:rsid w:val="006D29C4"/>
    <w:rsid w:val="006D2BD6"/>
    <w:rsid w:val="006D2D60"/>
    <w:rsid w:val="006D348F"/>
    <w:rsid w:val="006D3F19"/>
    <w:rsid w:val="006D3FC5"/>
    <w:rsid w:val="006D4678"/>
    <w:rsid w:val="006D4A39"/>
    <w:rsid w:val="006D4C67"/>
    <w:rsid w:val="006D4E49"/>
    <w:rsid w:val="006D5213"/>
    <w:rsid w:val="006D5636"/>
    <w:rsid w:val="006D566B"/>
    <w:rsid w:val="006D5D79"/>
    <w:rsid w:val="006D5DF4"/>
    <w:rsid w:val="006D5E65"/>
    <w:rsid w:val="006D626F"/>
    <w:rsid w:val="006D684D"/>
    <w:rsid w:val="006D6882"/>
    <w:rsid w:val="006D6899"/>
    <w:rsid w:val="006D6921"/>
    <w:rsid w:val="006D6BBE"/>
    <w:rsid w:val="006D6FF9"/>
    <w:rsid w:val="006D7749"/>
    <w:rsid w:val="006D7AE9"/>
    <w:rsid w:val="006D7BBA"/>
    <w:rsid w:val="006D7E32"/>
    <w:rsid w:val="006E091E"/>
    <w:rsid w:val="006E096E"/>
    <w:rsid w:val="006E09EC"/>
    <w:rsid w:val="006E0A02"/>
    <w:rsid w:val="006E0AE1"/>
    <w:rsid w:val="006E0EA9"/>
    <w:rsid w:val="006E10D5"/>
    <w:rsid w:val="006E1242"/>
    <w:rsid w:val="006E13F2"/>
    <w:rsid w:val="006E1A65"/>
    <w:rsid w:val="006E1F5F"/>
    <w:rsid w:val="006E23AA"/>
    <w:rsid w:val="006E243D"/>
    <w:rsid w:val="006E2564"/>
    <w:rsid w:val="006E2A76"/>
    <w:rsid w:val="006E34C7"/>
    <w:rsid w:val="006E3595"/>
    <w:rsid w:val="006E3706"/>
    <w:rsid w:val="006E3774"/>
    <w:rsid w:val="006E3913"/>
    <w:rsid w:val="006E3F33"/>
    <w:rsid w:val="006E42CD"/>
    <w:rsid w:val="006E44FE"/>
    <w:rsid w:val="006E47C4"/>
    <w:rsid w:val="006E47C9"/>
    <w:rsid w:val="006E4A5D"/>
    <w:rsid w:val="006E4B5C"/>
    <w:rsid w:val="006E56F6"/>
    <w:rsid w:val="006E5B16"/>
    <w:rsid w:val="006E5B6C"/>
    <w:rsid w:val="006E5C16"/>
    <w:rsid w:val="006E5DA1"/>
    <w:rsid w:val="006E62BB"/>
    <w:rsid w:val="006E6978"/>
    <w:rsid w:val="006E6B39"/>
    <w:rsid w:val="006E6B55"/>
    <w:rsid w:val="006E74A4"/>
    <w:rsid w:val="006E74FD"/>
    <w:rsid w:val="006E7793"/>
    <w:rsid w:val="006E77B9"/>
    <w:rsid w:val="006E7A8D"/>
    <w:rsid w:val="006E7DE0"/>
    <w:rsid w:val="006E7EFD"/>
    <w:rsid w:val="006F0016"/>
    <w:rsid w:val="006F01A5"/>
    <w:rsid w:val="006F039B"/>
    <w:rsid w:val="006F0A21"/>
    <w:rsid w:val="006F0A5F"/>
    <w:rsid w:val="006F0BE7"/>
    <w:rsid w:val="006F0DA0"/>
    <w:rsid w:val="006F0DB7"/>
    <w:rsid w:val="006F0E9C"/>
    <w:rsid w:val="006F166B"/>
    <w:rsid w:val="006F19DA"/>
    <w:rsid w:val="006F1A43"/>
    <w:rsid w:val="006F1F31"/>
    <w:rsid w:val="006F2325"/>
    <w:rsid w:val="006F2346"/>
    <w:rsid w:val="006F287F"/>
    <w:rsid w:val="006F32B3"/>
    <w:rsid w:val="006F3A50"/>
    <w:rsid w:val="006F4206"/>
    <w:rsid w:val="006F4369"/>
    <w:rsid w:val="006F4728"/>
    <w:rsid w:val="006F507D"/>
    <w:rsid w:val="006F52A1"/>
    <w:rsid w:val="006F5C4F"/>
    <w:rsid w:val="006F5EBF"/>
    <w:rsid w:val="006F5F6F"/>
    <w:rsid w:val="006F6103"/>
    <w:rsid w:val="006F6671"/>
    <w:rsid w:val="006F66AF"/>
    <w:rsid w:val="006F68AA"/>
    <w:rsid w:val="006F6C44"/>
    <w:rsid w:val="006F723A"/>
    <w:rsid w:val="006F7451"/>
    <w:rsid w:val="006F760C"/>
    <w:rsid w:val="006F776D"/>
    <w:rsid w:val="006F77B2"/>
    <w:rsid w:val="006F7B8A"/>
    <w:rsid w:val="006F7E67"/>
    <w:rsid w:val="007006D4"/>
    <w:rsid w:val="007008BD"/>
    <w:rsid w:val="00700BFD"/>
    <w:rsid w:val="00700DC0"/>
    <w:rsid w:val="00701633"/>
    <w:rsid w:val="007018EB"/>
    <w:rsid w:val="00701972"/>
    <w:rsid w:val="00701A1E"/>
    <w:rsid w:val="00701EFA"/>
    <w:rsid w:val="00701FC1"/>
    <w:rsid w:val="00702112"/>
    <w:rsid w:val="00702A68"/>
    <w:rsid w:val="00702E39"/>
    <w:rsid w:val="007030FD"/>
    <w:rsid w:val="007031E1"/>
    <w:rsid w:val="0070383C"/>
    <w:rsid w:val="00703921"/>
    <w:rsid w:val="00703DEF"/>
    <w:rsid w:val="0070424C"/>
    <w:rsid w:val="0070449B"/>
    <w:rsid w:val="007049AB"/>
    <w:rsid w:val="00704ACA"/>
    <w:rsid w:val="00705AB3"/>
    <w:rsid w:val="007062B6"/>
    <w:rsid w:val="007062B9"/>
    <w:rsid w:val="007066F7"/>
    <w:rsid w:val="00706BDB"/>
    <w:rsid w:val="00706D36"/>
    <w:rsid w:val="00706E5E"/>
    <w:rsid w:val="0070723B"/>
    <w:rsid w:val="007077A1"/>
    <w:rsid w:val="00707E2E"/>
    <w:rsid w:val="0071103A"/>
    <w:rsid w:val="00711A08"/>
    <w:rsid w:val="00711F27"/>
    <w:rsid w:val="00712377"/>
    <w:rsid w:val="007123B6"/>
    <w:rsid w:val="00712441"/>
    <w:rsid w:val="0071244C"/>
    <w:rsid w:val="007126F7"/>
    <w:rsid w:val="0071298C"/>
    <w:rsid w:val="00712C33"/>
    <w:rsid w:val="00713144"/>
    <w:rsid w:val="007139AC"/>
    <w:rsid w:val="00713FA9"/>
    <w:rsid w:val="00714642"/>
    <w:rsid w:val="00714B7E"/>
    <w:rsid w:val="00714F23"/>
    <w:rsid w:val="0071508B"/>
    <w:rsid w:val="007158B6"/>
    <w:rsid w:val="00715ACD"/>
    <w:rsid w:val="00715E55"/>
    <w:rsid w:val="007161C2"/>
    <w:rsid w:val="00716408"/>
    <w:rsid w:val="007165A9"/>
    <w:rsid w:val="00716B8F"/>
    <w:rsid w:val="00716E7D"/>
    <w:rsid w:val="00716F06"/>
    <w:rsid w:val="007170BD"/>
    <w:rsid w:val="007170CD"/>
    <w:rsid w:val="00717209"/>
    <w:rsid w:val="0071744B"/>
    <w:rsid w:val="00717A4F"/>
    <w:rsid w:val="00717A60"/>
    <w:rsid w:val="007200CF"/>
    <w:rsid w:val="0072025C"/>
    <w:rsid w:val="0072061D"/>
    <w:rsid w:val="00720E2E"/>
    <w:rsid w:val="00721006"/>
    <w:rsid w:val="007210D9"/>
    <w:rsid w:val="00721126"/>
    <w:rsid w:val="00721416"/>
    <w:rsid w:val="00721679"/>
    <w:rsid w:val="007216E0"/>
    <w:rsid w:val="00721759"/>
    <w:rsid w:val="0072186E"/>
    <w:rsid w:val="00721DD7"/>
    <w:rsid w:val="00721F4E"/>
    <w:rsid w:val="007222F9"/>
    <w:rsid w:val="007223DE"/>
    <w:rsid w:val="007225DF"/>
    <w:rsid w:val="00722843"/>
    <w:rsid w:val="00722D4C"/>
    <w:rsid w:val="007239E0"/>
    <w:rsid w:val="00723FB7"/>
    <w:rsid w:val="00724051"/>
    <w:rsid w:val="0072414B"/>
    <w:rsid w:val="0072463C"/>
    <w:rsid w:val="007246EA"/>
    <w:rsid w:val="00724FB7"/>
    <w:rsid w:val="00725DC4"/>
    <w:rsid w:val="007260F5"/>
    <w:rsid w:val="0072632B"/>
    <w:rsid w:val="007265CC"/>
    <w:rsid w:val="00726813"/>
    <w:rsid w:val="007269DD"/>
    <w:rsid w:val="00726F23"/>
    <w:rsid w:val="007270A0"/>
    <w:rsid w:val="007303E9"/>
    <w:rsid w:val="00730664"/>
    <w:rsid w:val="00730F38"/>
    <w:rsid w:val="00731404"/>
    <w:rsid w:val="0073143E"/>
    <w:rsid w:val="00731825"/>
    <w:rsid w:val="00731E5E"/>
    <w:rsid w:val="00731FB9"/>
    <w:rsid w:val="00731FDC"/>
    <w:rsid w:val="0073299C"/>
    <w:rsid w:val="00732B52"/>
    <w:rsid w:val="00732DA6"/>
    <w:rsid w:val="00732F23"/>
    <w:rsid w:val="00733314"/>
    <w:rsid w:val="007335FB"/>
    <w:rsid w:val="007337CF"/>
    <w:rsid w:val="00733CF8"/>
    <w:rsid w:val="0073452B"/>
    <w:rsid w:val="007346D2"/>
    <w:rsid w:val="00734744"/>
    <w:rsid w:val="007347CB"/>
    <w:rsid w:val="00734848"/>
    <w:rsid w:val="007352CD"/>
    <w:rsid w:val="007360A1"/>
    <w:rsid w:val="0073652C"/>
    <w:rsid w:val="00736A5B"/>
    <w:rsid w:val="00736F0E"/>
    <w:rsid w:val="00736FA3"/>
    <w:rsid w:val="0073744E"/>
    <w:rsid w:val="00737495"/>
    <w:rsid w:val="0073799B"/>
    <w:rsid w:val="00737E53"/>
    <w:rsid w:val="007405E8"/>
    <w:rsid w:val="0074094D"/>
    <w:rsid w:val="007409D6"/>
    <w:rsid w:val="00741034"/>
    <w:rsid w:val="00741391"/>
    <w:rsid w:val="00741583"/>
    <w:rsid w:val="007416F0"/>
    <w:rsid w:val="00741F1C"/>
    <w:rsid w:val="007427AB"/>
    <w:rsid w:val="007428B5"/>
    <w:rsid w:val="00742A8A"/>
    <w:rsid w:val="00742E0F"/>
    <w:rsid w:val="00743334"/>
    <w:rsid w:val="00743643"/>
    <w:rsid w:val="00743E93"/>
    <w:rsid w:val="007441C3"/>
    <w:rsid w:val="00744886"/>
    <w:rsid w:val="00744DE2"/>
    <w:rsid w:val="00744F99"/>
    <w:rsid w:val="00745240"/>
    <w:rsid w:val="00745339"/>
    <w:rsid w:val="007457B7"/>
    <w:rsid w:val="00745BF3"/>
    <w:rsid w:val="00745F61"/>
    <w:rsid w:val="0074602D"/>
    <w:rsid w:val="0074613B"/>
    <w:rsid w:val="0074617B"/>
    <w:rsid w:val="00747064"/>
    <w:rsid w:val="007472EB"/>
    <w:rsid w:val="0074742E"/>
    <w:rsid w:val="007476B1"/>
    <w:rsid w:val="00747CE3"/>
    <w:rsid w:val="00747F2F"/>
    <w:rsid w:val="00750488"/>
    <w:rsid w:val="007504A8"/>
    <w:rsid w:val="0075057A"/>
    <w:rsid w:val="007507F3"/>
    <w:rsid w:val="00750F5C"/>
    <w:rsid w:val="0075120A"/>
    <w:rsid w:val="00751C01"/>
    <w:rsid w:val="00751DE8"/>
    <w:rsid w:val="00751E2E"/>
    <w:rsid w:val="00751E5D"/>
    <w:rsid w:val="00751FC5"/>
    <w:rsid w:val="00752151"/>
    <w:rsid w:val="00752F96"/>
    <w:rsid w:val="00753386"/>
    <w:rsid w:val="007534B0"/>
    <w:rsid w:val="00754242"/>
    <w:rsid w:val="007546A7"/>
    <w:rsid w:val="007548A8"/>
    <w:rsid w:val="00754B79"/>
    <w:rsid w:val="00755FF1"/>
    <w:rsid w:val="00756679"/>
    <w:rsid w:val="00756839"/>
    <w:rsid w:val="007569E6"/>
    <w:rsid w:val="00757588"/>
    <w:rsid w:val="007576BF"/>
    <w:rsid w:val="007577CB"/>
    <w:rsid w:val="00757C18"/>
    <w:rsid w:val="007607C6"/>
    <w:rsid w:val="00760DBE"/>
    <w:rsid w:val="0076147E"/>
    <w:rsid w:val="0076152D"/>
    <w:rsid w:val="00761922"/>
    <w:rsid w:val="00761CC4"/>
    <w:rsid w:val="00761F8E"/>
    <w:rsid w:val="007629CB"/>
    <w:rsid w:val="00763689"/>
    <w:rsid w:val="007636FE"/>
    <w:rsid w:val="007638BC"/>
    <w:rsid w:val="007645D9"/>
    <w:rsid w:val="00764942"/>
    <w:rsid w:val="00764D69"/>
    <w:rsid w:val="00764E4B"/>
    <w:rsid w:val="00765F60"/>
    <w:rsid w:val="007666E6"/>
    <w:rsid w:val="00766F71"/>
    <w:rsid w:val="007700BC"/>
    <w:rsid w:val="007700DB"/>
    <w:rsid w:val="007702A5"/>
    <w:rsid w:val="0077036E"/>
    <w:rsid w:val="00770426"/>
    <w:rsid w:val="00770625"/>
    <w:rsid w:val="00770992"/>
    <w:rsid w:val="007710CC"/>
    <w:rsid w:val="007711B7"/>
    <w:rsid w:val="00771319"/>
    <w:rsid w:val="00771373"/>
    <w:rsid w:val="007713B6"/>
    <w:rsid w:val="0077176B"/>
    <w:rsid w:val="00771CB5"/>
    <w:rsid w:val="00771E08"/>
    <w:rsid w:val="0077200B"/>
    <w:rsid w:val="0077264A"/>
    <w:rsid w:val="00772883"/>
    <w:rsid w:val="0077348C"/>
    <w:rsid w:val="0077369F"/>
    <w:rsid w:val="0077382E"/>
    <w:rsid w:val="00773839"/>
    <w:rsid w:val="00773C36"/>
    <w:rsid w:val="00774BEB"/>
    <w:rsid w:val="00774F9A"/>
    <w:rsid w:val="00775340"/>
    <w:rsid w:val="007753A2"/>
    <w:rsid w:val="00775A44"/>
    <w:rsid w:val="00775A84"/>
    <w:rsid w:val="0077604F"/>
    <w:rsid w:val="00776A4B"/>
    <w:rsid w:val="00776E42"/>
    <w:rsid w:val="00777006"/>
    <w:rsid w:val="00777035"/>
    <w:rsid w:val="007772D0"/>
    <w:rsid w:val="00777468"/>
    <w:rsid w:val="0077778A"/>
    <w:rsid w:val="00777844"/>
    <w:rsid w:val="00777A65"/>
    <w:rsid w:val="00777B27"/>
    <w:rsid w:val="00777DD5"/>
    <w:rsid w:val="00777EE2"/>
    <w:rsid w:val="00777F0E"/>
    <w:rsid w:val="007801EB"/>
    <w:rsid w:val="007806F0"/>
    <w:rsid w:val="00780A75"/>
    <w:rsid w:val="00780E1C"/>
    <w:rsid w:val="00780E90"/>
    <w:rsid w:val="0078102F"/>
    <w:rsid w:val="007810F8"/>
    <w:rsid w:val="00781187"/>
    <w:rsid w:val="00781CCC"/>
    <w:rsid w:val="007823E0"/>
    <w:rsid w:val="00782DDE"/>
    <w:rsid w:val="00782F6C"/>
    <w:rsid w:val="007835A4"/>
    <w:rsid w:val="00783690"/>
    <w:rsid w:val="007839F2"/>
    <w:rsid w:val="00783BE9"/>
    <w:rsid w:val="00783C20"/>
    <w:rsid w:val="00783DB2"/>
    <w:rsid w:val="00783E39"/>
    <w:rsid w:val="00783EAA"/>
    <w:rsid w:val="00783FD2"/>
    <w:rsid w:val="00784013"/>
    <w:rsid w:val="007840DD"/>
    <w:rsid w:val="007840FD"/>
    <w:rsid w:val="00784117"/>
    <w:rsid w:val="0078493B"/>
    <w:rsid w:val="00784B64"/>
    <w:rsid w:val="00784F95"/>
    <w:rsid w:val="00785425"/>
    <w:rsid w:val="00785479"/>
    <w:rsid w:val="00785753"/>
    <w:rsid w:val="00785B2F"/>
    <w:rsid w:val="00785EB6"/>
    <w:rsid w:val="00786A24"/>
    <w:rsid w:val="00786B42"/>
    <w:rsid w:val="00786BA1"/>
    <w:rsid w:val="00787211"/>
    <w:rsid w:val="007879E3"/>
    <w:rsid w:val="00787A66"/>
    <w:rsid w:val="00787BB0"/>
    <w:rsid w:val="00787C03"/>
    <w:rsid w:val="00787CA5"/>
    <w:rsid w:val="00787D76"/>
    <w:rsid w:val="00790262"/>
    <w:rsid w:val="00790397"/>
    <w:rsid w:val="0079070D"/>
    <w:rsid w:val="00790927"/>
    <w:rsid w:val="00790967"/>
    <w:rsid w:val="00790A19"/>
    <w:rsid w:val="007917BB"/>
    <w:rsid w:val="00791979"/>
    <w:rsid w:val="007919F9"/>
    <w:rsid w:val="00791D12"/>
    <w:rsid w:val="00791D59"/>
    <w:rsid w:val="00792D2F"/>
    <w:rsid w:val="00792DB9"/>
    <w:rsid w:val="0079332A"/>
    <w:rsid w:val="007939E6"/>
    <w:rsid w:val="00793E6A"/>
    <w:rsid w:val="007942E4"/>
    <w:rsid w:val="00794380"/>
    <w:rsid w:val="007944C6"/>
    <w:rsid w:val="007944F4"/>
    <w:rsid w:val="00794531"/>
    <w:rsid w:val="00794571"/>
    <w:rsid w:val="00794B5D"/>
    <w:rsid w:val="00794F75"/>
    <w:rsid w:val="0079507E"/>
    <w:rsid w:val="00795182"/>
    <w:rsid w:val="007956EA"/>
    <w:rsid w:val="00795757"/>
    <w:rsid w:val="00795D47"/>
    <w:rsid w:val="00796101"/>
    <w:rsid w:val="007962A3"/>
    <w:rsid w:val="00796434"/>
    <w:rsid w:val="0079655F"/>
    <w:rsid w:val="007965D4"/>
    <w:rsid w:val="00796929"/>
    <w:rsid w:val="00796974"/>
    <w:rsid w:val="00796A1A"/>
    <w:rsid w:val="007970B3"/>
    <w:rsid w:val="007974C8"/>
    <w:rsid w:val="0079752A"/>
    <w:rsid w:val="00797BD2"/>
    <w:rsid w:val="00797D23"/>
    <w:rsid w:val="00797EFC"/>
    <w:rsid w:val="007A04B4"/>
    <w:rsid w:val="007A06C4"/>
    <w:rsid w:val="007A08EB"/>
    <w:rsid w:val="007A0AED"/>
    <w:rsid w:val="007A0C7C"/>
    <w:rsid w:val="007A133B"/>
    <w:rsid w:val="007A1597"/>
    <w:rsid w:val="007A162B"/>
    <w:rsid w:val="007A1788"/>
    <w:rsid w:val="007A184A"/>
    <w:rsid w:val="007A1CD4"/>
    <w:rsid w:val="007A1FC2"/>
    <w:rsid w:val="007A2645"/>
    <w:rsid w:val="007A2D4B"/>
    <w:rsid w:val="007A2F59"/>
    <w:rsid w:val="007A39A5"/>
    <w:rsid w:val="007A3D6E"/>
    <w:rsid w:val="007A4318"/>
    <w:rsid w:val="007A448C"/>
    <w:rsid w:val="007A4ED0"/>
    <w:rsid w:val="007A5606"/>
    <w:rsid w:val="007A5701"/>
    <w:rsid w:val="007A5CDB"/>
    <w:rsid w:val="007A6360"/>
    <w:rsid w:val="007A6706"/>
    <w:rsid w:val="007A6D63"/>
    <w:rsid w:val="007A6F71"/>
    <w:rsid w:val="007A713B"/>
    <w:rsid w:val="007A7168"/>
    <w:rsid w:val="007A7E0E"/>
    <w:rsid w:val="007A7F67"/>
    <w:rsid w:val="007B00D7"/>
    <w:rsid w:val="007B0A5C"/>
    <w:rsid w:val="007B0CDD"/>
    <w:rsid w:val="007B0D37"/>
    <w:rsid w:val="007B10D8"/>
    <w:rsid w:val="007B1439"/>
    <w:rsid w:val="007B1AB3"/>
    <w:rsid w:val="007B1B45"/>
    <w:rsid w:val="007B1DE9"/>
    <w:rsid w:val="007B1FA9"/>
    <w:rsid w:val="007B25EC"/>
    <w:rsid w:val="007B37B4"/>
    <w:rsid w:val="007B3880"/>
    <w:rsid w:val="007B41A9"/>
    <w:rsid w:val="007B43BD"/>
    <w:rsid w:val="007B48DB"/>
    <w:rsid w:val="007B50E1"/>
    <w:rsid w:val="007B599D"/>
    <w:rsid w:val="007B621A"/>
    <w:rsid w:val="007B63A4"/>
    <w:rsid w:val="007B63EB"/>
    <w:rsid w:val="007B6554"/>
    <w:rsid w:val="007B6729"/>
    <w:rsid w:val="007B6840"/>
    <w:rsid w:val="007B6A5A"/>
    <w:rsid w:val="007B7289"/>
    <w:rsid w:val="007B795A"/>
    <w:rsid w:val="007B79E0"/>
    <w:rsid w:val="007B7AFF"/>
    <w:rsid w:val="007B7EFB"/>
    <w:rsid w:val="007C050E"/>
    <w:rsid w:val="007C0661"/>
    <w:rsid w:val="007C09CE"/>
    <w:rsid w:val="007C0AE7"/>
    <w:rsid w:val="007C0B0E"/>
    <w:rsid w:val="007C1808"/>
    <w:rsid w:val="007C1D4D"/>
    <w:rsid w:val="007C1E74"/>
    <w:rsid w:val="007C2800"/>
    <w:rsid w:val="007C28A0"/>
    <w:rsid w:val="007C29E8"/>
    <w:rsid w:val="007C2C6E"/>
    <w:rsid w:val="007C3064"/>
    <w:rsid w:val="007C35B1"/>
    <w:rsid w:val="007C38DB"/>
    <w:rsid w:val="007C3AB1"/>
    <w:rsid w:val="007C3F88"/>
    <w:rsid w:val="007C478F"/>
    <w:rsid w:val="007C4E07"/>
    <w:rsid w:val="007C5231"/>
    <w:rsid w:val="007C5AFC"/>
    <w:rsid w:val="007C5BD9"/>
    <w:rsid w:val="007C6244"/>
    <w:rsid w:val="007C6278"/>
    <w:rsid w:val="007C641D"/>
    <w:rsid w:val="007C6B0E"/>
    <w:rsid w:val="007C73B6"/>
    <w:rsid w:val="007C7882"/>
    <w:rsid w:val="007C78AD"/>
    <w:rsid w:val="007C7BA8"/>
    <w:rsid w:val="007C7DB2"/>
    <w:rsid w:val="007C7E86"/>
    <w:rsid w:val="007D1040"/>
    <w:rsid w:val="007D121E"/>
    <w:rsid w:val="007D142F"/>
    <w:rsid w:val="007D157E"/>
    <w:rsid w:val="007D1649"/>
    <w:rsid w:val="007D1798"/>
    <w:rsid w:val="007D1866"/>
    <w:rsid w:val="007D1B8F"/>
    <w:rsid w:val="007D1C81"/>
    <w:rsid w:val="007D286F"/>
    <w:rsid w:val="007D2EBD"/>
    <w:rsid w:val="007D316D"/>
    <w:rsid w:val="007D3786"/>
    <w:rsid w:val="007D4336"/>
    <w:rsid w:val="007D4462"/>
    <w:rsid w:val="007D44A6"/>
    <w:rsid w:val="007D49FF"/>
    <w:rsid w:val="007D4DBE"/>
    <w:rsid w:val="007D52B5"/>
    <w:rsid w:val="007D57F4"/>
    <w:rsid w:val="007D5F4D"/>
    <w:rsid w:val="007D6B1B"/>
    <w:rsid w:val="007D6B46"/>
    <w:rsid w:val="007D70D3"/>
    <w:rsid w:val="007D7172"/>
    <w:rsid w:val="007D75AF"/>
    <w:rsid w:val="007D7780"/>
    <w:rsid w:val="007D7889"/>
    <w:rsid w:val="007D7C4F"/>
    <w:rsid w:val="007E1262"/>
    <w:rsid w:val="007E14A9"/>
    <w:rsid w:val="007E14AC"/>
    <w:rsid w:val="007E1EEA"/>
    <w:rsid w:val="007E1FAA"/>
    <w:rsid w:val="007E2347"/>
    <w:rsid w:val="007E282F"/>
    <w:rsid w:val="007E2A45"/>
    <w:rsid w:val="007E2BFF"/>
    <w:rsid w:val="007E308E"/>
    <w:rsid w:val="007E3331"/>
    <w:rsid w:val="007E3441"/>
    <w:rsid w:val="007E3573"/>
    <w:rsid w:val="007E35B2"/>
    <w:rsid w:val="007E3B48"/>
    <w:rsid w:val="007E3CB0"/>
    <w:rsid w:val="007E3CDE"/>
    <w:rsid w:val="007E4401"/>
    <w:rsid w:val="007E485E"/>
    <w:rsid w:val="007E4F8F"/>
    <w:rsid w:val="007E5E36"/>
    <w:rsid w:val="007E5FA4"/>
    <w:rsid w:val="007E6230"/>
    <w:rsid w:val="007E624D"/>
    <w:rsid w:val="007E6688"/>
    <w:rsid w:val="007E6906"/>
    <w:rsid w:val="007E7055"/>
    <w:rsid w:val="007E760A"/>
    <w:rsid w:val="007E78CB"/>
    <w:rsid w:val="007E78F1"/>
    <w:rsid w:val="007E7B17"/>
    <w:rsid w:val="007E7E70"/>
    <w:rsid w:val="007E7F2E"/>
    <w:rsid w:val="007E7FF7"/>
    <w:rsid w:val="007F0B97"/>
    <w:rsid w:val="007F0C7B"/>
    <w:rsid w:val="007F0C92"/>
    <w:rsid w:val="007F0DF8"/>
    <w:rsid w:val="007F0ED0"/>
    <w:rsid w:val="007F10F8"/>
    <w:rsid w:val="007F151F"/>
    <w:rsid w:val="007F17DA"/>
    <w:rsid w:val="007F1F2A"/>
    <w:rsid w:val="007F20E5"/>
    <w:rsid w:val="007F216B"/>
    <w:rsid w:val="007F2228"/>
    <w:rsid w:val="007F23CA"/>
    <w:rsid w:val="007F27B1"/>
    <w:rsid w:val="007F2B1F"/>
    <w:rsid w:val="007F2C84"/>
    <w:rsid w:val="007F2F7F"/>
    <w:rsid w:val="007F3152"/>
    <w:rsid w:val="007F33A4"/>
    <w:rsid w:val="007F376A"/>
    <w:rsid w:val="007F39F7"/>
    <w:rsid w:val="007F3B40"/>
    <w:rsid w:val="007F408A"/>
    <w:rsid w:val="007F4311"/>
    <w:rsid w:val="007F4688"/>
    <w:rsid w:val="007F47F0"/>
    <w:rsid w:val="007F4C3E"/>
    <w:rsid w:val="007F56FC"/>
    <w:rsid w:val="007F5726"/>
    <w:rsid w:val="007F577E"/>
    <w:rsid w:val="007F5BA8"/>
    <w:rsid w:val="007F5E6E"/>
    <w:rsid w:val="007F600D"/>
    <w:rsid w:val="007F64CC"/>
    <w:rsid w:val="007F6A77"/>
    <w:rsid w:val="007F6B94"/>
    <w:rsid w:val="007F6CFA"/>
    <w:rsid w:val="007F6E0D"/>
    <w:rsid w:val="007F6E37"/>
    <w:rsid w:val="007F7797"/>
    <w:rsid w:val="007F7805"/>
    <w:rsid w:val="007F7A62"/>
    <w:rsid w:val="007F7ACE"/>
    <w:rsid w:val="007F7B62"/>
    <w:rsid w:val="007F7C81"/>
    <w:rsid w:val="007F7CA2"/>
    <w:rsid w:val="008002BF"/>
    <w:rsid w:val="00800644"/>
    <w:rsid w:val="008006CE"/>
    <w:rsid w:val="008008D4"/>
    <w:rsid w:val="00800A54"/>
    <w:rsid w:val="00800C41"/>
    <w:rsid w:val="00800D01"/>
    <w:rsid w:val="00800EE0"/>
    <w:rsid w:val="008015E8"/>
    <w:rsid w:val="008018DD"/>
    <w:rsid w:val="00801F21"/>
    <w:rsid w:val="0080231E"/>
    <w:rsid w:val="008026CE"/>
    <w:rsid w:val="00802C29"/>
    <w:rsid w:val="00802D7E"/>
    <w:rsid w:val="0080322A"/>
    <w:rsid w:val="0080335C"/>
    <w:rsid w:val="008038BE"/>
    <w:rsid w:val="00803BB0"/>
    <w:rsid w:val="00803CA6"/>
    <w:rsid w:val="008041A0"/>
    <w:rsid w:val="008044AA"/>
    <w:rsid w:val="008046B9"/>
    <w:rsid w:val="00804773"/>
    <w:rsid w:val="00804789"/>
    <w:rsid w:val="00804B3B"/>
    <w:rsid w:val="00804D86"/>
    <w:rsid w:val="00804F99"/>
    <w:rsid w:val="00804FF2"/>
    <w:rsid w:val="0080501B"/>
    <w:rsid w:val="00805296"/>
    <w:rsid w:val="00805495"/>
    <w:rsid w:val="00805993"/>
    <w:rsid w:val="00805FB0"/>
    <w:rsid w:val="008062A4"/>
    <w:rsid w:val="00806993"/>
    <w:rsid w:val="008069AA"/>
    <w:rsid w:val="00806D13"/>
    <w:rsid w:val="00807194"/>
    <w:rsid w:val="0080730A"/>
    <w:rsid w:val="008073C3"/>
    <w:rsid w:val="00807851"/>
    <w:rsid w:val="00807EA4"/>
    <w:rsid w:val="00810030"/>
    <w:rsid w:val="00810033"/>
    <w:rsid w:val="00810088"/>
    <w:rsid w:val="008109A8"/>
    <w:rsid w:val="00810EAA"/>
    <w:rsid w:val="0081126F"/>
    <w:rsid w:val="00811404"/>
    <w:rsid w:val="0081165B"/>
    <w:rsid w:val="00811ACB"/>
    <w:rsid w:val="00811DDA"/>
    <w:rsid w:val="00811F5B"/>
    <w:rsid w:val="0081206B"/>
    <w:rsid w:val="0081263E"/>
    <w:rsid w:val="00812A31"/>
    <w:rsid w:val="0081303D"/>
    <w:rsid w:val="0081349E"/>
    <w:rsid w:val="00813998"/>
    <w:rsid w:val="00813D83"/>
    <w:rsid w:val="0081439F"/>
    <w:rsid w:val="0081441F"/>
    <w:rsid w:val="0081467D"/>
    <w:rsid w:val="00814C43"/>
    <w:rsid w:val="00815263"/>
    <w:rsid w:val="00815723"/>
    <w:rsid w:val="0081573D"/>
    <w:rsid w:val="008159BD"/>
    <w:rsid w:val="00816626"/>
    <w:rsid w:val="00816C61"/>
    <w:rsid w:val="00817063"/>
    <w:rsid w:val="008171EB"/>
    <w:rsid w:val="0081741D"/>
    <w:rsid w:val="00817657"/>
    <w:rsid w:val="00817836"/>
    <w:rsid w:val="00820021"/>
    <w:rsid w:val="00820189"/>
    <w:rsid w:val="008202C9"/>
    <w:rsid w:val="0082068C"/>
    <w:rsid w:val="0082070D"/>
    <w:rsid w:val="008208E3"/>
    <w:rsid w:val="00820DED"/>
    <w:rsid w:val="00821198"/>
    <w:rsid w:val="00821293"/>
    <w:rsid w:val="00821406"/>
    <w:rsid w:val="0082181B"/>
    <w:rsid w:val="00821D12"/>
    <w:rsid w:val="00821FCD"/>
    <w:rsid w:val="00821FE4"/>
    <w:rsid w:val="00822215"/>
    <w:rsid w:val="0082278A"/>
    <w:rsid w:val="00822912"/>
    <w:rsid w:val="00822E2F"/>
    <w:rsid w:val="00823764"/>
    <w:rsid w:val="00823A1D"/>
    <w:rsid w:val="00823FE5"/>
    <w:rsid w:val="00824757"/>
    <w:rsid w:val="00824A36"/>
    <w:rsid w:val="00824CF6"/>
    <w:rsid w:val="00824E8C"/>
    <w:rsid w:val="00825B65"/>
    <w:rsid w:val="00825D97"/>
    <w:rsid w:val="00826052"/>
    <w:rsid w:val="0082693B"/>
    <w:rsid w:val="00826A39"/>
    <w:rsid w:val="00826BF6"/>
    <w:rsid w:val="00826CB8"/>
    <w:rsid w:val="00826D6C"/>
    <w:rsid w:val="00826E8B"/>
    <w:rsid w:val="0082731B"/>
    <w:rsid w:val="00827420"/>
    <w:rsid w:val="008276B8"/>
    <w:rsid w:val="0082786B"/>
    <w:rsid w:val="008279A8"/>
    <w:rsid w:val="00827C5E"/>
    <w:rsid w:val="00830081"/>
    <w:rsid w:val="008309F2"/>
    <w:rsid w:val="00830D91"/>
    <w:rsid w:val="0083144E"/>
    <w:rsid w:val="00831568"/>
    <w:rsid w:val="0083179F"/>
    <w:rsid w:val="00831931"/>
    <w:rsid w:val="0083247D"/>
    <w:rsid w:val="00832642"/>
    <w:rsid w:val="008329FD"/>
    <w:rsid w:val="00832D81"/>
    <w:rsid w:val="00832DC0"/>
    <w:rsid w:val="00832E04"/>
    <w:rsid w:val="00832F5B"/>
    <w:rsid w:val="008332BA"/>
    <w:rsid w:val="00834544"/>
    <w:rsid w:val="0083488E"/>
    <w:rsid w:val="0083489A"/>
    <w:rsid w:val="00834D59"/>
    <w:rsid w:val="00834D92"/>
    <w:rsid w:val="00834DD9"/>
    <w:rsid w:val="00834F73"/>
    <w:rsid w:val="008350D8"/>
    <w:rsid w:val="0083532B"/>
    <w:rsid w:val="00835357"/>
    <w:rsid w:val="00835ADD"/>
    <w:rsid w:val="00836096"/>
    <w:rsid w:val="008369D9"/>
    <w:rsid w:val="00836C01"/>
    <w:rsid w:val="00836C82"/>
    <w:rsid w:val="008371E1"/>
    <w:rsid w:val="008378B2"/>
    <w:rsid w:val="008379A1"/>
    <w:rsid w:val="00837BE8"/>
    <w:rsid w:val="00837C21"/>
    <w:rsid w:val="00840336"/>
    <w:rsid w:val="00840371"/>
    <w:rsid w:val="008406E8"/>
    <w:rsid w:val="00840D1A"/>
    <w:rsid w:val="0084156C"/>
    <w:rsid w:val="008415A3"/>
    <w:rsid w:val="008419F2"/>
    <w:rsid w:val="008420D8"/>
    <w:rsid w:val="00842100"/>
    <w:rsid w:val="0084321C"/>
    <w:rsid w:val="0084385E"/>
    <w:rsid w:val="00843D39"/>
    <w:rsid w:val="00844209"/>
    <w:rsid w:val="00844746"/>
    <w:rsid w:val="00844E90"/>
    <w:rsid w:val="00845545"/>
    <w:rsid w:val="00845618"/>
    <w:rsid w:val="008459EB"/>
    <w:rsid w:val="00845A1F"/>
    <w:rsid w:val="00845FD8"/>
    <w:rsid w:val="00846291"/>
    <w:rsid w:val="008462F4"/>
    <w:rsid w:val="0084699B"/>
    <w:rsid w:val="00846B65"/>
    <w:rsid w:val="00846B86"/>
    <w:rsid w:val="00846C55"/>
    <w:rsid w:val="00846DD0"/>
    <w:rsid w:val="00846E74"/>
    <w:rsid w:val="00846FA3"/>
    <w:rsid w:val="00847680"/>
    <w:rsid w:val="008478F6"/>
    <w:rsid w:val="00847CC5"/>
    <w:rsid w:val="00847CDD"/>
    <w:rsid w:val="00847E78"/>
    <w:rsid w:val="0085006E"/>
    <w:rsid w:val="008500CB"/>
    <w:rsid w:val="00850790"/>
    <w:rsid w:val="00850961"/>
    <w:rsid w:val="00850D0C"/>
    <w:rsid w:val="00850E60"/>
    <w:rsid w:val="00851078"/>
    <w:rsid w:val="00851627"/>
    <w:rsid w:val="00851772"/>
    <w:rsid w:val="008518F5"/>
    <w:rsid w:val="00851F66"/>
    <w:rsid w:val="008521B1"/>
    <w:rsid w:val="00852CD1"/>
    <w:rsid w:val="008533C1"/>
    <w:rsid w:val="00853462"/>
    <w:rsid w:val="008540CD"/>
    <w:rsid w:val="00854931"/>
    <w:rsid w:val="00854B62"/>
    <w:rsid w:val="00855276"/>
    <w:rsid w:val="008552F2"/>
    <w:rsid w:val="00855666"/>
    <w:rsid w:val="00855A47"/>
    <w:rsid w:val="00855ABD"/>
    <w:rsid w:val="00855D46"/>
    <w:rsid w:val="00856091"/>
    <w:rsid w:val="00856454"/>
    <w:rsid w:val="0085694F"/>
    <w:rsid w:val="00856EC0"/>
    <w:rsid w:val="008575C4"/>
    <w:rsid w:val="00857ABD"/>
    <w:rsid w:val="00857BC7"/>
    <w:rsid w:val="00857C48"/>
    <w:rsid w:val="008600F9"/>
    <w:rsid w:val="0086089A"/>
    <w:rsid w:val="00860BE9"/>
    <w:rsid w:val="00861024"/>
    <w:rsid w:val="008610E9"/>
    <w:rsid w:val="0086127D"/>
    <w:rsid w:val="008612D8"/>
    <w:rsid w:val="00861612"/>
    <w:rsid w:val="0086179E"/>
    <w:rsid w:val="00861A90"/>
    <w:rsid w:val="00861AF1"/>
    <w:rsid w:val="00861B2D"/>
    <w:rsid w:val="00861CE3"/>
    <w:rsid w:val="00861EA1"/>
    <w:rsid w:val="0086211A"/>
    <w:rsid w:val="008621A3"/>
    <w:rsid w:val="00862BC2"/>
    <w:rsid w:val="00862C1F"/>
    <w:rsid w:val="0086320F"/>
    <w:rsid w:val="008632E5"/>
    <w:rsid w:val="0086335D"/>
    <w:rsid w:val="008634DA"/>
    <w:rsid w:val="00863690"/>
    <w:rsid w:val="008638F6"/>
    <w:rsid w:val="00863EEE"/>
    <w:rsid w:val="00864636"/>
    <w:rsid w:val="00864AA6"/>
    <w:rsid w:val="00864AF7"/>
    <w:rsid w:val="00864C93"/>
    <w:rsid w:val="00865059"/>
    <w:rsid w:val="0086558B"/>
    <w:rsid w:val="008657E9"/>
    <w:rsid w:val="00865AD9"/>
    <w:rsid w:val="00865B21"/>
    <w:rsid w:val="0086622A"/>
    <w:rsid w:val="00866298"/>
    <w:rsid w:val="00867078"/>
    <w:rsid w:val="00867099"/>
    <w:rsid w:val="008671B8"/>
    <w:rsid w:val="00867860"/>
    <w:rsid w:val="00867B9A"/>
    <w:rsid w:val="00867BA1"/>
    <w:rsid w:val="00867C04"/>
    <w:rsid w:val="00867EEE"/>
    <w:rsid w:val="008705D9"/>
    <w:rsid w:val="008708BA"/>
    <w:rsid w:val="00870A31"/>
    <w:rsid w:val="00870A7D"/>
    <w:rsid w:val="00871C1C"/>
    <w:rsid w:val="00871ED3"/>
    <w:rsid w:val="00873657"/>
    <w:rsid w:val="008736BD"/>
    <w:rsid w:val="008737BE"/>
    <w:rsid w:val="008739E7"/>
    <w:rsid w:val="00873A77"/>
    <w:rsid w:val="00874545"/>
    <w:rsid w:val="008745BB"/>
    <w:rsid w:val="008746A7"/>
    <w:rsid w:val="00874B70"/>
    <w:rsid w:val="00874C21"/>
    <w:rsid w:val="00874CFA"/>
    <w:rsid w:val="00875035"/>
    <w:rsid w:val="00875148"/>
    <w:rsid w:val="00875383"/>
    <w:rsid w:val="0087590A"/>
    <w:rsid w:val="00875A9E"/>
    <w:rsid w:val="00875B70"/>
    <w:rsid w:val="00875E5B"/>
    <w:rsid w:val="00875FC2"/>
    <w:rsid w:val="00876240"/>
    <w:rsid w:val="008762AA"/>
    <w:rsid w:val="00876314"/>
    <w:rsid w:val="0087651D"/>
    <w:rsid w:val="0087678A"/>
    <w:rsid w:val="00876841"/>
    <w:rsid w:val="00876B79"/>
    <w:rsid w:val="00876DA2"/>
    <w:rsid w:val="00876DF1"/>
    <w:rsid w:val="00877369"/>
    <w:rsid w:val="008774BF"/>
    <w:rsid w:val="00877708"/>
    <w:rsid w:val="00877976"/>
    <w:rsid w:val="00877CC0"/>
    <w:rsid w:val="00877FD7"/>
    <w:rsid w:val="008802E5"/>
    <w:rsid w:val="00880AF8"/>
    <w:rsid w:val="00880E65"/>
    <w:rsid w:val="00880F6B"/>
    <w:rsid w:val="00881735"/>
    <w:rsid w:val="00881F79"/>
    <w:rsid w:val="00882E11"/>
    <w:rsid w:val="00882F65"/>
    <w:rsid w:val="008835A9"/>
    <w:rsid w:val="00883884"/>
    <w:rsid w:val="008838FB"/>
    <w:rsid w:val="008846D8"/>
    <w:rsid w:val="00884C77"/>
    <w:rsid w:val="00884F9D"/>
    <w:rsid w:val="0088500D"/>
    <w:rsid w:val="00885065"/>
    <w:rsid w:val="008856C2"/>
    <w:rsid w:val="00885CDB"/>
    <w:rsid w:val="00885CFD"/>
    <w:rsid w:val="00885E64"/>
    <w:rsid w:val="0088604D"/>
    <w:rsid w:val="008860B3"/>
    <w:rsid w:val="00886A10"/>
    <w:rsid w:val="00886D2E"/>
    <w:rsid w:val="00886E79"/>
    <w:rsid w:val="008873C7"/>
    <w:rsid w:val="008874F4"/>
    <w:rsid w:val="00887B2A"/>
    <w:rsid w:val="00887B92"/>
    <w:rsid w:val="00887DE9"/>
    <w:rsid w:val="00890383"/>
    <w:rsid w:val="0089039D"/>
    <w:rsid w:val="00890762"/>
    <w:rsid w:val="00890E96"/>
    <w:rsid w:val="00890EBC"/>
    <w:rsid w:val="008912DA"/>
    <w:rsid w:val="00891310"/>
    <w:rsid w:val="0089170A"/>
    <w:rsid w:val="00891858"/>
    <w:rsid w:val="00891DCF"/>
    <w:rsid w:val="00892395"/>
    <w:rsid w:val="0089266A"/>
    <w:rsid w:val="008927DB"/>
    <w:rsid w:val="00892901"/>
    <w:rsid w:val="00893130"/>
    <w:rsid w:val="008931F6"/>
    <w:rsid w:val="00893258"/>
    <w:rsid w:val="008932D3"/>
    <w:rsid w:val="008935D7"/>
    <w:rsid w:val="00893691"/>
    <w:rsid w:val="00893B4B"/>
    <w:rsid w:val="00893BE5"/>
    <w:rsid w:val="00893EA6"/>
    <w:rsid w:val="00893F26"/>
    <w:rsid w:val="00893F33"/>
    <w:rsid w:val="0089401E"/>
    <w:rsid w:val="00894044"/>
    <w:rsid w:val="0089491B"/>
    <w:rsid w:val="00894ABA"/>
    <w:rsid w:val="00894EDA"/>
    <w:rsid w:val="00895231"/>
    <w:rsid w:val="0089553C"/>
    <w:rsid w:val="00895EC6"/>
    <w:rsid w:val="00895FDB"/>
    <w:rsid w:val="008968FC"/>
    <w:rsid w:val="00896AC2"/>
    <w:rsid w:val="008970D8"/>
    <w:rsid w:val="0089718B"/>
    <w:rsid w:val="00897B03"/>
    <w:rsid w:val="00897E18"/>
    <w:rsid w:val="00897F5D"/>
    <w:rsid w:val="008A03E3"/>
    <w:rsid w:val="008A0AD0"/>
    <w:rsid w:val="008A0DCE"/>
    <w:rsid w:val="008A1055"/>
    <w:rsid w:val="008A16EB"/>
    <w:rsid w:val="008A1CB0"/>
    <w:rsid w:val="008A1D21"/>
    <w:rsid w:val="008A209F"/>
    <w:rsid w:val="008A272D"/>
    <w:rsid w:val="008A2E11"/>
    <w:rsid w:val="008A2F51"/>
    <w:rsid w:val="008A2FA8"/>
    <w:rsid w:val="008A3036"/>
    <w:rsid w:val="008A37C4"/>
    <w:rsid w:val="008A38FB"/>
    <w:rsid w:val="008A3CC5"/>
    <w:rsid w:val="008A4117"/>
    <w:rsid w:val="008A4177"/>
    <w:rsid w:val="008A4AA4"/>
    <w:rsid w:val="008A4AE2"/>
    <w:rsid w:val="008A4C1E"/>
    <w:rsid w:val="008A529D"/>
    <w:rsid w:val="008A52A3"/>
    <w:rsid w:val="008A5789"/>
    <w:rsid w:val="008A5950"/>
    <w:rsid w:val="008A6481"/>
    <w:rsid w:val="008A7C05"/>
    <w:rsid w:val="008A7DA6"/>
    <w:rsid w:val="008B017E"/>
    <w:rsid w:val="008B049B"/>
    <w:rsid w:val="008B0DCC"/>
    <w:rsid w:val="008B1171"/>
    <w:rsid w:val="008B14E2"/>
    <w:rsid w:val="008B1CAE"/>
    <w:rsid w:val="008B1ED6"/>
    <w:rsid w:val="008B2585"/>
    <w:rsid w:val="008B2CD0"/>
    <w:rsid w:val="008B2D6B"/>
    <w:rsid w:val="008B2F16"/>
    <w:rsid w:val="008B32AA"/>
    <w:rsid w:val="008B34B0"/>
    <w:rsid w:val="008B3EF8"/>
    <w:rsid w:val="008B42CD"/>
    <w:rsid w:val="008B4365"/>
    <w:rsid w:val="008B481C"/>
    <w:rsid w:val="008B4C34"/>
    <w:rsid w:val="008B516C"/>
    <w:rsid w:val="008B55D4"/>
    <w:rsid w:val="008B6325"/>
    <w:rsid w:val="008B6590"/>
    <w:rsid w:val="008B670E"/>
    <w:rsid w:val="008B6881"/>
    <w:rsid w:val="008B6D1C"/>
    <w:rsid w:val="008B6DBB"/>
    <w:rsid w:val="008B7138"/>
    <w:rsid w:val="008B7290"/>
    <w:rsid w:val="008B7659"/>
    <w:rsid w:val="008B77D4"/>
    <w:rsid w:val="008B797C"/>
    <w:rsid w:val="008B7C4A"/>
    <w:rsid w:val="008B7CCD"/>
    <w:rsid w:val="008C0581"/>
    <w:rsid w:val="008C0A92"/>
    <w:rsid w:val="008C0E0D"/>
    <w:rsid w:val="008C0F68"/>
    <w:rsid w:val="008C1B06"/>
    <w:rsid w:val="008C21BA"/>
    <w:rsid w:val="008C22EF"/>
    <w:rsid w:val="008C26C4"/>
    <w:rsid w:val="008C2778"/>
    <w:rsid w:val="008C281A"/>
    <w:rsid w:val="008C2848"/>
    <w:rsid w:val="008C2E6C"/>
    <w:rsid w:val="008C3625"/>
    <w:rsid w:val="008C3850"/>
    <w:rsid w:val="008C3952"/>
    <w:rsid w:val="008C3A4F"/>
    <w:rsid w:val="008C3C10"/>
    <w:rsid w:val="008C3CEE"/>
    <w:rsid w:val="008C3F20"/>
    <w:rsid w:val="008C4044"/>
    <w:rsid w:val="008C4219"/>
    <w:rsid w:val="008C453F"/>
    <w:rsid w:val="008C4A5E"/>
    <w:rsid w:val="008C4A6F"/>
    <w:rsid w:val="008C4CBC"/>
    <w:rsid w:val="008C4F50"/>
    <w:rsid w:val="008C556C"/>
    <w:rsid w:val="008C5965"/>
    <w:rsid w:val="008C5C82"/>
    <w:rsid w:val="008C6BB7"/>
    <w:rsid w:val="008C6EC3"/>
    <w:rsid w:val="008C70B3"/>
    <w:rsid w:val="008C71B1"/>
    <w:rsid w:val="008C7206"/>
    <w:rsid w:val="008C7596"/>
    <w:rsid w:val="008C7FD6"/>
    <w:rsid w:val="008D0508"/>
    <w:rsid w:val="008D0A2F"/>
    <w:rsid w:val="008D0F1B"/>
    <w:rsid w:val="008D1623"/>
    <w:rsid w:val="008D196D"/>
    <w:rsid w:val="008D1C2E"/>
    <w:rsid w:val="008D203B"/>
    <w:rsid w:val="008D278B"/>
    <w:rsid w:val="008D27B8"/>
    <w:rsid w:val="008D2A5A"/>
    <w:rsid w:val="008D3316"/>
    <w:rsid w:val="008D3558"/>
    <w:rsid w:val="008D4269"/>
    <w:rsid w:val="008D428C"/>
    <w:rsid w:val="008D436D"/>
    <w:rsid w:val="008D452F"/>
    <w:rsid w:val="008D478E"/>
    <w:rsid w:val="008D4DB0"/>
    <w:rsid w:val="008D554A"/>
    <w:rsid w:val="008D5997"/>
    <w:rsid w:val="008D6775"/>
    <w:rsid w:val="008D67D8"/>
    <w:rsid w:val="008D6A17"/>
    <w:rsid w:val="008D6D77"/>
    <w:rsid w:val="008D7482"/>
    <w:rsid w:val="008D7A1D"/>
    <w:rsid w:val="008D7CE0"/>
    <w:rsid w:val="008D7DA8"/>
    <w:rsid w:val="008D7F83"/>
    <w:rsid w:val="008E04BE"/>
    <w:rsid w:val="008E0B3E"/>
    <w:rsid w:val="008E0DEF"/>
    <w:rsid w:val="008E1202"/>
    <w:rsid w:val="008E1432"/>
    <w:rsid w:val="008E1552"/>
    <w:rsid w:val="008E1781"/>
    <w:rsid w:val="008E19AC"/>
    <w:rsid w:val="008E1D2E"/>
    <w:rsid w:val="008E20AB"/>
    <w:rsid w:val="008E22DB"/>
    <w:rsid w:val="008E241C"/>
    <w:rsid w:val="008E25E9"/>
    <w:rsid w:val="008E2775"/>
    <w:rsid w:val="008E2AC1"/>
    <w:rsid w:val="008E2DFE"/>
    <w:rsid w:val="008E2F5E"/>
    <w:rsid w:val="008E305E"/>
    <w:rsid w:val="008E30EB"/>
    <w:rsid w:val="008E3B32"/>
    <w:rsid w:val="008E3CD0"/>
    <w:rsid w:val="008E3F2E"/>
    <w:rsid w:val="008E3FA3"/>
    <w:rsid w:val="008E400A"/>
    <w:rsid w:val="008E4030"/>
    <w:rsid w:val="008E4B65"/>
    <w:rsid w:val="008E4F31"/>
    <w:rsid w:val="008E5DF7"/>
    <w:rsid w:val="008E5FAC"/>
    <w:rsid w:val="008E6108"/>
    <w:rsid w:val="008E618C"/>
    <w:rsid w:val="008E6613"/>
    <w:rsid w:val="008E673D"/>
    <w:rsid w:val="008E696B"/>
    <w:rsid w:val="008E69F1"/>
    <w:rsid w:val="008E6FDC"/>
    <w:rsid w:val="008E72D2"/>
    <w:rsid w:val="008E72E8"/>
    <w:rsid w:val="008E7731"/>
    <w:rsid w:val="008E7A91"/>
    <w:rsid w:val="008F01E2"/>
    <w:rsid w:val="008F0613"/>
    <w:rsid w:val="008F06E9"/>
    <w:rsid w:val="008F09A6"/>
    <w:rsid w:val="008F0B72"/>
    <w:rsid w:val="008F0D56"/>
    <w:rsid w:val="008F0FF9"/>
    <w:rsid w:val="008F112B"/>
    <w:rsid w:val="008F18AB"/>
    <w:rsid w:val="008F19A9"/>
    <w:rsid w:val="008F1E01"/>
    <w:rsid w:val="008F21EE"/>
    <w:rsid w:val="008F2957"/>
    <w:rsid w:val="008F2B8E"/>
    <w:rsid w:val="008F2BB4"/>
    <w:rsid w:val="008F3043"/>
    <w:rsid w:val="008F3F70"/>
    <w:rsid w:val="008F4096"/>
    <w:rsid w:val="008F414C"/>
    <w:rsid w:val="008F42E0"/>
    <w:rsid w:val="008F4724"/>
    <w:rsid w:val="008F4EA0"/>
    <w:rsid w:val="008F4F52"/>
    <w:rsid w:val="008F5072"/>
    <w:rsid w:val="008F52D9"/>
    <w:rsid w:val="008F568A"/>
    <w:rsid w:val="008F5B17"/>
    <w:rsid w:val="008F5C38"/>
    <w:rsid w:val="008F5FF7"/>
    <w:rsid w:val="008F6300"/>
    <w:rsid w:val="008F641B"/>
    <w:rsid w:val="008F654E"/>
    <w:rsid w:val="008F6BE8"/>
    <w:rsid w:val="008F74F3"/>
    <w:rsid w:val="008F7653"/>
    <w:rsid w:val="008F7669"/>
    <w:rsid w:val="008F7841"/>
    <w:rsid w:val="008F7BD9"/>
    <w:rsid w:val="00900ED7"/>
    <w:rsid w:val="009011FE"/>
    <w:rsid w:val="0090158A"/>
    <w:rsid w:val="0090176A"/>
    <w:rsid w:val="0090262A"/>
    <w:rsid w:val="009026C9"/>
    <w:rsid w:val="00902712"/>
    <w:rsid w:val="009027F9"/>
    <w:rsid w:val="00903365"/>
    <w:rsid w:val="00903542"/>
    <w:rsid w:val="0090362B"/>
    <w:rsid w:val="0090383C"/>
    <w:rsid w:val="00903C3A"/>
    <w:rsid w:val="00904211"/>
    <w:rsid w:val="00904696"/>
    <w:rsid w:val="009049CA"/>
    <w:rsid w:val="00904A55"/>
    <w:rsid w:val="0090516F"/>
    <w:rsid w:val="00905265"/>
    <w:rsid w:val="0090538C"/>
    <w:rsid w:val="00905706"/>
    <w:rsid w:val="00905CE7"/>
    <w:rsid w:val="00905F38"/>
    <w:rsid w:val="00906449"/>
    <w:rsid w:val="00906682"/>
    <w:rsid w:val="009069E9"/>
    <w:rsid w:val="00906A45"/>
    <w:rsid w:val="00906B23"/>
    <w:rsid w:val="00906BF5"/>
    <w:rsid w:val="009072D8"/>
    <w:rsid w:val="00907ADA"/>
    <w:rsid w:val="00907B53"/>
    <w:rsid w:val="00907BBD"/>
    <w:rsid w:val="00910193"/>
    <w:rsid w:val="009104F9"/>
    <w:rsid w:val="009111CE"/>
    <w:rsid w:val="009113CE"/>
    <w:rsid w:val="00911520"/>
    <w:rsid w:val="00911ABE"/>
    <w:rsid w:val="0091211A"/>
    <w:rsid w:val="009121C2"/>
    <w:rsid w:val="00912539"/>
    <w:rsid w:val="009127EA"/>
    <w:rsid w:val="00912CB9"/>
    <w:rsid w:val="00912D51"/>
    <w:rsid w:val="009131BB"/>
    <w:rsid w:val="00913B3B"/>
    <w:rsid w:val="00913DC3"/>
    <w:rsid w:val="009140B0"/>
    <w:rsid w:val="0091419A"/>
    <w:rsid w:val="0091438B"/>
    <w:rsid w:val="00914B8A"/>
    <w:rsid w:val="00914DBD"/>
    <w:rsid w:val="009150CE"/>
    <w:rsid w:val="009151F4"/>
    <w:rsid w:val="009154AB"/>
    <w:rsid w:val="00915EBC"/>
    <w:rsid w:val="00915F58"/>
    <w:rsid w:val="009164E0"/>
    <w:rsid w:val="00916571"/>
    <w:rsid w:val="0091657D"/>
    <w:rsid w:val="009166D9"/>
    <w:rsid w:val="009167D8"/>
    <w:rsid w:val="00916E49"/>
    <w:rsid w:val="00916F50"/>
    <w:rsid w:val="009179B2"/>
    <w:rsid w:val="00917A9C"/>
    <w:rsid w:val="00917AA7"/>
    <w:rsid w:val="00917EDD"/>
    <w:rsid w:val="009200B9"/>
    <w:rsid w:val="0092019F"/>
    <w:rsid w:val="00920877"/>
    <w:rsid w:val="0092102D"/>
    <w:rsid w:val="009212B3"/>
    <w:rsid w:val="00921CA9"/>
    <w:rsid w:val="00921D6A"/>
    <w:rsid w:val="00921F06"/>
    <w:rsid w:val="00921FF4"/>
    <w:rsid w:val="00922181"/>
    <w:rsid w:val="00922544"/>
    <w:rsid w:val="0092258A"/>
    <w:rsid w:val="00922F55"/>
    <w:rsid w:val="00923337"/>
    <w:rsid w:val="009236B8"/>
    <w:rsid w:val="00923A1B"/>
    <w:rsid w:val="0092425F"/>
    <w:rsid w:val="009244EF"/>
    <w:rsid w:val="009245AC"/>
    <w:rsid w:val="00924C74"/>
    <w:rsid w:val="0092563F"/>
    <w:rsid w:val="0092598E"/>
    <w:rsid w:val="00925AF1"/>
    <w:rsid w:val="00925BD0"/>
    <w:rsid w:val="00926AF6"/>
    <w:rsid w:val="00926E16"/>
    <w:rsid w:val="00927344"/>
    <w:rsid w:val="0092757C"/>
    <w:rsid w:val="00927750"/>
    <w:rsid w:val="009308D7"/>
    <w:rsid w:val="00930BE8"/>
    <w:rsid w:val="00930DC7"/>
    <w:rsid w:val="009310CE"/>
    <w:rsid w:val="009310ED"/>
    <w:rsid w:val="00931220"/>
    <w:rsid w:val="009314FD"/>
    <w:rsid w:val="009316E1"/>
    <w:rsid w:val="00931915"/>
    <w:rsid w:val="00931C56"/>
    <w:rsid w:val="00931C72"/>
    <w:rsid w:val="00931DC5"/>
    <w:rsid w:val="00931DEC"/>
    <w:rsid w:val="00932136"/>
    <w:rsid w:val="0093248A"/>
    <w:rsid w:val="0093260F"/>
    <w:rsid w:val="00932AB0"/>
    <w:rsid w:val="00932ADB"/>
    <w:rsid w:val="00933B65"/>
    <w:rsid w:val="00933C2B"/>
    <w:rsid w:val="00933C41"/>
    <w:rsid w:val="00934B8E"/>
    <w:rsid w:val="00934E41"/>
    <w:rsid w:val="00934E9D"/>
    <w:rsid w:val="0093541D"/>
    <w:rsid w:val="009359BA"/>
    <w:rsid w:val="00935BBE"/>
    <w:rsid w:val="009372CB"/>
    <w:rsid w:val="009373C3"/>
    <w:rsid w:val="009374F2"/>
    <w:rsid w:val="00937618"/>
    <w:rsid w:val="00937F7D"/>
    <w:rsid w:val="00940243"/>
    <w:rsid w:val="00940274"/>
    <w:rsid w:val="009405A8"/>
    <w:rsid w:val="0094062E"/>
    <w:rsid w:val="0094079E"/>
    <w:rsid w:val="009407D9"/>
    <w:rsid w:val="00940B90"/>
    <w:rsid w:val="00940F6E"/>
    <w:rsid w:val="0094105D"/>
    <w:rsid w:val="0094173A"/>
    <w:rsid w:val="00941B2D"/>
    <w:rsid w:val="00941C94"/>
    <w:rsid w:val="009420ED"/>
    <w:rsid w:val="0094275F"/>
    <w:rsid w:val="009428D5"/>
    <w:rsid w:val="00942D48"/>
    <w:rsid w:val="00942D6A"/>
    <w:rsid w:val="00942DCA"/>
    <w:rsid w:val="00943180"/>
    <w:rsid w:val="009431BD"/>
    <w:rsid w:val="00943889"/>
    <w:rsid w:val="00943B89"/>
    <w:rsid w:val="00943C48"/>
    <w:rsid w:val="00943DA3"/>
    <w:rsid w:val="00943F99"/>
    <w:rsid w:val="009441D1"/>
    <w:rsid w:val="009442C3"/>
    <w:rsid w:val="00944534"/>
    <w:rsid w:val="009448D0"/>
    <w:rsid w:val="00944BE7"/>
    <w:rsid w:val="009451B1"/>
    <w:rsid w:val="00945275"/>
    <w:rsid w:val="00945330"/>
    <w:rsid w:val="0094540E"/>
    <w:rsid w:val="0094544D"/>
    <w:rsid w:val="0094573D"/>
    <w:rsid w:val="009457AA"/>
    <w:rsid w:val="00945841"/>
    <w:rsid w:val="00945859"/>
    <w:rsid w:val="009458F2"/>
    <w:rsid w:val="00945DE3"/>
    <w:rsid w:val="0094651A"/>
    <w:rsid w:val="009465BD"/>
    <w:rsid w:val="0094661E"/>
    <w:rsid w:val="009467FC"/>
    <w:rsid w:val="00946C83"/>
    <w:rsid w:val="0094711B"/>
    <w:rsid w:val="0094756F"/>
    <w:rsid w:val="00947A6C"/>
    <w:rsid w:val="00947D05"/>
    <w:rsid w:val="00950222"/>
    <w:rsid w:val="00950647"/>
    <w:rsid w:val="00950C5E"/>
    <w:rsid w:val="00950F41"/>
    <w:rsid w:val="00951257"/>
    <w:rsid w:val="00951507"/>
    <w:rsid w:val="009516E0"/>
    <w:rsid w:val="00951AEE"/>
    <w:rsid w:val="00952888"/>
    <w:rsid w:val="00952D8D"/>
    <w:rsid w:val="00952FEF"/>
    <w:rsid w:val="009532AF"/>
    <w:rsid w:val="00953483"/>
    <w:rsid w:val="009535FC"/>
    <w:rsid w:val="00953625"/>
    <w:rsid w:val="009542C7"/>
    <w:rsid w:val="009542F3"/>
    <w:rsid w:val="00954639"/>
    <w:rsid w:val="00954758"/>
    <w:rsid w:val="00954825"/>
    <w:rsid w:val="009549A5"/>
    <w:rsid w:val="00954AC5"/>
    <w:rsid w:val="00954B2B"/>
    <w:rsid w:val="00954D7E"/>
    <w:rsid w:val="00954F21"/>
    <w:rsid w:val="00954FFA"/>
    <w:rsid w:val="009550E6"/>
    <w:rsid w:val="00955620"/>
    <w:rsid w:val="00956593"/>
    <w:rsid w:val="009567C0"/>
    <w:rsid w:val="00956C56"/>
    <w:rsid w:val="009572C2"/>
    <w:rsid w:val="00957483"/>
    <w:rsid w:val="009578EE"/>
    <w:rsid w:val="009600AC"/>
    <w:rsid w:val="009600D5"/>
    <w:rsid w:val="00960758"/>
    <w:rsid w:val="00960A2E"/>
    <w:rsid w:val="009614A0"/>
    <w:rsid w:val="009615C5"/>
    <w:rsid w:val="009615CA"/>
    <w:rsid w:val="00961C4F"/>
    <w:rsid w:val="00961D8E"/>
    <w:rsid w:val="0096231E"/>
    <w:rsid w:val="00962783"/>
    <w:rsid w:val="009627C5"/>
    <w:rsid w:val="009630B5"/>
    <w:rsid w:val="009635F3"/>
    <w:rsid w:val="00963906"/>
    <w:rsid w:val="0096397C"/>
    <w:rsid w:val="009648FB"/>
    <w:rsid w:val="00965463"/>
    <w:rsid w:val="00965963"/>
    <w:rsid w:val="0096611B"/>
    <w:rsid w:val="00966322"/>
    <w:rsid w:val="0096649E"/>
    <w:rsid w:val="0096681A"/>
    <w:rsid w:val="00966C7B"/>
    <w:rsid w:val="00966DB5"/>
    <w:rsid w:val="00966FB4"/>
    <w:rsid w:val="00967B3C"/>
    <w:rsid w:val="00967FE0"/>
    <w:rsid w:val="00970669"/>
    <w:rsid w:val="009707E0"/>
    <w:rsid w:val="00970D89"/>
    <w:rsid w:val="00970EB3"/>
    <w:rsid w:val="00971182"/>
    <w:rsid w:val="00971A08"/>
    <w:rsid w:val="009720C8"/>
    <w:rsid w:val="009721B9"/>
    <w:rsid w:val="009721FC"/>
    <w:rsid w:val="00972525"/>
    <w:rsid w:val="0097271F"/>
    <w:rsid w:val="0097279C"/>
    <w:rsid w:val="00972972"/>
    <w:rsid w:val="00972C5F"/>
    <w:rsid w:val="0097322A"/>
    <w:rsid w:val="0097348B"/>
    <w:rsid w:val="00973BCE"/>
    <w:rsid w:val="009744A6"/>
    <w:rsid w:val="00974591"/>
    <w:rsid w:val="009747D5"/>
    <w:rsid w:val="00975083"/>
    <w:rsid w:val="0097554B"/>
    <w:rsid w:val="00975652"/>
    <w:rsid w:val="009759CD"/>
    <w:rsid w:val="00975A1D"/>
    <w:rsid w:val="00975BDE"/>
    <w:rsid w:val="00975BFB"/>
    <w:rsid w:val="00975FAF"/>
    <w:rsid w:val="00976A16"/>
    <w:rsid w:val="00976D9A"/>
    <w:rsid w:val="0097799F"/>
    <w:rsid w:val="00977C8F"/>
    <w:rsid w:val="00977D4D"/>
    <w:rsid w:val="00977D6B"/>
    <w:rsid w:val="009803F4"/>
    <w:rsid w:val="0098050E"/>
    <w:rsid w:val="0098070B"/>
    <w:rsid w:val="00980ABC"/>
    <w:rsid w:val="00981996"/>
    <w:rsid w:val="00981B3C"/>
    <w:rsid w:val="00981F41"/>
    <w:rsid w:val="0098207F"/>
    <w:rsid w:val="009824F8"/>
    <w:rsid w:val="00982EC6"/>
    <w:rsid w:val="00983050"/>
    <w:rsid w:val="009830D5"/>
    <w:rsid w:val="00983C85"/>
    <w:rsid w:val="00983D1A"/>
    <w:rsid w:val="0098437A"/>
    <w:rsid w:val="0098439E"/>
    <w:rsid w:val="009844ED"/>
    <w:rsid w:val="00984537"/>
    <w:rsid w:val="00984795"/>
    <w:rsid w:val="00984808"/>
    <w:rsid w:val="00984875"/>
    <w:rsid w:val="00984ADA"/>
    <w:rsid w:val="009850BD"/>
    <w:rsid w:val="00985139"/>
    <w:rsid w:val="0098587D"/>
    <w:rsid w:val="00986024"/>
    <w:rsid w:val="0098632A"/>
    <w:rsid w:val="009869A7"/>
    <w:rsid w:val="00986AD7"/>
    <w:rsid w:val="009873B3"/>
    <w:rsid w:val="0098778C"/>
    <w:rsid w:val="00987A8F"/>
    <w:rsid w:val="00987C0E"/>
    <w:rsid w:val="009902C9"/>
    <w:rsid w:val="009904CE"/>
    <w:rsid w:val="009907BF"/>
    <w:rsid w:val="00990B5B"/>
    <w:rsid w:val="009911FB"/>
    <w:rsid w:val="00991583"/>
    <w:rsid w:val="00992100"/>
    <w:rsid w:val="009925DC"/>
    <w:rsid w:val="00992823"/>
    <w:rsid w:val="0099283C"/>
    <w:rsid w:val="00992D9D"/>
    <w:rsid w:val="0099308F"/>
    <w:rsid w:val="0099354D"/>
    <w:rsid w:val="0099390B"/>
    <w:rsid w:val="00993B18"/>
    <w:rsid w:val="0099456A"/>
    <w:rsid w:val="00994924"/>
    <w:rsid w:val="009949FD"/>
    <w:rsid w:val="00994C27"/>
    <w:rsid w:val="0099522B"/>
    <w:rsid w:val="00995306"/>
    <w:rsid w:val="009956FF"/>
    <w:rsid w:val="00995978"/>
    <w:rsid w:val="0099597C"/>
    <w:rsid w:val="00995AE9"/>
    <w:rsid w:val="00995B94"/>
    <w:rsid w:val="00995C59"/>
    <w:rsid w:val="00995E08"/>
    <w:rsid w:val="00996527"/>
    <w:rsid w:val="00996716"/>
    <w:rsid w:val="00996789"/>
    <w:rsid w:val="009977DC"/>
    <w:rsid w:val="00997B0B"/>
    <w:rsid w:val="00997FAA"/>
    <w:rsid w:val="009A094B"/>
    <w:rsid w:val="009A0F16"/>
    <w:rsid w:val="009A11DD"/>
    <w:rsid w:val="009A1644"/>
    <w:rsid w:val="009A278D"/>
    <w:rsid w:val="009A2888"/>
    <w:rsid w:val="009A29B0"/>
    <w:rsid w:val="009A2A98"/>
    <w:rsid w:val="009A2CD0"/>
    <w:rsid w:val="009A2DBC"/>
    <w:rsid w:val="009A3657"/>
    <w:rsid w:val="009A3B74"/>
    <w:rsid w:val="009A3ED8"/>
    <w:rsid w:val="009A41F4"/>
    <w:rsid w:val="009A4AA8"/>
    <w:rsid w:val="009A4D76"/>
    <w:rsid w:val="009A4FAD"/>
    <w:rsid w:val="009A56D2"/>
    <w:rsid w:val="009A5B81"/>
    <w:rsid w:val="009A5C2F"/>
    <w:rsid w:val="009A61B8"/>
    <w:rsid w:val="009A61F8"/>
    <w:rsid w:val="009A68BC"/>
    <w:rsid w:val="009A70EA"/>
    <w:rsid w:val="009A7108"/>
    <w:rsid w:val="009A7CFE"/>
    <w:rsid w:val="009B013A"/>
    <w:rsid w:val="009B02F7"/>
    <w:rsid w:val="009B081B"/>
    <w:rsid w:val="009B0CED"/>
    <w:rsid w:val="009B0D31"/>
    <w:rsid w:val="009B0F6F"/>
    <w:rsid w:val="009B1442"/>
    <w:rsid w:val="009B163B"/>
    <w:rsid w:val="009B21D7"/>
    <w:rsid w:val="009B2499"/>
    <w:rsid w:val="009B29B4"/>
    <w:rsid w:val="009B340E"/>
    <w:rsid w:val="009B3811"/>
    <w:rsid w:val="009B3A06"/>
    <w:rsid w:val="009B3BB7"/>
    <w:rsid w:val="009B3FC6"/>
    <w:rsid w:val="009B43E1"/>
    <w:rsid w:val="009B45AA"/>
    <w:rsid w:val="009B4788"/>
    <w:rsid w:val="009B48AA"/>
    <w:rsid w:val="009B492E"/>
    <w:rsid w:val="009B4B90"/>
    <w:rsid w:val="009B4DAD"/>
    <w:rsid w:val="009B4E8F"/>
    <w:rsid w:val="009B502D"/>
    <w:rsid w:val="009B57AF"/>
    <w:rsid w:val="009B58D1"/>
    <w:rsid w:val="009B6453"/>
    <w:rsid w:val="009B6624"/>
    <w:rsid w:val="009B666E"/>
    <w:rsid w:val="009B66AF"/>
    <w:rsid w:val="009B6742"/>
    <w:rsid w:val="009B696D"/>
    <w:rsid w:val="009B69B9"/>
    <w:rsid w:val="009B6E65"/>
    <w:rsid w:val="009B6F63"/>
    <w:rsid w:val="009B7219"/>
    <w:rsid w:val="009B7490"/>
    <w:rsid w:val="009B7713"/>
    <w:rsid w:val="009B7AF4"/>
    <w:rsid w:val="009B7F6D"/>
    <w:rsid w:val="009C10C5"/>
    <w:rsid w:val="009C147C"/>
    <w:rsid w:val="009C1B9A"/>
    <w:rsid w:val="009C20A6"/>
    <w:rsid w:val="009C265D"/>
    <w:rsid w:val="009C29CF"/>
    <w:rsid w:val="009C2DE3"/>
    <w:rsid w:val="009C2F11"/>
    <w:rsid w:val="009C3014"/>
    <w:rsid w:val="009C302F"/>
    <w:rsid w:val="009C319D"/>
    <w:rsid w:val="009C3324"/>
    <w:rsid w:val="009C3486"/>
    <w:rsid w:val="009C44B2"/>
    <w:rsid w:val="009C45F7"/>
    <w:rsid w:val="009C46F6"/>
    <w:rsid w:val="009C49D3"/>
    <w:rsid w:val="009C4A25"/>
    <w:rsid w:val="009C4A4B"/>
    <w:rsid w:val="009C54F6"/>
    <w:rsid w:val="009C56F7"/>
    <w:rsid w:val="009C5AB4"/>
    <w:rsid w:val="009C5B47"/>
    <w:rsid w:val="009C62EC"/>
    <w:rsid w:val="009C67BC"/>
    <w:rsid w:val="009C6B3F"/>
    <w:rsid w:val="009C6CB7"/>
    <w:rsid w:val="009C75E6"/>
    <w:rsid w:val="009C7A1F"/>
    <w:rsid w:val="009D0368"/>
    <w:rsid w:val="009D069F"/>
    <w:rsid w:val="009D072E"/>
    <w:rsid w:val="009D093E"/>
    <w:rsid w:val="009D0B6B"/>
    <w:rsid w:val="009D0DBF"/>
    <w:rsid w:val="009D0E5D"/>
    <w:rsid w:val="009D11AF"/>
    <w:rsid w:val="009D1442"/>
    <w:rsid w:val="009D1492"/>
    <w:rsid w:val="009D19B1"/>
    <w:rsid w:val="009D1CF6"/>
    <w:rsid w:val="009D1D81"/>
    <w:rsid w:val="009D2223"/>
    <w:rsid w:val="009D2514"/>
    <w:rsid w:val="009D2550"/>
    <w:rsid w:val="009D2A51"/>
    <w:rsid w:val="009D2D2E"/>
    <w:rsid w:val="009D2EB2"/>
    <w:rsid w:val="009D30F9"/>
    <w:rsid w:val="009D3625"/>
    <w:rsid w:val="009D382A"/>
    <w:rsid w:val="009D46F2"/>
    <w:rsid w:val="009D4911"/>
    <w:rsid w:val="009D4965"/>
    <w:rsid w:val="009D4B15"/>
    <w:rsid w:val="009D5600"/>
    <w:rsid w:val="009D57C3"/>
    <w:rsid w:val="009D5D31"/>
    <w:rsid w:val="009D642E"/>
    <w:rsid w:val="009D6B40"/>
    <w:rsid w:val="009D6BAA"/>
    <w:rsid w:val="009D6C5E"/>
    <w:rsid w:val="009D6E1C"/>
    <w:rsid w:val="009D733C"/>
    <w:rsid w:val="009D755F"/>
    <w:rsid w:val="009D76CC"/>
    <w:rsid w:val="009D7A14"/>
    <w:rsid w:val="009D7A1E"/>
    <w:rsid w:val="009D7A2C"/>
    <w:rsid w:val="009D7A94"/>
    <w:rsid w:val="009D7B8D"/>
    <w:rsid w:val="009E00AB"/>
    <w:rsid w:val="009E00E4"/>
    <w:rsid w:val="009E01C4"/>
    <w:rsid w:val="009E0622"/>
    <w:rsid w:val="009E0BDA"/>
    <w:rsid w:val="009E0D54"/>
    <w:rsid w:val="009E0DCE"/>
    <w:rsid w:val="009E1235"/>
    <w:rsid w:val="009E1723"/>
    <w:rsid w:val="009E1882"/>
    <w:rsid w:val="009E1AB9"/>
    <w:rsid w:val="009E1AEB"/>
    <w:rsid w:val="009E1CE2"/>
    <w:rsid w:val="009E20D0"/>
    <w:rsid w:val="009E27D4"/>
    <w:rsid w:val="009E2E01"/>
    <w:rsid w:val="009E356D"/>
    <w:rsid w:val="009E361A"/>
    <w:rsid w:val="009E3A29"/>
    <w:rsid w:val="009E44CD"/>
    <w:rsid w:val="009E4656"/>
    <w:rsid w:val="009E4795"/>
    <w:rsid w:val="009E4A11"/>
    <w:rsid w:val="009E5528"/>
    <w:rsid w:val="009E552E"/>
    <w:rsid w:val="009E5A03"/>
    <w:rsid w:val="009E5ACD"/>
    <w:rsid w:val="009E5E68"/>
    <w:rsid w:val="009E5EF7"/>
    <w:rsid w:val="009E626D"/>
    <w:rsid w:val="009E67C2"/>
    <w:rsid w:val="009E7466"/>
    <w:rsid w:val="009E7507"/>
    <w:rsid w:val="009E77E6"/>
    <w:rsid w:val="009F022F"/>
    <w:rsid w:val="009F08E8"/>
    <w:rsid w:val="009F09D8"/>
    <w:rsid w:val="009F0FC5"/>
    <w:rsid w:val="009F15DD"/>
    <w:rsid w:val="009F1770"/>
    <w:rsid w:val="009F191E"/>
    <w:rsid w:val="009F1FF4"/>
    <w:rsid w:val="009F202A"/>
    <w:rsid w:val="009F2182"/>
    <w:rsid w:val="009F2767"/>
    <w:rsid w:val="009F2785"/>
    <w:rsid w:val="009F3411"/>
    <w:rsid w:val="009F3570"/>
    <w:rsid w:val="009F3778"/>
    <w:rsid w:val="009F37EF"/>
    <w:rsid w:val="009F3976"/>
    <w:rsid w:val="009F4122"/>
    <w:rsid w:val="009F4490"/>
    <w:rsid w:val="009F4A78"/>
    <w:rsid w:val="009F4CD7"/>
    <w:rsid w:val="009F4D57"/>
    <w:rsid w:val="009F4FD3"/>
    <w:rsid w:val="009F525C"/>
    <w:rsid w:val="009F5443"/>
    <w:rsid w:val="009F551E"/>
    <w:rsid w:val="009F554E"/>
    <w:rsid w:val="009F55E7"/>
    <w:rsid w:val="009F580D"/>
    <w:rsid w:val="009F5DFB"/>
    <w:rsid w:val="009F5EF8"/>
    <w:rsid w:val="009F604E"/>
    <w:rsid w:val="009F632C"/>
    <w:rsid w:val="009F66C0"/>
    <w:rsid w:val="009F697B"/>
    <w:rsid w:val="009F6D61"/>
    <w:rsid w:val="009F767E"/>
    <w:rsid w:val="009F7A79"/>
    <w:rsid w:val="009F7A9F"/>
    <w:rsid w:val="00A000D9"/>
    <w:rsid w:val="00A0021A"/>
    <w:rsid w:val="00A003A5"/>
    <w:rsid w:val="00A0076A"/>
    <w:rsid w:val="00A00E04"/>
    <w:rsid w:val="00A01178"/>
    <w:rsid w:val="00A01508"/>
    <w:rsid w:val="00A01753"/>
    <w:rsid w:val="00A01860"/>
    <w:rsid w:val="00A01990"/>
    <w:rsid w:val="00A01E09"/>
    <w:rsid w:val="00A01E0B"/>
    <w:rsid w:val="00A01E79"/>
    <w:rsid w:val="00A02010"/>
    <w:rsid w:val="00A02468"/>
    <w:rsid w:val="00A024F6"/>
    <w:rsid w:val="00A02A5A"/>
    <w:rsid w:val="00A033B2"/>
    <w:rsid w:val="00A037FE"/>
    <w:rsid w:val="00A041A4"/>
    <w:rsid w:val="00A04579"/>
    <w:rsid w:val="00A04B26"/>
    <w:rsid w:val="00A04C65"/>
    <w:rsid w:val="00A04CD4"/>
    <w:rsid w:val="00A0529F"/>
    <w:rsid w:val="00A05718"/>
    <w:rsid w:val="00A05995"/>
    <w:rsid w:val="00A05DC6"/>
    <w:rsid w:val="00A05E3D"/>
    <w:rsid w:val="00A05E9D"/>
    <w:rsid w:val="00A06038"/>
    <w:rsid w:val="00A061C5"/>
    <w:rsid w:val="00A06774"/>
    <w:rsid w:val="00A06ABC"/>
    <w:rsid w:val="00A0714A"/>
    <w:rsid w:val="00A072B6"/>
    <w:rsid w:val="00A07886"/>
    <w:rsid w:val="00A07CB4"/>
    <w:rsid w:val="00A102EF"/>
    <w:rsid w:val="00A10431"/>
    <w:rsid w:val="00A1050F"/>
    <w:rsid w:val="00A10548"/>
    <w:rsid w:val="00A106DB"/>
    <w:rsid w:val="00A10967"/>
    <w:rsid w:val="00A10E39"/>
    <w:rsid w:val="00A10F64"/>
    <w:rsid w:val="00A1107D"/>
    <w:rsid w:val="00A11097"/>
    <w:rsid w:val="00A11145"/>
    <w:rsid w:val="00A1118B"/>
    <w:rsid w:val="00A112EA"/>
    <w:rsid w:val="00A11660"/>
    <w:rsid w:val="00A116EB"/>
    <w:rsid w:val="00A118D9"/>
    <w:rsid w:val="00A11D19"/>
    <w:rsid w:val="00A1200A"/>
    <w:rsid w:val="00A120F3"/>
    <w:rsid w:val="00A1226A"/>
    <w:rsid w:val="00A12679"/>
    <w:rsid w:val="00A12A55"/>
    <w:rsid w:val="00A12B71"/>
    <w:rsid w:val="00A12EAD"/>
    <w:rsid w:val="00A12F16"/>
    <w:rsid w:val="00A13799"/>
    <w:rsid w:val="00A13AA9"/>
    <w:rsid w:val="00A13BCF"/>
    <w:rsid w:val="00A143C1"/>
    <w:rsid w:val="00A14524"/>
    <w:rsid w:val="00A149FD"/>
    <w:rsid w:val="00A14BAE"/>
    <w:rsid w:val="00A1533A"/>
    <w:rsid w:val="00A153F5"/>
    <w:rsid w:val="00A15743"/>
    <w:rsid w:val="00A1592D"/>
    <w:rsid w:val="00A15F36"/>
    <w:rsid w:val="00A15F49"/>
    <w:rsid w:val="00A16039"/>
    <w:rsid w:val="00A17434"/>
    <w:rsid w:val="00A17A1A"/>
    <w:rsid w:val="00A20629"/>
    <w:rsid w:val="00A20691"/>
    <w:rsid w:val="00A2089B"/>
    <w:rsid w:val="00A21440"/>
    <w:rsid w:val="00A21545"/>
    <w:rsid w:val="00A219C7"/>
    <w:rsid w:val="00A21FF5"/>
    <w:rsid w:val="00A225CC"/>
    <w:rsid w:val="00A2303D"/>
    <w:rsid w:val="00A23093"/>
    <w:rsid w:val="00A2319B"/>
    <w:rsid w:val="00A23B57"/>
    <w:rsid w:val="00A23D44"/>
    <w:rsid w:val="00A23FA7"/>
    <w:rsid w:val="00A24153"/>
    <w:rsid w:val="00A2431D"/>
    <w:rsid w:val="00A24DDF"/>
    <w:rsid w:val="00A253A6"/>
    <w:rsid w:val="00A26BE1"/>
    <w:rsid w:val="00A26D75"/>
    <w:rsid w:val="00A26D91"/>
    <w:rsid w:val="00A2746E"/>
    <w:rsid w:val="00A274EB"/>
    <w:rsid w:val="00A276AA"/>
    <w:rsid w:val="00A27A42"/>
    <w:rsid w:val="00A27A46"/>
    <w:rsid w:val="00A30230"/>
    <w:rsid w:val="00A3051F"/>
    <w:rsid w:val="00A306A4"/>
    <w:rsid w:val="00A30810"/>
    <w:rsid w:val="00A308FE"/>
    <w:rsid w:val="00A30BF5"/>
    <w:rsid w:val="00A30D1B"/>
    <w:rsid w:val="00A30F44"/>
    <w:rsid w:val="00A312CB"/>
    <w:rsid w:val="00A317D4"/>
    <w:rsid w:val="00A3198D"/>
    <w:rsid w:val="00A31BF1"/>
    <w:rsid w:val="00A32435"/>
    <w:rsid w:val="00A32537"/>
    <w:rsid w:val="00A32843"/>
    <w:rsid w:val="00A328B2"/>
    <w:rsid w:val="00A328FF"/>
    <w:rsid w:val="00A32A0A"/>
    <w:rsid w:val="00A32B2F"/>
    <w:rsid w:val="00A333D2"/>
    <w:rsid w:val="00A33633"/>
    <w:rsid w:val="00A34599"/>
    <w:rsid w:val="00A345FA"/>
    <w:rsid w:val="00A346E5"/>
    <w:rsid w:val="00A34B4A"/>
    <w:rsid w:val="00A34D66"/>
    <w:rsid w:val="00A35402"/>
    <w:rsid w:val="00A35478"/>
    <w:rsid w:val="00A357F3"/>
    <w:rsid w:val="00A35E32"/>
    <w:rsid w:val="00A360AE"/>
    <w:rsid w:val="00A3642F"/>
    <w:rsid w:val="00A36722"/>
    <w:rsid w:val="00A367D3"/>
    <w:rsid w:val="00A368AC"/>
    <w:rsid w:val="00A36A90"/>
    <w:rsid w:val="00A36A9E"/>
    <w:rsid w:val="00A36AE4"/>
    <w:rsid w:val="00A36F75"/>
    <w:rsid w:val="00A37528"/>
    <w:rsid w:val="00A37545"/>
    <w:rsid w:val="00A400C7"/>
    <w:rsid w:val="00A4046C"/>
    <w:rsid w:val="00A409E3"/>
    <w:rsid w:val="00A40D1A"/>
    <w:rsid w:val="00A41731"/>
    <w:rsid w:val="00A41C9A"/>
    <w:rsid w:val="00A41DE9"/>
    <w:rsid w:val="00A4209E"/>
    <w:rsid w:val="00A42A3D"/>
    <w:rsid w:val="00A42AA9"/>
    <w:rsid w:val="00A42CF3"/>
    <w:rsid w:val="00A4330A"/>
    <w:rsid w:val="00A43326"/>
    <w:rsid w:val="00A4372D"/>
    <w:rsid w:val="00A4401B"/>
    <w:rsid w:val="00A44223"/>
    <w:rsid w:val="00A4445D"/>
    <w:rsid w:val="00A44624"/>
    <w:rsid w:val="00A44AD1"/>
    <w:rsid w:val="00A4501D"/>
    <w:rsid w:val="00A4502E"/>
    <w:rsid w:val="00A450AC"/>
    <w:rsid w:val="00A451A1"/>
    <w:rsid w:val="00A451DC"/>
    <w:rsid w:val="00A4524E"/>
    <w:rsid w:val="00A45425"/>
    <w:rsid w:val="00A457A2"/>
    <w:rsid w:val="00A45DAF"/>
    <w:rsid w:val="00A4613F"/>
    <w:rsid w:val="00A46153"/>
    <w:rsid w:val="00A46676"/>
    <w:rsid w:val="00A469F6"/>
    <w:rsid w:val="00A46D35"/>
    <w:rsid w:val="00A470F0"/>
    <w:rsid w:val="00A47148"/>
    <w:rsid w:val="00A4725D"/>
    <w:rsid w:val="00A476C2"/>
    <w:rsid w:val="00A47D47"/>
    <w:rsid w:val="00A50029"/>
    <w:rsid w:val="00A500C4"/>
    <w:rsid w:val="00A5045D"/>
    <w:rsid w:val="00A50C3E"/>
    <w:rsid w:val="00A50F5A"/>
    <w:rsid w:val="00A50F69"/>
    <w:rsid w:val="00A51011"/>
    <w:rsid w:val="00A5129D"/>
    <w:rsid w:val="00A5141C"/>
    <w:rsid w:val="00A51827"/>
    <w:rsid w:val="00A5234C"/>
    <w:rsid w:val="00A5278C"/>
    <w:rsid w:val="00A529E7"/>
    <w:rsid w:val="00A52B19"/>
    <w:rsid w:val="00A52C53"/>
    <w:rsid w:val="00A53470"/>
    <w:rsid w:val="00A539E8"/>
    <w:rsid w:val="00A53AAD"/>
    <w:rsid w:val="00A53AE9"/>
    <w:rsid w:val="00A53EFB"/>
    <w:rsid w:val="00A53FCB"/>
    <w:rsid w:val="00A53FE3"/>
    <w:rsid w:val="00A54802"/>
    <w:rsid w:val="00A54D40"/>
    <w:rsid w:val="00A54DED"/>
    <w:rsid w:val="00A553F3"/>
    <w:rsid w:val="00A55988"/>
    <w:rsid w:val="00A56A19"/>
    <w:rsid w:val="00A570E1"/>
    <w:rsid w:val="00A57A35"/>
    <w:rsid w:val="00A57A57"/>
    <w:rsid w:val="00A57C8D"/>
    <w:rsid w:val="00A57F2A"/>
    <w:rsid w:val="00A60589"/>
    <w:rsid w:val="00A605B9"/>
    <w:rsid w:val="00A60852"/>
    <w:rsid w:val="00A60A52"/>
    <w:rsid w:val="00A6188B"/>
    <w:rsid w:val="00A618AE"/>
    <w:rsid w:val="00A6194B"/>
    <w:rsid w:val="00A61A30"/>
    <w:rsid w:val="00A620A3"/>
    <w:rsid w:val="00A62927"/>
    <w:rsid w:val="00A62C2A"/>
    <w:rsid w:val="00A63313"/>
    <w:rsid w:val="00A633F0"/>
    <w:rsid w:val="00A634D2"/>
    <w:rsid w:val="00A6436F"/>
    <w:rsid w:val="00A6439E"/>
    <w:rsid w:val="00A644B3"/>
    <w:rsid w:val="00A64B38"/>
    <w:rsid w:val="00A64C2C"/>
    <w:rsid w:val="00A64E7E"/>
    <w:rsid w:val="00A65083"/>
    <w:rsid w:val="00A65087"/>
    <w:rsid w:val="00A650A8"/>
    <w:rsid w:val="00A65242"/>
    <w:rsid w:val="00A6531E"/>
    <w:rsid w:val="00A656FC"/>
    <w:rsid w:val="00A66196"/>
    <w:rsid w:val="00A66546"/>
    <w:rsid w:val="00A6677D"/>
    <w:rsid w:val="00A66B0E"/>
    <w:rsid w:val="00A67053"/>
    <w:rsid w:val="00A673FB"/>
    <w:rsid w:val="00A67559"/>
    <w:rsid w:val="00A677EA"/>
    <w:rsid w:val="00A67CAD"/>
    <w:rsid w:val="00A70322"/>
    <w:rsid w:val="00A70395"/>
    <w:rsid w:val="00A7092A"/>
    <w:rsid w:val="00A70DB8"/>
    <w:rsid w:val="00A70FEC"/>
    <w:rsid w:val="00A71BEB"/>
    <w:rsid w:val="00A71C34"/>
    <w:rsid w:val="00A71DAB"/>
    <w:rsid w:val="00A71EE2"/>
    <w:rsid w:val="00A7202F"/>
    <w:rsid w:val="00A72606"/>
    <w:rsid w:val="00A72627"/>
    <w:rsid w:val="00A72973"/>
    <w:rsid w:val="00A72ADA"/>
    <w:rsid w:val="00A72C69"/>
    <w:rsid w:val="00A72CCF"/>
    <w:rsid w:val="00A730B3"/>
    <w:rsid w:val="00A7315B"/>
    <w:rsid w:val="00A7340F"/>
    <w:rsid w:val="00A73509"/>
    <w:rsid w:val="00A737F3"/>
    <w:rsid w:val="00A73A24"/>
    <w:rsid w:val="00A73B24"/>
    <w:rsid w:val="00A73F3A"/>
    <w:rsid w:val="00A7400C"/>
    <w:rsid w:val="00A746AB"/>
    <w:rsid w:val="00A74885"/>
    <w:rsid w:val="00A74A2B"/>
    <w:rsid w:val="00A74E42"/>
    <w:rsid w:val="00A74F93"/>
    <w:rsid w:val="00A75652"/>
    <w:rsid w:val="00A75A4C"/>
    <w:rsid w:val="00A7656D"/>
    <w:rsid w:val="00A76950"/>
    <w:rsid w:val="00A76B24"/>
    <w:rsid w:val="00A76CA3"/>
    <w:rsid w:val="00A76CE0"/>
    <w:rsid w:val="00A76D9E"/>
    <w:rsid w:val="00A76DC8"/>
    <w:rsid w:val="00A77774"/>
    <w:rsid w:val="00A779F6"/>
    <w:rsid w:val="00A804BC"/>
    <w:rsid w:val="00A80731"/>
    <w:rsid w:val="00A807C8"/>
    <w:rsid w:val="00A80AB5"/>
    <w:rsid w:val="00A811EC"/>
    <w:rsid w:val="00A81C70"/>
    <w:rsid w:val="00A82686"/>
    <w:rsid w:val="00A826B9"/>
    <w:rsid w:val="00A8284D"/>
    <w:rsid w:val="00A82D80"/>
    <w:rsid w:val="00A83232"/>
    <w:rsid w:val="00A8323B"/>
    <w:rsid w:val="00A8331A"/>
    <w:rsid w:val="00A83609"/>
    <w:rsid w:val="00A83E00"/>
    <w:rsid w:val="00A83F48"/>
    <w:rsid w:val="00A840AB"/>
    <w:rsid w:val="00A843D1"/>
    <w:rsid w:val="00A8464A"/>
    <w:rsid w:val="00A84823"/>
    <w:rsid w:val="00A848C6"/>
    <w:rsid w:val="00A849BB"/>
    <w:rsid w:val="00A84B7B"/>
    <w:rsid w:val="00A84F14"/>
    <w:rsid w:val="00A85202"/>
    <w:rsid w:val="00A85450"/>
    <w:rsid w:val="00A85539"/>
    <w:rsid w:val="00A85654"/>
    <w:rsid w:val="00A85930"/>
    <w:rsid w:val="00A85A61"/>
    <w:rsid w:val="00A85DE0"/>
    <w:rsid w:val="00A8608E"/>
    <w:rsid w:val="00A8615A"/>
    <w:rsid w:val="00A865DC"/>
    <w:rsid w:val="00A86616"/>
    <w:rsid w:val="00A86E39"/>
    <w:rsid w:val="00A8706E"/>
    <w:rsid w:val="00A905E4"/>
    <w:rsid w:val="00A90C8E"/>
    <w:rsid w:val="00A913D1"/>
    <w:rsid w:val="00A916FB"/>
    <w:rsid w:val="00A91A92"/>
    <w:rsid w:val="00A91ADD"/>
    <w:rsid w:val="00A9211F"/>
    <w:rsid w:val="00A9226C"/>
    <w:rsid w:val="00A92524"/>
    <w:rsid w:val="00A92BC0"/>
    <w:rsid w:val="00A93213"/>
    <w:rsid w:val="00A93588"/>
    <w:rsid w:val="00A936F8"/>
    <w:rsid w:val="00A93950"/>
    <w:rsid w:val="00A93A13"/>
    <w:rsid w:val="00A93AEF"/>
    <w:rsid w:val="00A93C75"/>
    <w:rsid w:val="00A93C7C"/>
    <w:rsid w:val="00A93EC1"/>
    <w:rsid w:val="00A94634"/>
    <w:rsid w:val="00A95429"/>
    <w:rsid w:val="00A957CD"/>
    <w:rsid w:val="00A9590C"/>
    <w:rsid w:val="00A95CCB"/>
    <w:rsid w:val="00A96BC1"/>
    <w:rsid w:val="00A96C9E"/>
    <w:rsid w:val="00A97836"/>
    <w:rsid w:val="00A978FA"/>
    <w:rsid w:val="00A9794E"/>
    <w:rsid w:val="00A97E56"/>
    <w:rsid w:val="00AA0476"/>
    <w:rsid w:val="00AA0DBE"/>
    <w:rsid w:val="00AA1082"/>
    <w:rsid w:val="00AA13D5"/>
    <w:rsid w:val="00AA15D1"/>
    <w:rsid w:val="00AA15F1"/>
    <w:rsid w:val="00AA17C4"/>
    <w:rsid w:val="00AA239E"/>
    <w:rsid w:val="00AA24CD"/>
    <w:rsid w:val="00AA2A43"/>
    <w:rsid w:val="00AA2D67"/>
    <w:rsid w:val="00AA2ECA"/>
    <w:rsid w:val="00AA2FFD"/>
    <w:rsid w:val="00AA31F3"/>
    <w:rsid w:val="00AA3C9E"/>
    <w:rsid w:val="00AA3D5A"/>
    <w:rsid w:val="00AA4049"/>
    <w:rsid w:val="00AA44EF"/>
    <w:rsid w:val="00AA4755"/>
    <w:rsid w:val="00AA47CB"/>
    <w:rsid w:val="00AA488F"/>
    <w:rsid w:val="00AA49E7"/>
    <w:rsid w:val="00AA4BEA"/>
    <w:rsid w:val="00AA4C35"/>
    <w:rsid w:val="00AA504A"/>
    <w:rsid w:val="00AA5132"/>
    <w:rsid w:val="00AA5141"/>
    <w:rsid w:val="00AA51AA"/>
    <w:rsid w:val="00AA58C1"/>
    <w:rsid w:val="00AA58D7"/>
    <w:rsid w:val="00AA5C5A"/>
    <w:rsid w:val="00AA6817"/>
    <w:rsid w:val="00AA6A53"/>
    <w:rsid w:val="00AA6E9B"/>
    <w:rsid w:val="00AA7EB9"/>
    <w:rsid w:val="00AA7F3D"/>
    <w:rsid w:val="00AB02BF"/>
    <w:rsid w:val="00AB05B5"/>
    <w:rsid w:val="00AB0F2C"/>
    <w:rsid w:val="00AB10E6"/>
    <w:rsid w:val="00AB1100"/>
    <w:rsid w:val="00AB1304"/>
    <w:rsid w:val="00AB1382"/>
    <w:rsid w:val="00AB1BD8"/>
    <w:rsid w:val="00AB1C43"/>
    <w:rsid w:val="00AB1EDD"/>
    <w:rsid w:val="00AB202F"/>
    <w:rsid w:val="00AB211E"/>
    <w:rsid w:val="00AB2539"/>
    <w:rsid w:val="00AB2681"/>
    <w:rsid w:val="00AB26C4"/>
    <w:rsid w:val="00AB291A"/>
    <w:rsid w:val="00AB2F89"/>
    <w:rsid w:val="00AB2FAE"/>
    <w:rsid w:val="00AB3276"/>
    <w:rsid w:val="00AB3316"/>
    <w:rsid w:val="00AB3375"/>
    <w:rsid w:val="00AB34E7"/>
    <w:rsid w:val="00AB3F25"/>
    <w:rsid w:val="00AB40AD"/>
    <w:rsid w:val="00AB41FA"/>
    <w:rsid w:val="00AB45F3"/>
    <w:rsid w:val="00AB4881"/>
    <w:rsid w:val="00AB488A"/>
    <w:rsid w:val="00AB4F7C"/>
    <w:rsid w:val="00AB5712"/>
    <w:rsid w:val="00AB5FF8"/>
    <w:rsid w:val="00AB6DCB"/>
    <w:rsid w:val="00AB6DCF"/>
    <w:rsid w:val="00AB6DDE"/>
    <w:rsid w:val="00AB737D"/>
    <w:rsid w:val="00AB7496"/>
    <w:rsid w:val="00AB756D"/>
    <w:rsid w:val="00AB7883"/>
    <w:rsid w:val="00AB7CD7"/>
    <w:rsid w:val="00AB7FCB"/>
    <w:rsid w:val="00AC0394"/>
    <w:rsid w:val="00AC0422"/>
    <w:rsid w:val="00AC059A"/>
    <w:rsid w:val="00AC0FF3"/>
    <w:rsid w:val="00AC139E"/>
    <w:rsid w:val="00AC1925"/>
    <w:rsid w:val="00AC1D0E"/>
    <w:rsid w:val="00AC1F83"/>
    <w:rsid w:val="00AC20A4"/>
    <w:rsid w:val="00AC21B0"/>
    <w:rsid w:val="00AC227E"/>
    <w:rsid w:val="00AC22A7"/>
    <w:rsid w:val="00AC23AE"/>
    <w:rsid w:val="00AC2501"/>
    <w:rsid w:val="00AC276F"/>
    <w:rsid w:val="00AC337B"/>
    <w:rsid w:val="00AC35B6"/>
    <w:rsid w:val="00AC369A"/>
    <w:rsid w:val="00AC39E0"/>
    <w:rsid w:val="00AC46A1"/>
    <w:rsid w:val="00AC48F8"/>
    <w:rsid w:val="00AC4AF0"/>
    <w:rsid w:val="00AC4C3C"/>
    <w:rsid w:val="00AC4DAE"/>
    <w:rsid w:val="00AC5000"/>
    <w:rsid w:val="00AC511E"/>
    <w:rsid w:val="00AC5473"/>
    <w:rsid w:val="00AC5844"/>
    <w:rsid w:val="00AC5AFF"/>
    <w:rsid w:val="00AC6766"/>
    <w:rsid w:val="00AC6E5E"/>
    <w:rsid w:val="00AC6F2C"/>
    <w:rsid w:val="00AC7978"/>
    <w:rsid w:val="00AC7CF1"/>
    <w:rsid w:val="00AC7D1A"/>
    <w:rsid w:val="00AD018D"/>
    <w:rsid w:val="00AD020A"/>
    <w:rsid w:val="00AD0421"/>
    <w:rsid w:val="00AD0A1F"/>
    <w:rsid w:val="00AD0DA5"/>
    <w:rsid w:val="00AD156B"/>
    <w:rsid w:val="00AD1E25"/>
    <w:rsid w:val="00AD212E"/>
    <w:rsid w:val="00AD2221"/>
    <w:rsid w:val="00AD29FA"/>
    <w:rsid w:val="00AD2ED1"/>
    <w:rsid w:val="00AD2FAD"/>
    <w:rsid w:val="00AD3B68"/>
    <w:rsid w:val="00AD3C70"/>
    <w:rsid w:val="00AD41EE"/>
    <w:rsid w:val="00AD44E6"/>
    <w:rsid w:val="00AD459E"/>
    <w:rsid w:val="00AD45CB"/>
    <w:rsid w:val="00AD46D3"/>
    <w:rsid w:val="00AD4C7C"/>
    <w:rsid w:val="00AD4E58"/>
    <w:rsid w:val="00AD4EE9"/>
    <w:rsid w:val="00AD4F8F"/>
    <w:rsid w:val="00AD5007"/>
    <w:rsid w:val="00AD5240"/>
    <w:rsid w:val="00AD5876"/>
    <w:rsid w:val="00AD5B06"/>
    <w:rsid w:val="00AD5CB4"/>
    <w:rsid w:val="00AD5FEB"/>
    <w:rsid w:val="00AD61A3"/>
    <w:rsid w:val="00AD6A17"/>
    <w:rsid w:val="00AD6B57"/>
    <w:rsid w:val="00AD779D"/>
    <w:rsid w:val="00AD7898"/>
    <w:rsid w:val="00AD7D11"/>
    <w:rsid w:val="00AD7EAF"/>
    <w:rsid w:val="00AE041E"/>
    <w:rsid w:val="00AE0FC1"/>
    <w:rsid w:val="00AE1946"/>
    <w:rsid w:val="00AE1986"/>
    <w:rsid w:val="00AE19AA"/>
    <w:rsid w:val="00AE2207"/>
    <w:rsid w:val="00AE256F"/>
    <w:rsid w:val="00AE309A"/>
    <w:rsid w:val="00AE311B"/>
    <w:rsid w:val="00AE31CD"/>
    <w:rsid w:val="00AE333B"/>
    <w:rsid w:val="00AE3400"/>
    <w:rsid w:val="00AE36F7"/>
    <w:rsid w:val="00AE372F"/>
    <w:rsid w:val="00AE3876"/>
    <w:rsid w:val="00AE3B2C"/>
    <w:rsid w:val="00AE3B40"/>
    <w:rsid w:val="00AE3BC3"/>
    <w:rsid w:val="00AE436F"/>
    <w:rsid w:val="00AE4478"/>
    <w:rsid w:val="00AE4586"/>
    <w:rsid w:val="00AE4C2B"/>
    <w:rsid w:val="00AE4C66"/>
    <w:rsid w:val="00AE4CDE"/>
    <w:rsid w:val="00AE4F21"/>
    <w:rsid w:val="00AE4F5F"/>
    <w:rsid w:val="00AE525A"/>
    <w:rsid w:val="00AE55B8"/>
    <w:rsid w:val="00AE5820"/>
    <w:rsid w:val="00AE5948"/>
    <w:rsid w:val="00AE5EF6"/>
    <w:rsid w:val="00AE61B0"/>
    <w:rsid w:val="00AE61F3"/>
    <w:rsid w:val="00AE636D"/>
    <w:rsid w:val="00AE63E9"/>
    <w:rsid w:val="00AE6416"/>
    <w:rsid w:val="00AE6553"/>
    <w:rsid w:val="00AE6B99"/>
    <w:rsid w:val="00AE6D42"/>
    <w:rsid w:val="00AE701E"/>
    <w:rsid w:val="00AE711B"/>
    <w:rsid w:val="00AE7389"/>
    <w:rsid w:val="00AE746A"/>
    <w:rsid w:val="00AE77BC"/>
    <w:rsid w:val="00AE787B"/>
    <w:rsid w:val="00AF01B0"/>
    <w:rsid w:val="00AF01F5"/>
    <w:rsid w:val="00AF023F"/>
    <w:rsid w:val="00AF0484"/>
    <w:rsid w:val="00AF0793"/>
    <w:rsid w:val="00AF0D06"/>
    <w:rsid w:val="00AF0D54"/>
    <w:rsid w:val="00AF1025"/>
    <w:rsid w:val="00AF16B5"/>
    <w:rsid w:val="00AF1A57"/>
    <w:rsid w:val="00AF23F4"/>
    <w:rsid w:val="00AF2407"/>
    <w:rsid w:val="00AF247B"/>
    <w:rsid w:val="00AF2ED2"/>
    <w:rsid w:val="00AF2FC7"/>
    <w:rsid w:val="00AF31E5"/>
    <w:rsid w:val="00AF3610"/>
    <w:rsid w:val="00AF3880"/>
    <w:rsid w:val="00AF3E41"/>
    <w:rsid w:val="00AF4065"/>
    <w:rsid w:val="00AF4271"/>
    <w:rsid w:val="00AF4604"/>
    <w:rsid w:val="00AF4630"/>
    <w:rsid w:val="00AF46F5"/>
    <w:rsid w:val="00AF48E5"/>
    <w:rsid w:val="00AF55D3"/>
    <w:rsid w:val="00AF574D"/>
    <w:rsid w:val="00AF57D9"/>
    <w:rsid w:val="00AF60AE"/>
    <w:rsid w:val="00AF6758"/>
    <w:rsid w:val="00AF691B"/>
    <w:rsid w:val="00AF6C7E"/>
    <w:rsid w:val="00AF6F83"/>
    <w:rsid w:val="00AF70FD"/>
    <w:rsid w:val="00B00597"/>
    <w:rsid w:val="00B00868"/>
    <w:rsid w:val="00B00951"/>
    <w:rsid w:val="00B00ECE"/>
    <w:rsid w:val="00B01470"/>
    <w:rsid w:val="00B01847"/>
    <w:rsid w:val="00B01A1F"/>
    <w:rsid w:val="00B01D58"/>
    <w:rsid w:val="00B01F46"/>
    <w:rsid w:val="00B023E9"/>
    <w:rsid w:val="00B0330A"/>
    <w:rsid w:val="00B03426"/>
    <w:rsid w:val="00B038B6"/>
    <w:rsid w:val="00B0414C"/>
    <w:rsid w:val="00B04295"/>
    <w:rsid w:val="00B04807"/>
    <w:rsid w:val="00B04822"/>
    <w:rsid w:val="00B04D91"/>
    <w:rsid w:val="00B04F06"/>
    <w:rsid w:val="00B05505"/>
    <w:rsid w:val="00B060C4"/>
    <w:rsid w:val="00B062B2"/>
    <w:rsid w:val="00B0634E"/>
    <w:rsid w:val="00B064F3"/>
    <w:rsid w:val="00B06534"/>
    <w:rsid w:val="00B06737"/>
    <w:rsid w:val="00B0694E"/>
    <w:rsid w:val="00B06981"/>
    <w:rsid w:val="00B06D3E"/>
    <w:rsid w:val="00B079C7"/>
    <w:rsid w:val="00B102EF"/>
    <w:rsid w:val="00B10330"/>
    <w:rsid w:val="00B10386"/>
    <w:rsid w:val="00B103AB"/>
    <w:rsid w:val="00B10709"/>
    <w:rsid w:val="00B10A96"/>
    <w:rsid w:val="00B110F0"/>
    <w:rsid w:val="00B11177"/>
    <w:rsid w:val="00B117D1"/>
    <w:rsid w:val="00B11F5B"/>
    <w:rsid w:val="00B12133"/>
    <w:rsid w:val="00B1213B"/>
    <w:rsid w:val="00B122A1"/>
    <w:rsid w:val="00B12528"/>
    <w:rsid w:val="00B125FF"/>
    <w:rsid w:val="00B1274D"/>
    <w:rsid w:val="00B12CCC"/>
    <w:rsid w:val="00B12DA7"/>
    <w:rsid w:val="00B13BCE"/>
    <w:rsid w:val="00B13CED"/>
    <w:rsid w:val="00B13D44"/>
    <w:rsid w:val="00B13E50"/>
    <w:rsid w:val="00B13F70"/>
    <w:rsid w:val="00B1432A"/>
    <w:rsid w:val="00B1445C"/>
    <w:rsid w:val="00B14826"/>
    <w:rsid w:val="00B14D10"/>
    <w:rsid w:val="00B151A9"/>
    <w:rsid w:val="00B15369"/>
    <w:rsid w:val="00B154FE"/>
    <w:rsid w:val="00B155BF"/>
    <w:rsid w:val="00B1623C"/>
    <w:rsid w:val="00B1637C"/>
    <w:rsid w:val="00B16489"/>
    <w:rsid w:val="00B165C1"/>
    <w:rsid w:val="00B16681"/>
    <w:rsid w:val="00B1679F"/>
    <w:rsid w:val="00B16ADE"/>
    <w:rsid w:val="00B17015"/>
    <w:rsid w:val="00B17960"/>
    <w:rsid w:val="00B17BD1"/>
    <w:rsid w:val="00B17BD6"/>
    <w:rsid w:val="00B17E5A"/>
    <w:rsid w:val="00B20361"/>
    <w:rsid w:val="00B214B5"/>
    <w:rsid w:val="00B218D8"/>
    <w:rsid w:val="00B219D9"/>
    <w:rsid w:val="00B21D87"/>
    <w:rsid w:val="00B21F1D"/>
    <w:rsid w:val="00B224A8"/>
    <w:rsid w:val="00B22A3C"/>
    <w:rsid w:val="00B22E5F"/>
    <w:rsid w:val="00B22E65"/>
    <w:rsid w:val="00B2324F"/>
    <w:rsid w:val="00B2363A"/>
    <w:rsid w:val="00B236F2"/>
    <w:rsid w:val="00B23CCA"/>
    <w:rsid w:val="00B23EB7"/>
    <w:rsid w:val="00B23F84"/>
    <w:rsid w:val="00B2415E"/>
    <w:rsid w:val="00B24164"/>
    <w:rsid w:val="00B24291"/>
    <w:rsid w:val="00B24AC2"/>
    <w:rsid w:val="00B24DF7"/>
    <w:rsid w:val="00B2535C"/>
    <w:rsid w:val="00B25378"/>
    <w:rsid w:val="00B257C7"/>
    <w:rsid w:val="00B25D7D"/>
    <w:rsid w:val="00B26222"/>
    <w:rsid w:val="00B26B00"/>
    <w:rsid w:val="00B26CAF"/>
    <w:rsid w:val="00B270DF"/>
    <w:rsid w:val="00B27147"/>
    <w:rsid w:val="00B2717E"/>
    <w:rsid w:val="00B27384"/>
    <w:rsid w:val="00B27A88"/>
    <w:rsid w:val="00B27C22"/>
    <w:rsid w:val="00B27F94"/>
    <w:rsid w:val="00B30672"/>
    <w:rsid w:val="00B30813"/>
    <w:rsid w:val="00B30866"/>
    <w:rsid w:val="00B30A90"/>
    <w:rsid w:val="00B310D5"/>
    <w:rsid w:val="00B31FC3"/>
    <w:rsid w:val="00B322C0"/>
    <w:rsid w:val="00B325FA"/>
    <w:rsid w:val="00B32B86"/>
    <w:rsid w:val="00B33196"/>
    <w:rsid w:val="00B3374F"/>
    <w:rsid w:val="00B33C89"/>
    <w:rsid w:val="00B33F93"/>
    <w:rsid w:val="00B3440D"/>
    <w:rsid w:val="00B34700"/>
    <w:rsid w:val="00B34830"/>
    <w:rsid w:val="00B3518C"/>
    <w:rsid w:val="00B355E9"/>
    <w:rsid w:val="00B365DA"/>
    <w:rsid w:val="00B36820"/>
    <w:rsid w:val="00B36997"/>
    <w:rsid w:val="00B36BB2"/>
    <w:rsid w:val="00B36CB7"/>
    <w:rsid w:val="00B36D80"/>
    <w:rsid w:val="00B36F08"/>
    <w:rsid w:val="00B371E2"/>
    <w:rsid w:val="00B372EE"/>
    <w:rsid w:val="00B3762F"/>
    <w:rsid w:val="00B37A6F"/>
    <w:rsid w:val="00B40402"/>
    <w:rsid w:val="00B40620"/>
    <w:rsid w:val="00B40817"/>
    <w:rsid w:val="00B414A4"/>
    <w:rsid w:val="00B415FA"/>
    <w:rsid w:val="00B41C60"/>
    <w:rsid w:val="00B41D08"/>
    <w:rsid w:val="00B41FAE"/>
    <w:rsid w:val="00B4203A"/>
    <w:rsid w:val="00B423C8"/>
    <w:rsid w:val="00B42987"/>
    <w:rsid w:val="00B42D95"/>
    <w:rsid w:val="00B42E4E"/>
    <w:rsid w:val="00B42F03"/>
    <w:rsid w:val="00B43022"/>
    <w:rsid w:val="00B43818"/>
    <w:rsid w:val="00B43DCA"/>
    <w:rsid w:val="00B43FB1"/>
    <w:rsid w:val="00B440D2"/>
    <w:rsid w:val="00B44383"/>
    <w:rsid w:val="00B44A3B"/>
    <w:rsid w:val="00B44E2D"/>
    <w:rsid w:val="00B44E7D"/>
    <w:rsid w:val="00B44F27"/>
    <w:rsid w:val="00B4501F"/>
    <w:rsid w:val="00B45341"/>
    <w:rsid w:val="00B45366"/>
    <w:rsid w:val="00B45456"/>
    <w:rsid w:val="00B45534"/>
    <w:rsid w:val="00B45564"/>
    <w:rsid w:val="00B45972"/>
    <w:rsid w:val="00B463BC"/>
    <w:rsid w:val="00B465A6"/>
    <w:rsid w:val="00B46651"/>
    <w:rsid w:val="00B46852"/>
    <w:rsid w:val="00B469F0"/>
    <w:rsid w:val="00B47273"/>
    <w:rsid w:val="00B472F5"/>
    <w:rsid w:val="00B47BD7"/>
    <w:rsid w:val="00B47C8A"/>
    <w:rsid w:val="00B47F1F"/>
    <w:rsid w:val="00B500FC"/>
    <w:rsid w:val="00B5081B"/>
    <w:rsid w:val="00B50989"/>
    <w:rsid w:val="00B50B0E"/>
    <w:rsid w:val="00B50D7E"/>
    <w:rsid w:val="00B5169B"/>
    <w:rsid w:val="00B51927"/>
    <w:rsid w:val="00B51A49"/>
    <w:rsid w:val="00B51B50"/>
    <w:rsid w:val="00B51D98"/>
    <w:rsid w:val="00B52210"/>
    <w:rsid w:val="00B52FE5"/>
    <w:rsid w:val="00B5300E"/>
    <w:rsid w:val="00B53443"/>
    <w:rsid w:val="00B536EC"/>
    <w:rsid w:val="00B53795"/>
    <w:rsid w:val="00B53B85"/>
    <w:rsid w:val="00B543E7"/>
    <w:rsid w:val="00B545DE"/>
    <w:rsid w:val="00B54798"/>
    <w:rsid w:val="00B54970"/>
    <w:rsid w:val="00B54B12"/>
    <w:rsid w:val="00B54B8F"/>
    <w:rsid w:val="00B55609"/>
    <w:rsid w:val="00B558AE"/>
    <w:rsid w:val="00B55AD1"/>
    <w:rsid w:val="00B55BCD"/>
    <w:rsid w:val="00B566C0"/>
    <w:rsid w:val="00B566CA"/>
    <w:rsid w:val="00B56A43"/>
    <w:rsid w:val="00B56DB9"/>
    <w:rsid w:val="00B56F9E"/>
    <w:rsid w:val="00B57AC9"/>
    <w:rsid w:val="00B57B04"/>
    <w:rsid w:val="00B57B78"/>
    <w:rsid w:val="00B57BB5"/>
    <w:rsid w:val="00B57C1E"/>
    <w:rsid w:val="00B57FEF"/>
    <w:rsid w:val="00B601E5"/>
    <w:rsid w:val="00B60326"/>
    <w:rsid w:val="00B60344"/>
    <w:rsid w:val="00B60774"/>
    <w:rsid w:val="00B609C2"/>
    <w:rsid w:val="00B60B75"/>
    <w:rsid w:val="00B60D50"/>
    <w:rsid w:val="00B60D62"/>
    <w:rsid w:val="00B61406"/>
    <w:rsid w:val="00B6188D"/>
    <w:rsid w:val="00B61FCF"/>
    <w:rsid w:val="00B62B4A"/>
    <w:rsid w:val="00B633C8"/>
    <w:rsid w:val="00B63479"/>
    <w:rsid w:val="00B63567"/>
    <w:rsid w:val="00B635B9"/>
    <w:rsid w:val="00B6369D"/>
    <w:rsid w:val="00B63B82"/>
    <w:rsid w:val="00B64363"/>
    <w:rsid w:val="00B64631"/>
    <w:rsid w:val="00B64B15"/>
    <w:rsid w:val="00B64CD9"/>
    <w:rsid w:val="00B651EF"/>
    <w:rsid w:val="00B65999"/>
    <w:rsid w:val="00B65B75"/>
    <w:rsid w:val="00B66106"/>
    <w:rsid w:val="00B66158"/>
    <w:rsid w:val="00B662A8"/>
    <w:rsid w:val="00B66475"/>
    <w:rsid w:val="00B6664F"/>
    <w:rsid w:val="00B67355"/>
    <w:rsid w:val="00B6743D"/>
    <w:rsid w:val="00B70536"/>
    <w:rsid w:val="00B70757"/>
    <w:rsid w:val="00B70D1B"/>
    <w:rsid w:val="00B7177D"/>
    <w:rsid w:val="00B71E69"/>
    <w:rsid w:val="00B72316"/>
    <w:rsid w:val="00B725E0"/>
    <w:rsid w:val="00B7281E"/>
    <w:rsid w:val="00B728E5"/>
    <w:rsid w:val="00B72E27"/>
    <w:rsid w:val="00B73115"/>
    <w:rsid w:val="00B73803"/>
    <w:rsid w:val="00B7424A"/>
    <w:rsid w:val="00B7437B"/>
    <w:rsid w:val="00B74584"/>
    <w:rsid w:val="00B74634"/>
    <w:rsid w:val="00B74CA2"/>
    <w:rsid w:val="00B74E85"/>
    <w:rsid w:val="00B74FDE"/>
    <w:rsid w:val="00B75764"/>
    <w:rsid w:val="00B75852"/>
    <w:rsid w:val="00B75899"/>
    <w:rsid w:val="00B75BE4"/>
    <w:rsid w:val="00B75DC3"/>
    <w:rsid w:val="00B75DE5"/>
    <w:rsid w:val="00B763D5"/>
    <w:rsid w:val="00B764B0"/>
    <w:rsid w:val="00B76B87"/>
    <w:rsid w:val="00B77555"/>
    <w:rsid w:val="00B77602"/>
    <w:rsid w:val="00B77BD1"/>
    <w:rsid w:val="00B77BED"/>
    <w:rsid w:val="00B77C69"/>
    <w:rsid w:val="00B77EE2"/>
    <w:rsid w:val="00B80B83"/>
    <w:rsid w:val="00B80CB8"/>
    <w:rsid w:val="00B80CEA"/>
    <w:rsid w:val="00B81277"/>
    <w:rsid w:val="00B813AC"/>
    <w:rsid w:val="00B818A0"/>
    <w:rsid w:val="00B8204A"/>
    <w:rsid w:val="00B823A2"/>
    <w:rsid w:val="00B82475"/>
    <w:rsid w:val="00B82DC2"/>
    <w:rsid w:val="00B832C7"/>
    <w:rsid w:val="00B83490"/>
    <w:rsid w:val="00B834F0"/>
    <w:rsid w:val="00B834F9"/>
    <w:rsid w:val="00B838C9"/>
    <w:rsid w:val="00B83DB5"/>
    <w:rsid w:val="00B83E85"/>
    <w:rsid w:val="00B84414"/>
    <w:rsid w:val="00B84E44"/>
    <w:rsid w:val="00B850AA"/>
    <w:rsid w:val="00B8511F"/>
    <w:rsid w:val="00B851F9"/>
    <w:rsid w:val="00B85C1B"/>
    <w:rsid w:val="00B85D78"/>
    <w:rsid w:val="00B860FE"/>
    <w:rsid w:val="00B863F5"/>
    <w:rsid w:val="00B86AF5"/>
    <w:rsid w:val="00B86E05"/>
    <w:rsid w:val="00B86E5C"/>
    <w:rsid w:val="00B86FF6"/>
    <w:rsid w:val="00B872BD"/>
    <w:rsid w:val="00B87DD3"/>
    <w:rsid w:val="00B9009B"/>
    <w:rsid w:val="00B903E5"/>
    <w:rsid w:val="00B9047A"/>
    <w:rsid w:val="00B905F8"/>
    <w:rsid w:val="00B90BB1"/>
    <w:rsid w:val="00B90BD4"/>
    <w:rsid w:val="00B90FB4"/>
    <w:rsid w:val="00B91433"/>
    <w:rsid w:val="00B91744"/>
    <w:rsid w:val="00B9188B"/>
    <w:rsid w:val="00B921FE"/>
    <w:rsid w:val="00B923FE"/>
    <w:rsid w:val="00B9345A"/>
    <w:rsid w:val="00B9355A"/>
    <w:rsid w:val="00B939D8"/>
    <w:rsid w:val="00B93F80"/>
    <w:rsid w:val="00B942EA"/>
    <w:rsid w:val="00B94433"/>
    <w:rsid w:val="00B94FAA"/>
    <w:rsid w:val="00B9552E"/>
    <w:rsid w:val="00B95686"/>
    <w:rsid w:val="00B95925"/>
    <w:rsid w:val="00B967C8"/>
    <w:rsid w:val="00B969A7"/>
    <w:rsid w:val="00B96CED"/>
    <w:rsid w:val="00B9735A"/>
    <w:rsid w:val="00B97710"/>
    <w:rsid w:val="00B97899"/>
    <w:rsid w:val="00B97B41"/>
    <w:rsid w:val="00B97F15"/>
    <w:rsid w:val="00BA0108"/>
    <w:rsid w:val="00BA0146"/>
    <w:rsid w:val="00BA0254"/>
    <w:rsid w:val="00BA02E0"/>
    <w:rsid w:val="00BA02F6"/>
    <w:rsid w:val="00BA0C11"/>
    <w:rsid w:val="00BA0D2E"/>
    <w:rsid w:val="00BA150C"/>
    <w:rsid w:val="00BA1D52"/>
    <w:rsid w:val="00BA20D3"/>
    <w:rsid w:val="00BA2519"/>
    <w:rsid w:val="00BA253A"/>
    <w:rsid w:val="00BA27FE"/>
    <w:rsid w:val="00BA2906"/>
    <w:rsid w:val="00BA2BBD"/>
    <w:rsid w:val="00BA2EA9"/>
    <w:rsid w:val="00BA2FF1"/>
    <w:rsid w:val="00BA32DB"/>
    <w:rsid w:val="00BA34B2"/>
    <w:rsid w:val="00BA355E"/>
    <w:rsid w:val="00BA3956"/>
    <w:rsid w:val="00BA3E1B"/>
    <w:rsid w:val="00BA3E56"/>
    <w:rsid w:val="00BA4281"/>
    <w:rsid w:val="00BA430A"/>
    <w:rsid w:val="00BA45C8"/>
    <w:rsid w:val="00BA46F0"/>
    <w:rsid w:val="00BA5376"/>
    <w:rsid w:val="00BA5AE5"/>
    <w:rsid w:val="00BA5AED"/>
    <w:rsid w:val="00BA5DE4"/>
    <w:rsid w:val="00BA5E11"/>
    <w:rsid w:val="00BA5E14"/>
    <w:rsid w:val="00BA60A8"/>
    <w:rsid w:val="00BA61DC"/>
    <w:rsid w:val="00BB099E"/>
    <w:rsid w:val="00BB16DB"/>
    <w:rsid w:val="00BB1E65"/>
    <w:rsid w:val="00BB1F1A"/>
    <w:rsid w:val="00BB227C"/>
    <w:rsid w:val="00BB2696"/>
    <w:rsid w:val="00BB2A14"/>
    <w:rsid w:val="00BB2EEF"/>
    <w:rsid w:val="00BB31F7"/>
    <w:rsid w:val="00BB3429"/>
    <w:rsid w:val="00BB3D67"/>
    <w:rsid w:val="00BB4442"/>
    <w:rsid w:val="00BB4CF2"/>
    <w:rsid w:val="00BB53D1"/>
    <w:rsid w:val="00BB57F0"/>
    <w:rsid w:val="00BB583E"/>
    <w:rsid w:val="00BB5EFD"/>
    <w:rsid w:val="00BB64C7"/>
    <w:rsid w:val="00BB6B48"/>
    <w:rsid w:val="00BB75DE"/>
    <w:rsid w:val="00BB7617"/>
    <w:rsid w:val="00BB773D"/>
    <w:rsid w:val="00BB784C"/>
    <w:rsid w:val="00BC01E5"/>
    <w:rsid w:val="00BC041E"/>
    <w:rsid w:val="00BC0466"/>
    <w:rsid w:val="00BC04CE"/>
    <w:rsid w:val="00BC0673"/>
    <w:rsid w:val="00BC0C9B"/>
    <w:rsid w:val="00BC0E52"/>
    <w:rsid w:val="00BC13FB"/>
    <w:rsid w:val="00BC1881"/>
    <w:rsid w:val="00BC18BD"/>
    <w:rsid w:val="00BC1AE5"/>
    <w:rsid w:val="00BC21AD"/>
    <w:rsid w:val="00BC3064"/>
    <w:rsid w:val="00BC30B1"/>
    <w:rsid w:val="00BC41BC"/>
    <w:rsid w:val="00BC4313"/>
    <w:rsid w:val="00BC4844"/>
    <w:rsid w:val="00BC4F26"/>
    <w:rsid w:val="00BC5099"/>
    <w:rsid w:val="00BC5208"/>
    <w:rsid w:val="00BC5323"/>
    <w:rsid w:val="00BC533C"/>
    <w:rsid w:val="00BC5C47"/>
    <w:rsid w:val="00BC5C6E"/>
    <w:rsid w:val="00BC60BD"/>
    <w:rsid w:val="00BC645C"/>
    <w:rsid w:val="00BC64E3"/>
    <w:rsid w:val="00BC67C6"/>
    <w:rsid w:val="00BC6881"/>
    <w:rsid w:val="00BC7098"/>
    <w:rsid w:val="00BC721B"/>
    <w:rsid w:val="00BC78FE"/>
    <w:rsid w:val="00BC7BB1"/>
    <w:rsid w:val="00BC7C81"/>
    <w:rsid w:val="00BC7F64"/>
    <w:rsid w:val="00BD0234"/>
    <w:rsid w:val="00BD0A13"/>
    <w:rsid w:val="00BD0C92"/>
    <w:rsid w:val="00BD0D79"/>
    <w:rsid w:val="00BD1197"/>
    <w:rsid w:val="00BD131C"/>
    <w:rsid w:val="00BD1720"/>
    <w:rsid w:val="00BD1790"/>
    <w:rsid w:val="00BD1954"/>
    <w:rsid w:val="00BD1BE1"/>
    <w:rsid w:val="00BD1D05"/>
    <w:rsid w:val="00BD25CB"/>
    <w:rsid w:val="00BD27A9"/>
    <w:rsid w:val="00BD27D8"/>
    <w:rsid w:val="00BD2A75"/>
    <w:rsid w:val="00BD2A99"/>
    <w:rsid w:val="00BD2AB1"/>
    <w:rsid w:val="00BD33A7"/>
    <w:rsid w:val="00BD39DD"/>
    <w:rsid w:val="00BD3D7B"/>
    <w:rsid w:val="00BD47CF"/>
    <w:rsid w:val="00BD48B8"/>
    <w:rsid w:val="00BD49BB"/>
    <w:rsid w:val="00BD4E63"/>
    <w:rsid w:val="00BD4EFC"/>
    <w:rsid w:val="00BD5080"/>
    <w:rsid w:val="00BD55AE"/>
    <w:rsid w:val="00BD55B5"/>
    <w:rsid w:val="00BD63BD"/>
    <w:rsid w:val="00BD6CB4"/>
    <w:rsid w:val="00BD71EF"/>
    <w:rsid w:val="00BD7731"/>
    <w:rsid w:val="00BD7850"/>
    <w:rsid w:val="00BD79C5"/>
    <w:rsid w:val="00BD7C7C"/>
    <w:rsid w:val="00BD7EA4"/>
    <w:rsid w:val="00BE07B5"/>
    <w:rsid w:val="00BE0D26"/>
    <w:rsid w:val="00BE0E9D"/>
    <w:rsid w:val="00BE127B"/>
    <w:rsid w:val="00BE2133"/>
    <w:rsid w:val="00BE244D"/>
    <w:rsid w:val="00BE2E1D"/>
    <w:rsid w:val="00BE3323"/>
    <w:rsid w:val="00BE3391"/>
    <w:rsid w:val="00BE3772"/>
    <w:rsid w:val="00BE3DB2"/>
    <w:rsid w:val="00BE445A"/>
    <w:rsid w:val="00BE499B"/>
    <w:rsid w:val="00BE4C07"/>
    <w:rsid w:val="00BE4FCC"/>
    <w:rsid w:val="00BE52F7"/>
    <w:rsid w:val="00BE53CB"/>
    <w:rsid w:val="00BE5BA8"/>
    <w:rsid w:val="00BE5F25"/>
    <w:rsid w:val="00BE68AB"/>
    <w:rsid w:val="00BE691E"/>
    <w:rsid w:val="00BE71FB"/>
    <w:rsid w:val="00BE72C8"/>
    <w:rsid w:val="00BE73C8"/>
    <w:rsid w:val="00BE78C6"/>
    <w:rsid w:val="00BE7B0A"/>
    <w:rsid w:val="00BF00E4"/>
    <w:rsid w:val="00BF040D"/>
    <w:rsid w:val="00BF066B"/>
    <w:rsid w:val="00BF08E9"/>
    <w:rsid w:val="00BF09CA"/>
    <w:rsid w:val="00BF11FA"/>
    <w:rsid w:val="00BF14A1"/>
    <w:rsid w:val="00BF1835"/>
    <w:rsid w:val="00BF1995"/>
    <w:rsid w:val="00BF1B18"/>
    <w:rsid w:val="00BF1CA6"/>
    <w:rsid w:val="00BF25F4"/>
    <w:rsid w:val="00BF276C"/>
    <w:rsid w:val="00BF286E"/>
    <w:rsid w:val="00BF2D20"/>
    <w:rsid w:val="00BF3257"/>
    <w:rsid w:val="00BF3523"/>
    <w:rsid w:val="00BF43D9"/>
    <w:rsid w:val="00BF4576"/>
    <w:rsid w:val="00BF48DF"/>
    <w:rsid w:val="00BF4967"/>
    <w:rsid w:val="00BF4B49"/>
    <w:rsid w:val="00BF555B"/>
    <w:rsid w:val="00BF5773"/>
    <w:rsid w:val="00BF5D90"/>
    <w:rsid w:val="00BF6050"/>
    <w:rsid w:val="00BF64C9"/>
    <w:rsid w:val="00BF6B59"/>
    <w:rsid w:val="00BF7172"/>
    <w:rsid w:val="00BF77AC"/>
    <w:rsid w:val="00BF78EB"/>
    <w:rsid w:val="00BF794C"/>
    <w:rsid w:val="00BF7DC5"/>
    <w:rsid w:val="00C00450"/>
    <w:rsid w:val="00C0098B"/>
    <w:rsid w:val="00C0125A"/>
    <w:rsid w:val="00C013AB"/>
    <w:rsid w:val="00C0151B"/>
    <w:rsid w:val="00C019A0"/>
    <w:rsid w:val="00C023BF"/>
    <w:rsid w:val="00C0272D"/>
    <w:rsid w:val="00C02A2F"/>
    <w:rsid w:val="00C030AD"/>
    <w:rsid w:val="00C03391"/>
    <w:rsid w:val="00C03550"/>
    <w:rsid w:val="00C03631"/>
    <w:rsid w:val="00C038F8"/>
    <w:rsid w:val="00C03E7C"/>
    <w:rsid w:val="00C04072"/>
    <w:rsid w:val="00C041FA"/>
    <w:rsid w:val="00C04301"/>
    <w:rsid w:val="00C044AE"/>
    <w:rsid w:val="00C044B0"/>
    <w:rsid w:val="00C0464F"/>
    <w:rsid w:val="00C0475D"/>
    <w:rsid w:val="00C0496F"/>
    <w:rsid w:val="00C05082"/>
    <w:rsid w:val="00C05888"/>
    <w:rsid w:val="00C05B31"/>
    <w:rsid w:val="00C05B6E"/>
    <w:rsid w:val="00C069D9"/>
    <w:rsid w:val="00C06AEA"/>
    <w:rsid w:val="00C06B2E"/>
    <w:rsid w:val="00C06D27"/>
    <w:rsid w:val="00C06FA7"/>
    <w:rsid w:val="00C07204"/>
    <w:rsid w:val="00C07320"/>
    <w:rsid w:val="00C0733D"/>
    <w:rsid w:val="00C07D79"/>
    <w:rsid w:val="00C07F2D"/>
    <w:rsid w:val="00C07F72"/>
    <w:rsid w:val="00C10473"/>
    <w:rsid w:val="00C10936"/>
    <w:rsid w:val="00C1097F"/>
    <w:rsid w:val="00C10987"/>
    <w:rsid w:val="00C10C5A"/>
    <w:rsid w:val="00C10D7C"/>
    <w:rsid w:val="00C10F7A"/>
    <w:rsid w:val="00C11165"/>
    <w:rsid w:val="00C112A5"/>
    <w:rsid w:val="00C11344"/>
    <w:rsid w:val="00C119E0"/>
    <w:rsid w:val="00C11B0A"/>
    <w:rsid w:val="00C11DD8"/>
    <w:rsid w:val="00C11F54"/>
    <w:rsid w:val="00C12350"/>
    <w:rsid w:val="00C124AC"/>
    <w:rsid w:val="00C12D8F"/>
    <w:rsid w:val="00C133D7"/>
    <w:rsid w:val="00C13421"/>
    <w:rsid w:val="00C1383B"/>
    <w:rsid w:val="00C13A2F"/>
    <w:rsid w:val="00C13C60"/>
    <w:rsid w:val="00C13CE3"/>
    <w:rsid w:val="00C14455"/>
    <w:rsid w:val="00C145C5"/>
    <w:rsid w:val="00C1488E"/>
    <w:rsid w:val="00C15149"/>
    <w:rsid w:val="00C15275"/>
    <w:rsid w:val="00C15522"/>
    <w:rsid w:val="00C15C01"/>
    <w:rsid w:val="00C15D89"/>
    <w:rsid w:val="00C163D4"/>
    <w:rsid w:val="00C16740"/>
    <w:rsid w:val="00C16850"/>
    <w:rsid w:val="00C16E18"/>
    <w:rsid w:val="00C175A7"/>
    <w:rsid w:val="00C17696"/>
    <w:rsid w:val="00C17DE3"/>
    <w:rsid w:val="00C2047E"/>
    <w:rsid w:val="00C20596"/>
    <w:rsid w:val="00C2072A"/>
    <w:rsid w:val="00C208ED"/>
    <w:rsid w:val="00C211B1"/>
    <w:rsid w:val="00C21329"/>
    <w:rsid w:val="00C21785"/>
    <w:rsid w:val="00C21FEA"/>
    <w:rsid w:val="00C22530"/>
    <w:rsid w:val="00C2282C"/>
    <w:rsid w:val="00C229E7"/>
    <w:rsid w:val="00C22C6D"/>
    <w:rsid w:val="00C22E93"/>
    <w:rsid w:val="00C23680"/>
    <w:rsid w:val="00C23850"/>
    <w:rsid w:val="00C23D01"/>
    <w:rsid w:val="00C24352"/>
    <w:rsid w:val="00C243E8"/>
    <w:rsid w:val="00C24679"/>
    <w:rsid w:val="00C24957"/>
    <w:rsid w:val="00C24A91"/>
    <w:rsid w:val="00C24AE3"/>
    <w:rsid w:val="00C25235"/>
    <w:rsid w:val="00C2565B"/>
    <w:rsid w:val="00C25BE8"/>
    <w:rsid w:val="00C25D4C"/>
    <w:rsid w:val="00C26165"/>
    <w:rsid w:val="00C26477"/>
    <w:rsid w:val="00C26A4F"/>
    <w:rsid w:val="00C26CC8"/>
    <w:rsid w:val="00C26EA5"/>
    <w:rsid w:val="00C275E2"/>
    <w:rsid w:val="00C27D12"/>
    <w:rsid w:val="00C306CD"/>
    <w:rsid w:val="00C314E0"/>
    <w:rsid w:val="00C3155E"/>
    <w:rsid w:val="00C31585"/>
    <w:rsid w:val="00C3218D"/>
    <w:rsid w:val="00C3282A"/>
    <w:rsid w:val="00C328A4"/>
    <w:rsid w:val="00C3293B"/>
    <w:rsid w:val="00C32AEF"/>
    <w:rsid w:val="00C32D54"/>
    <w:rsid w:val="00C337E4"/>
    <w:rsid w:val="00C3391F"/>
    <w:rsid w:val="00C33AD3"/>
    <w:rsid w:val="00C33BAE"/>
    <w:rsid w:val="00C33BB3"/>
    <w:rsid w:val="00C33EA3"/>
    <w:rsid w:val="00C33F82"/>
    <w:rsid w:val="00C34258"/>
    <w:rsid w:val="00C34330"/>
    <w:rsid w:val="00C3506D"/>
    <w:rsid w:val="00C355F1"/>
    <w:rsid w:val="00C35B13"/>
    <w:rsid w:val="00C35D53"/>
    <w:rsid w:val="00C35D73"/>
    <w:rsid w:val="00C362D4"/>
    <w:rsid w:val="00C36BCA"/>
    <w:rsid w:val="00C36CC3"/>
    <w:rsid w:val="00C370F4"/>
    <w:rsid w:val="00C3728B"/>
    <w:rsid w:val="00C375EE"/>
    <w:rsid w:val="00C376DB"/>
    <w:rsid w:val="00C3786A"/>
    <w:rsid w:val="00C379DA"/>
    <w:rsid w:val="00C37A26"/>
    <w:rsid w:val="00C401FC"/>
    <w:rsid w:val="00C40213"/>
    <w:rsid w:val="00C40440"/>
    <w:rsid w:val="00C40879"/>
    <w:rsid w:val="00C40932"/>
    <w:rsid w:val="00C40EB7"/>
    <w:rsid w:val="00C413F8"/>
    <w:rsid w:val="00C414F1"/>
    <w:rsid w:val="00C41624"/>
    <w:rsid w:val="00C4184A"/>
    <w:rsid w:val="00C41C9D"/>
    <w:rsid w:val="00C41E08"/>
    <w:rsid w:val="00C42326"/>
    <w:rsid w:val="00C4240F"/>
    <w:rsid w:val="00C4272B"/>
    <w:rsid w:val="00C4278E"/>
    <w:rsid w:val="00C42DB1"/>
    <w:rsid w:val="00C42E2E"/>
    <w:rsid w:val="00C4346D"/>
    <w:rsid w:val="00C43F8C"/>
    <w:rsid w:val="00C44BCE"/>
    <w:rsid w:val="00C45248"/>
    <w:rsid w:val="00C4594F"/>
    <w:rsid w:val="00C45DA4"/>
    <w:rsid w:val="00C46007"/>
    <w:rsid w:val="00C462D9"/>
    <w:rsid w:val="00C4642E"/>
    <w:rsid w:val="00C46C3B"/>
    <w:rsid w:val="00C46E96"/>
    <w:rsid w:val="00C46ECD"/>
    <w:rsid w:val="00C47986"/>
    <w:rsid w:val="00C47A11"/>
    <w:rsid w:val="00C47AB2"/>
    <w:rsid w:val="00C47BA2"/>
    <w:rsid w:val="00C500CB"/>
    <w:rsid w:val="00C501FB"/>
    <w:rsid w:val="00C5092B"/>
    <w:rsid w:val="00C50972"/>
    <w:rsid w:val="00C51489"/>
    <w:rsid w:val="00C5152E"/>
    <w:rsid w:val="00C51667"/>
    <w:rsid w:val="00C51683"/>
    <w:rsid w:val="00C52372"/>
    <w:rsid w:val="00C532A2"/>
    <w:rsid w:val="00C54F83"/>
    <w:rsid w:val="00C5507C"/>
    <w:rsid w:val="00C55113"/>
    <w:rsid w:val="00C55422"/>
    <w:rsid w:val="00C555AF"/>
    <w:rsid w:val="00C559DA"/>
    <w:rsid w:val="00C55C04"/>
    <w:rsid w:val="00C564A7"/>
    <w:rsid w:val="00C565B5"/>
    <w:rsid w:val="00C56724"/>
    <w:rsid w:val="00C56C96"/>
    <w:rsid w:val="00C56EBF"/>
    <w:rsid w:val="00C5700F"/>
    <w:rsid w:val="00C57635"/>
    <w:rsid w:val="00C577C5"/>
    <w:rsid w:val="00C578F4"/>
    <w:rsid w:val="00C579B5"/>
    <w:rsid w:val="00C6152C"/>
    <w:rsid w:val="00C615BB"/>
    <w:rsid w:val="00C6226A"/>
    <w:rsid w:val="00C627A9"/>
    <w:rsid w:val="00C628DC"/>
    <w:rsid w:val="00C62A88"/>
    <w:rsid w:val="00C62FF1"/>
    <w:rsid w:val="00C63003"/>
    <w:rsid w:val="00C633C9"/>
    <w:rsid w:val="00C63497"/>
    <w:rsid w:val="00C63530"/>
    <w:rsid w:val="00C636B4"/>
    <w:rsid w:val="00C63826"/>
    <w:rsid w:val="00C638ED"/>
    <w:rsid w:val="00C63C28"/>
    <w:rsid w:val="00C63DD6"/>
    <w:rsid w:val="00C63F2F"/>
    <w:rsid w:val="00C63FCB"/>
    <w:rsid w:val="00C6408B"/>
    <w:rsid w:val="00C64959"/>
    <w:rsid w:val="00C64D63"/>
    <w:rsid w:val="00C64E62"/>
    <w:rsid w:val="00C651A5"/>
    <w:rsid w:val="00C651A6"/>
    <w:rsid w:val="00C653D6"/>
    <w:rsid w:val="00C653FA"/>
    <w:rsid w:val="00C65475"/>
    <w:rsid w:val="00C65854"/>
    <w:rsid w:val="00C658D8"/>
    <w:rsid w:val="00C659A9"/>
    <w:rsid w:val="00C659FA"/>
    <w:rsid w:val="00C66159"/>
    <w:rsid w:val="00C666F7"/>
    <w:rsid w:val="00C66722"/>
    <w:rsid w:val="00C669B1"/>
    <w:rsid w:val="00C66A46"/>
    <w:rsid w:val="00C6715A"/>
    <w:rsid w:val="00C67C5B"/>
    <w:rsid w:val="00C70431"/>
    <w:rsid w:val="00C70799"/>
    <w:rsid w:val="00C70BE9"/>
    <w:rsid w:val="00C71361"/>
    <w:rsid w:val="00C718A4"/>
    <w:rsid w:val="00C71C29"/>
    <w:rsid w:val="00C7205D"/>
    <w:rsid w:val="00C72BD9"/>
    <w:rsid w:val="00C72F18"/>
    <w:rsid w:val="00C738BE"/>
    <w:rsid w:val="00C738C1"/>
    <w:rsid w:val="00C73B1A"/>
    <w:rsid w:val="00C740DB"/>
    <w:rsid w:val="00C74367"/>
    <w:rsid w:val="00C743FA"/>
    <w:rsid w:val="00C745D7"/>
    <w:rsid w:val="00C7483A"/>
    <w:rsid w:val="00C74D12"/>
    <w:rsid w:val="00C751BC"/>
    <w:rsid w:val="00C753AE"/>
    <w:rsid w:val="00C758D2"/>
    <w:rsid w:val="00C75908"/>
    <w:rsid w:val="00C75C67"/>
    <w:rsid w:val="00C75FF9"/>
    <w:rsid w:val="00C760F1"/>
    <w:rsid w:val="00C769A3"/>
    <w:rsid w:val="00C76EDD"/>
    <w:rsid w:val="00C76EF0"/>
    <w:rsid w:val="00C770AD"/>
    <w:rsid w:val="00C77101"/>
    <w:rsid w:val="00C772F1"/>
    <w:rsid w:val="00C7743F"/>
    <w:rsid w:val="00C774AA"/>
    <w:rsid w:val="00C77857"/>
    <w:rsid w:val="00C77B8E"/>
    <w:rsid w:val="00C77C09"/>
    <w:rsid w:val="00C77C88"/>
    <w:rsid w:val="00C80142"/>
    <w:rsid w:val="00C80B35"/>
    <w:rsid w:val="00C813F8"/>
    <w:rsid w:val="00C81501"/>
    <w:rsid w:val="00C81D8F"/>
    <w:rsid w:val="00C821FE"/>
    <w:rsid w:val="00C82330"/>
    <w:rsid w:val="00C82386"/>
    <w:rsid w:val="00C823D9"/>
    <w:rsid w:val="00C826DB"/>
    <w:rsid w:val="00C827F6"/>
    <w:rsid w:val="00C82D52"/>
    <w:rsid w:val="00C835E4"/>
    <w:rsid w:val="00C8380B"/>
    <w:rsid w:val="00C843F7"/>
    <w:rsid w:val="00C8484C"/>
    <w:rsid w:val="00C84BAB"/>
    <w:rsid w:val="00C8523D"/>
    <w:rsid w:val="00C8532D"/>
    <w:rsid w:val="00C85A75"/>
    <w:rsid w:val="00C86922"/>
    <w:rsid w:val="00C86B5A"/>
    <w:rsid w:val="00C86BB8"/>
    <w:rsid w:val="00C86F51"/>
    <w:rsid w:val="00C87460"/>
    <w:rsid w:val="00C87706"/>
    <w:rsid w:val="00C87CC4"/>
    <w:rsid w:val="00C87CE9"/>
    <w:rsid w:val="00C87FBB"/>
    <w:rsid w:val="00C90261"/>
    <w:rsid w:val="00C9080C"/>
    <w:rsid w:val="00C90934"/>
    <w:rsid w:val="00C90C90"/>
    <w:rsid w:val="00C90E55"/>
    <w:rsid w:val="00C91286"/>
    <w:rsid w:val="00C9136A"/>
    <w:rsid w:val="00C91A3D"/>
    <w:rsid w:val="00C91CED"/>
    <w:rsid w:val="00C91DF8"/>
    <w:rsid w:val="00C91FE3"/>
    <w:rsid w:val="00C92021"/>
    <w:rsid w:val="00C9212B"/>
    <w:rsid w:val="00C9221E"/>
    <w:rsid w:val="00C924D6"/>
    <w:rsid w:val="00C9253D"/>
    <w:rsid w:val="00C926DE"/>
    <w:rsid w:val="00C93294"/>
    <w:rsid w:val="00C937D2"/>
    <w:rsid w:val="00C93ACB"/>
    <w:rsid w:val="00C93FE1"/>
    <w:rsid w:val="00C94546"/>
    <w:rsid w:val="00C94685"/>
    <w:rsid w:val="00C94751"/>
    <w:rsid w:val="00C94A48"/>
    <w:rsid w:val="00C94AA8"/>
    <w:rsid w:val="00C94E09"/>
    <w:rsid w:val="00C950F3"/>
    <w:rsid w:val="00C951F5"/>
    <w:rsid w:val="00C95226"/>
    <w:rsid w:val="00C9540C"/>
    <w:rsid w:val="00C958F7"/>
    <w:rsid w:val="00C95CBF"/>
    <w:rsid w:val="00C96384"/>
    <w:rsid w:val="00C964F6"/>
    <w:rsid w:val="00C964F7"/>
    <w:rsid w:val="00C96BEA"/>
    <w:rsid w:val="00C97A3E"/>
    <w:rsid w:val="00CA0448"/>
    <w:rsid w:val="00CA062C"/>
    <w:rsid w:val="00CA0B29"/>
    <w:rsid w:val="00CA12BA"/>
    <w:rsid w:val="00CA1390"/>
    <w:rsid w:val="00CA1569"/>
    <w:rsid w:val="00CA1807"/>
    <w:rsid w:val="00CA196B"/>
    <w:rsid w:val="00CA1A54"/>
    <w:rsid w:val="00CA1C50"/>
    <w:rsid w:val="00CA1F0C"/>
    <w:rsid w:val="00CA1F35"/>
    <w:rsid w:val="00CA200B"/>
    <w:rsid w:val="00CA22DE"/>
    <w:rsid w:val="00CA28A2"/>
    <w:rsid w:val="00CA2CEB"/>
    <w:rsid w:val="00CA2EBD"/>
    <w:rsid w:val="00CA2F52"/>
    <w:rsid w:val="00CA366E"/>
    <w:rsid w:val="00CA36DC"/>
    <w:rsid w:val="00CA3776"/>
    <w:rsid w:val="00CA37A2"/>
    <w:rsid w:val="00CA3938"/>
    <w:rsid w:val="00CA3CE0"/>
    <w:rsid w:val="00CA424F"/>
    <w:rsid w:val="00CA4AEE"/>
    <w:rsid w:val="00CA4D39"/>
    <w:rsid w:val="00CA4F52"/>
    <w:rsid w:val="00CA522E"/>
    <w:rsid w:val="00CA5368"/>
    <w:rsid w:val="00CA558D"/>
    <w:rsid w:val="00CA5744"/>
    <w:rsid w:val="00CA5ABC"/>
    <w:rsid w:val="00CA5C6E"/>
    <w:rsid w:val="00CA5D59"/>
    <w:rsid w:val="00CA5EF5"/>
    <w:rsid w:val="00CA6534"/>
    <w:rsid w:val="00CA6610"/>
    <w:rsid w:val="00CA67F8"/>
    <w:rsid w:val="00CA6836"/>
    <w:rsid w:val="00CA6C41"/>
    <w:rsid w:val="00CA6D61"/>
    <w:rsid w:val="00CA6ECB"/>
    <w:rsid w:val="00CA7C8D"/>
    <w:rsid w:val="00CB0650"/>
    <w:rsid w:val="00CB06C7"/>
    <w:rsid w:val="00CB0F68"/>
    <w:rsid w:val="00CB1025"/>
    <w:rsid w:val="00CB11D5"/>
    <w:rsid w:val="00CB1322"/>
    <w:rsid w:val="00CB2349"/>
    <w:rsid w:val="00CB347D"/>
    <w:rsid w:val="00CB36F0"/>
    <w:rsid w:val="00CB38A5"/>
    <w:rsid w:val="00CB3AB2"/>
    <w:rsid w:val="00CB3B34"/>
    <w:rsid w:val="00CB3EFF"/>
    <w:rsid w:val="00CB42BC"/>
    <w:rsid w:val="00CB4634"/>
    <w:rsid w:val="00CB46CD"/>
    <w:rsid w:val="00CB46E8"/>
    <w:rsid w:val="00CB4935"/>
    <w:rsid w:val="00CB4CD1"/>
    <w:rsid w:val="00CB4F00"/>
    <w:rsid w:val="00CB4FD1"/>
    <w:rsid w:val="00CB51AA"/>
    <w:rsid w:val="00CB55A7"/>
    <w:rsid w:val="00CB58AA"/>
    <w:rsid w:val="00CB58B9"/>
    <w:rsid w:val="00CB5990"/>
    <w:rsid w:val="00CB61D1"/>
    <w:rsid w:val="00CB634E"/>
    <w:rsid w:val="00CB6933"/>
    <w:rsid w:val="00CB696D"/>
    <w:rsid w:val="00CB696E"/>
    <w:rsid w:val="00CB6CA0"/>
    <w:rsid w:val="00CB6FA6"/>
    <w:rsid w:val="00CB7042"/>
    <w:rsid w:val="00CB7347"/>
    <w:rsid w:val="00CB73FB"/>
    <w:rsid w:val="00CB7BA9"/>
    <w:rsid w:val="00CB7D22"/>
    <w:rsid w:val="00CB7ED4"/>
    <w:rsid w:val="00CB7FCA"/>
    <w:rsid w:val="00CC06A6"/>
    <w:rsid w:val="00CC090F"/>
    <w:rsid w:val="00CC0960"/>
    <w:rsid w:val="00CC1484"/>
    <w:rsid w:val="00CC18D7"/>
    <w:rsid w:val="00CC22BE"/>
    <w:rsid w:val="00CC2554"/>
    <w:rsid w:val="00CC25A7"/>
    <w:rsid w:val="00CC2736"/>
    <w:rsid w:val="00CC2C9C"/>
    <w:rsid w:val="00CC2D76"/>
    <w:rsid w:val="00CC2F9A"/>
    <w:rsid w:val="00CC32A8"/>
    <w:rsid w:val="00CC3344"/>
    <w:rsid w:val="00CC3378"/>
    <w:rsid w:val="00CC36C3"/>
    <w:rsid w:val="00CC3800"/>
    <w:rsid w:val="00CC3EF1"/>
    <w:rsid w:val="00CC40C1"/>
    <w:rsid w:val="00CC420B"/>
    <w:rsid w:val="00CC4468"/>
    <w:rsid w:val="00CC4616"/>
    <w:rsid w:val="00CC4F46"/>
    <w:rsid w:val="00CC5002"/>
    <w:rsid w:val="00CC586C"/>
    <w:rsid w:val="00CC5A03"/>
    <w:rsid w:val="00CC5B6D"/>
    <w:rsid w:val="00CC5DE6"/>
    <w:rsid w:val="00CC5EA2"/>
    <w:rsid w:val="00CC6362"/>
    <w:rsid w:val="00CC6496"/>
    <w:rsid w:val="00CC6918"/>
    <w:rsid w:val="00CC6DB7"/>
    <w:rsid w:val="00CC6F8B"/>
    <w:rsid w:val="00CC7901"/>
    <w:rsid w:val="00CC7A4A"/>
    <w:rsid w:val="00CC7A84"/>
    <w:rsid w:val="00CC7BE9"/>
    <w:rsid w:val="00CC7F41"/>
    <w:rsid w:val="00CD068D"/>
    <w:rsid w:val="00CD0B79"/>
    <w:rsid w:val="00CD0E05"/>
    <w:rsid w:val="00CD1448"/>
    <w:rsid w:val="00CD17E6"/>
    <w:rsid w:val="00CD221F"/>
    <w:rsid w:val="00CD22A8"/>
    <w:rsid w:val="00CD2659"/>
    <w:rsid w:val="00CD29FE"/>
    <w:rsid w:val="00CD2B35"/>
    <w:rsid w:val="00CD335A"/>
    <w:rsid w:val="00CD33B4"/>
    <w:rsid w:val="00CD356F"/>
    <w:rsid w:val="00CD3AF3"/>
    <w:rsid w:val="00CD4057"/>
    <w:rsid w:val="00CD455C"/>
    <w:rsid w:val="00CD4564"/>
    <w:rsid w:val="00CD4B4B"/>
    <w:rsid w:val="00CD4D5A"/>
    <w:rsid w:val="00CD4F1C"/>
    <w:rsid w:val="00CD59F1"/>
    <w:rsid w:val="00CD5B5A"/>
    <w:rsid w:val="00CD5D21"/>
    <w:rsid w:val="00CD6928"/>
    <w:rsid w:val="00CD6A69"/>
    <w:rsid w:val="00CD7651"/>
    <w:rsid w:val="00CD76C3"/>
    <w:rsid w:val="00CD7C04"/>
    <w:rsid w:val="00CD7E2C"/>
    <w:rsid w:val="00CD7E9B"/>
    <w:rsid w:val="00CE0168"/>
    <w:rsid w:val="00CE0238"/>
    <w:rsid w:val="00CE0243"/>
    <w:rsid w:val="00CE04D9"/>
    <w:rsid w:val="00CE06C6"/>
    <w:rsid w:val="00CE0714"/>
    <w:rsid w:val="00CE073C"/>
    <w:rsid w:val="00CE0A71"/>
    <w:rsid w:val="00CE1756"/>
    <w:rsid w:val="00CE1A3F"/>
    <w:rsid w:val="00CE1D80"/>
    <w:rsid w:val="00CE2501"/>
    <w:rsid w:val="00CE254F"/>
    <w:rsid w:val="00CE2748"/>
    <w:rsid w:val="00CE27DB"/>
    <w:rsid w:val="00CE27ED"/>
    <w:rsid w:val="00CE2DC8"/>
    <w:rsid w:val="00CE2E25"/>
    <w:rsid w:val="00CE2E65"/>
    <w:rsid w:val="00CE2F8E"/>
    <w:rsid w:val="00CE355F"/>
    <w:rsid w:val="00CE369A"/>
    <w:rsid w:val="00CE36D1"/>
    <w:rsid w:val="00CE37AE"/>
    <w:rsid w:val="00CE395A"/>
    <w:rsid w:val="00CE3A3A"/>
    <w:rsid w:val="00CE4006"/>
    <w:rsid w:val="00CE4B13"/>
    <w:rsid w:val="00CE50BC"/>
    <w:rsid w:val="00CE5692"/>
    <w:rsid w:val="00CE5710"/>
    <w:rsid w:val="00CE5D23"/>
    <w:rsid w:val="00CE6012"/>
    <w:rsid w:val="00CE6420"/>
    <w:rsid w:val="00CE67EA"/>
    <w:rsid w:val="00CE692A"/>
    <w:rsid w:val="00CE6B31"/>
    <w:rsid w:val="00CE6D65"/>
    <w:rsid w:val="00CE6D6E"/>
    <w:rsid w:val="00CE6EB5"/>
    <w:rsid w:val="00CE6F0D"/>
    <w:rsid w:val="00CE7078"/>
    <w:rsid w:val="00CE72B9"/>
    <w:rsid w:val="00CE76CF"/>
    <w:rsid w:val="00CE796A"/>
    <w:rsid w:val="00CE79E1"/>
    <w:rsid w:val="00CF069E"/>
    <w:rsid w:val="00CF07B2"/>
    <w:rsid w:val="00CF0A48"/>
    <w:rsid w:val="00CF0AE0"/>
    <w:rsid w:val="00CF1764"/>
    <w:rsid w:val="00CF1FAB"/>
    <w:rsid w:val="00CF20A3"/>
    <w:rsid w:val="00CF270A"/>
    <w:rsid w:val="00CF28A4"/>
    <w:rsid w:val="00CF2AF3"/>
    <w:rsid w:val="00CF2F78"/>
    <w:rsid w:val="00CF3047"/>
    <w:rsid w:val="00CF3117"/>
    <w:rsid w:val="00CF36D4"/>
    <w:rsid w:val="00CF3B73"/>
    <w:rsid w:val="00CF4323"/>
    <w:rsid w:val="00CF4518"/>
    <w:rsid w:val="00CF4695"/>
    <w:rsid w:val="00CF4D3B"/>
    <w:rsid w:val="00CF4F02"/>
    <w:rsid w:val="00CF50B0"/>
    <w:rsid w:val="00CF5795"/>
    <w:rsid w:val="00CF5FAA"/>
    <w:rsid w:val="00CF6771"/>
    <w:rsid w:val="00CF6994"/>
    <w:rsid w:val="00CF6A0E"/>
    <w:rsid w:val="00CF7223"/>
    <w:rsid w:val="00CF749B"/>
    <w:rsid w:val="00CF796D"/>
    <w:rsid w:val="00CF7A29"/>
    <w:rsid w:val="00CF7DC5"/>
    <w:rsid w:val="00D00146"/>
    <w:rsid w:val="00D00228"/>
    <w:rsid w:val="00D00603"/>
    <w:rsid w:val="00D00A4B"/>
    <w:rsid w:val="00D00BDF"/>
    <w:rsid w:val="00D00DC7"/>
    <w:rsid w:val="00D00E3B"/>
    <w:rsid w:val="00D013EE"/>
    <w:rsid w:val="00D01D61"/>
    <w:rsid w:val="00D0274F"/>
    <w:rsid w:val="00D027C1"/>
    <w:rsid w:val="00D02969"/>
    <w:rsid w:val="00D02A46"/>
    <w:rsid w:val="00D02ABF"/>
    <w:rsid w:val="00D03762"/>
    <w:rsid w:val="00D038C8"/>
    <w:rsid w:val="00D03EDB"/>
    <w:rsid w:val="00D04539"/>
    <w:rsid w:val="00D046F0"/>
    <w:rsid w:val="00D04D2C"/>
    <w:rsid w:val="00D04D83"/>
    <w:rsid w:val="00D05192"/>
    <w:rsid w:val="00D0524D"/>
    <w:rsid w:val="00D05490"/>
    <w:rsid w:val="00D054D3"/>
    <w:rsid w:val="00D05A01"/>
    <w:rsid w:val="00D05AA9"/>
    <w:rsid w:val="00D05DDF"/>
    <w:rsid w:val="00D0603F"/>
    <w:rsid w:val="00D06456"/>
    <w:rsid w:val="00D065BF"/>
    <w:rsid w:val="00D0660B"/>
    <w:rsid w:val="00D068D3"/>
    <w:rsid w:val="00D06CEC"/>
    <w:rsid w:val="00D075A2"/>
    <w:rsid w:val="00D07893"/>
    <w:rsid w:val="00D0798C"/>
    <w:rsid w:val="00D079D5"/>
    <w:rsid w:val="00D07A75"/>
    <w:rsid w:val="00D07B2D"/>
    <w:rsid w:val="00D07FA0"/>
    <w:rsid w:val="00D10154"/>
    <w:rsid w:val="00D104A9"/>
    <w:rsid w:val="00D10762"/>
    <w:rsid w:val="00D1098F"/>
    <w:rsid w:val="00D109BB"/>
    <w:rsid w:val="00D10BB1"/>
    <w:rsid w:val="00D10BFA"/>
    <w:rsid w:val="00D11247"/>
    <w:rsid w:val="00D1133A"/>
    <w:rsid w:val="00D11543"/>
    <w:rsid w:val="00D11CCE"/>
    <w:rsid w:val="00D128F6"/>
    <w:rsid w:val="00D129DB"/>
    <w:rsid w:val="00D1397C"/>
    <w:rsid w:val="00D13A92"/>
    <w:rsid w:val="00D13A9C"/>
    <w:rsid w:val="00D13CDB"/>
    <w:rsid w:val="00D13D0A"/>
    <w:rsid w:val="00D13D7C"/>
    <w:rsid w:val="00D14322"/>
    <w:rsid w:val="00D145ED"/>
    <w:rsid w:val="00D148FF"/>
    <w:rsid w:val="00D14D95"/>
    <w:rsid w:val="00D14F1A"/>
    <w:rsid w:val="00D1590D"/>
    <w:rsid w:val="00D15913"/>
    <w:rsid w:val="00D15CF1"/>
    <w:rsid w:val="00D15D64"/>
    <w:rsid w:val="00D15FB1"/>
    <w:rsid w:val="00D1613B"/>
    <w:rsid w:val="00D164E1"/>
    <w:rsid w:val="00D167C5"/>
    <w:rsid w:val="00D1697A"/>
    <w:rsid w:val="00D16E02"/>
    <w:rsid w:val="00D16ED7"/>
    <w:rsid w:val="00D170B1"/>
    <w:rsid w:val="00D170B3"/>
    <w:rsid w:val="00D1710F"/>
    <w:rsid w:val="00D17716"/>
    <w:rsid w:val="00D17740"/>
    <w:rsid w:val="00D20203"/>
    <w:rsid w:val="00D202AA"/>
    <w:rsid w:val="00D20876"/>
    <w:rsid w:val="00D20941"/>
    <w:rsid w:val="00D20D12"/>
    <w:rsid w:val="00D20DD3"/>
    <w:rsid w:val="00D20F28"/>
    <w:rsid w:val="00D21997"/>
    <w:rsid w:val="00D219B4"/>
    <w:rsid w:val="00D21B40"/>
    <w:rsid w:val="00D21CE5"/>
    <w:rsid w:val="00D21FF6"/>
    <w:rsid w:val="00D22ACD"/>
    <w:rsid w:val="00D233A4"/>
    <w:rsid w:val="00D237D4"/>
    <w:rsid w:val="00D239EF"/>
    <w:rsid w:val="00D23DF8"/>
    <w:rsid w:val="00D23FAF"/>
    <w:rsid w:val="00D23FB8"/>
    <w:rsid w:val="00D24603"/>
    <w:rsid w:val="00D2488F"/>
    <w:rsid w:val="00D249A7"/>
    <w:rsid w:val="00D24A9A"/>
    <w:rsid w:val="00D24E4F"/>
    <w:rsid w:val="00D2500E"/>
    <w:rsid w:val="00D257CD"/>
    <w:rsid w:val="00D25E65"/>
    <w:rsid w:val="00D25F3E"/>
    <w:rsid w:val="00D26044"/>
    <w:rsid w:val="00D260BD"/>
    <w:rsid w:val="00D2650E"/>
    <w:rsid w:val="00D26B36"/>
    <w:rsid w:val="00D26FFB"/>
    <w:rsid w:val="00D27693"/>
    <w:rsid w:val="00D27E37"/>
    <w:rsid w:val="00D27FC0"/>
    <w:rsid w:val="00D30370"/>
    <w:rsid w:val="00D3095B"/>
    <w:rsid w:val="00D312FF"/>
    <w:rsid w:val="00D31379"/>
    <w:rsid w:val="00D318F8"/>
    <w:rsid w:val="00D31AAD"/>
    <w:rsid w:val="00D322E7"/>
    <w:rsid w:val="00D324B7"/>
    <w:rsid w:val="00D325B7"/>
    <w:rsid w:val="00D32743"/>
    <w:rsid w:val="00D32EF8"/>
    <w:rsid w:val="00D33127"/>
    <w:rsid w:val="00D333A0"/>
    <w:rsid w:val="00D339E5"/>
    <w:rsid w:val="00D33C44"/>
    <w:rsid w:val="00D34212"/>
    <w:rsid w:val="00D34230"/>
    <w:rsid w:val="00D34823"/>
    <w:rsid w:val="00D3491D"/>
    <w:rsid w:val="00D34B95"/>
    <w:rsid w:val="00D350A8"/>
    <w:rsid w:val="00D3532F"/>
    <w:rsid w:val="00D35A44"/>
    <w:rsid w:val="00D35FD8"/>
    <w:rsid w:val="00D36028"/>
    <w:rsid w:val="00D36841"/>
    <w:rsid w:val="00D369AB"/>
    <w:rsid w:val="00D36E22"/>
    <w:rsid w:val="00D37202"/>
    <w:rsid w:val="00D372D0"/>
    <w:rsid w:val="00D37A9F"/>
    <w:rsid w:val="00D403CE"/>
    <w:rsid w:val="00D40914"/>
    <w:rsid w:val="00D40C86"/>
    <w:rsid w:val="00D41BF2"/>
    <w:rsid w:val="00D41FB4"/>
    <w:rsid w:val="00D42228"/>
    <w:rsid w:val="00D424CC"/>
    <w:rsid w:val="00D42674"/>
    <w:rsid w:val="00D42799"/>
    <w:rsid w:val="00D42DC9"/>
    <w:rsid w:val="00D42F24"/>
    <w:rsid w:val="00D44282"/>
    <w:rsid w:val="00D44349"/>
    <w:rsid w:val="00D444C5"/>
    <w:rsid w:val="00D44895"/>
    <w:rsid w:val="00D44A03"/>
    <w:rsid w:val="00D44C2C"/>
    <w:rsid w:val="00D44F0C"/>
    <w:rsid w:val="00D4509E"/>
    <w:rsid w:val="00D45335"/>
    <w:rsid w:val="00D456AB"/>
    <w:rsid w:val="00D46BA8"/>
    <w:rsid w:val="00D47AC2"/>
    <w:rsid w:val="00D50700"/>
    <w:rsid w:val="00D50F62"/>
    <w:rsid w:val="00D51667"/>
    <w:rsid w:val="00D51A22"/>
    <w:rsid w:val="00D51BAD"/>
    <w:rsid w:val="00D51D8D"/>
    <w:rsid w:val="00D52C4B"/>
    <w:rsid w:val="00D52C83"/>
    <w:rsid w:val="00D5303A"/>
    <w:rsid w:val="00D53603"/>
    <w:rsid w:val="00D53A4C"/>
    <w:rsid w:val="00D5425C"/>
    <w:rsid w:val="00D5434C"/>
    <w:rsid w:val="00D54592"/>
    <w:rsid w:val="00D5461B"/>
    <w:rsid w:val="00D5492E"/>
    <w:rsid w:val="00D54A33"/>
    <w:rsid w:val="00D5577D"/>
    <w:rsid w:val="00D55F01"/>
    <w:rsid w:val="00D5686A"/>
    <w:rsid w:val="00D56F21"/>
    <w:rsid w:val="00D57329"/>
    <w:rsid w:val="00D576D8"/>
    <w:rsid w:val="00D57716"/>
    <w:rsid w:val="00D57818"/>
    <w:rsid w:val="00D57BD2"/>
    <w:rsid w:val="00D57C49"/>
    <w:rsid w:val="00D6007F"/>
    <w:rsid w:val="00D6046A"/>
    <w:rsid w:val="00D6055D"/>
    <w:rsid w:val="00D60764"/>
    <w:rsid w:val="00D6078B"/>
    <w:rsid w:val="00D6134D"/>
    <w:rsid w:val="00D61620"/>
    <w:rsid w:val="00D61AB6"/>
    <w:rsid w:val="00D61B0E"/>
    <w:rsid w:val="00D61F11"/>
    <w:rsid w:val="00D62B0C"/>
    <w:rsid w:val="00D62FAD"/>
    <w:rsid w:val="00D63167"/>
    <w:rsid w:val="00D63273"/>
    <w:rsid w:val="00D63488"/>
    <w:rsid w:val="00D6388B"/>
    <w:rsid w:val="00D63AF3"/>
    <w:rsid w:val="00D63C42"/>
    <w:rsid w:val="00D63CFF"/>
    <w:rsid w:val="00D63E5A"/>
    <w:rsid w:val="00D64368"/>
    <w:rsid w:val="00D649DA"/>
    <w:rsid w:val="00D64CA4"/>
    <w:rsid w:val="00D64DAF"/>
    <w:rsid w:val="00D64FC3"/>
    <w:rsid w:val="00D65525"/>
    <w:rsid w:val="00D65F5A"/>
    <w:rsid w:val="00D6629F"/>
    <w:rsid w:val="00D664DF"/>
    <w:rsid w:val="00D66A4F"/>
    <w:rsid w:val="00D66BBE"/>
    <w:rsid w:val="00D677F1"/>
    <w:rsid w:val="00D678C3"/>
    <w:rsid w:val="00D679C0"/>
    <w:rsid w:val="00D708E1"/>
    <w:rsid w:val="00D709D5"/>
    <w:rsid w:val="00D70AAF"/>
    <w:rsid w:val="00D70CE0"/>
    <w:rsid w:val="00D70ED4"/>
    <w:rsid w:val="00D71144"/>
    <w:rsid w:val="00D7134F"/>
    <w:rsid w:val="00D71397"/>
    <w:rsid w:val="00D715D6"/>
    <w:rsid w:val="00D71820"/>
    <w:rsid w:val="00D71934"/>
    <w:rsid w:val="00D71EE8"/>
    <w:rsid w:val="00D726BB"/>
    <w:rsid w:val="00D72830"/>
    <w:rsid w:val="00D72A63"/>
    <w:rsid w:val="00D73005"/>
    <w:rsid w:val="00D7308D"/>
    <w:rsid w:val="00D73528"/>
    <w:rsid w:val="00D73610"/>
    <w:rsid w:val="00D73CA9"/>
    <w:rsid w:val="00D73D36"/>
    <w:rsid w:val="00D73F2B"/>
    <w:rsid w:val="00D74191"/>
    <w:rsid w:val="00D74381"/>
    <w:rsid w:val="00D74591"/>
    <w:rsid w:val="00D74643"/>
    <w:rsid w:val="00D7471B"/>
    <w:rsid w:val="00D74B38"/>
    <w:rsid w:val="00D751C9"/>
    <w:rsid w:val="00D7536B"/>
    <w:rsid w:val="00D756FE"/>
    <w:rsid w:val="00D7571E"/>
    <w:rsid w:val="00D757B2"/>
    <w:rsid w:val="00D75921"/>
    <w:rsid w:val="00D75A73"/>
    <w:rsid w:val="00D75AD5"/>
    <w:rsid w:val="00D75E85"/>
    <w:rsid w:val="00D76925"/>
    <w:rsid w:val="00D7789B"/>
    <w:rsid w:val="00D77AD4"/>
    <w:rsid w:val="00D80493"/>
    <w:rsid w:val="00D80494"/>
    <w:rsid w:val="00D8054C"/>
    <w:rsid w:val="00D8094B"/>
    <w:rsid w:val="00D80B8A"/>
    <w:rsid w:val="00D80BB1"/>
    <w:rsid w:val="00D80CA5"/>
    <w:rsid w:val="00D811E9"/>
    <w:rsid w:val="00D814D4"/>
    <w:rsid w:val="00D8159D"/>
    <w:rsid w:val="00D8177A"/>
    <w:rsid w:val="00D81977"/>
    <w:rsid w:val="00D81E16"/>
    <w:rsid w:val="00D81FEC"/>
    <w:rsid w:val="00D8207D"/>
    <w:rsid w:val="00D828D5"/>
    <w:rsid w:val="00D82B07"/>
    <w:rsid w:val="00D82BF0"/>
    <w:rsid w:val="00D82D23"/>
    <w:rsid w:val="00D82F26"/>
    <w:rsid w:val="00D833A6"/>
    <w:rsid w:val="00D83A2F"/>
    <w:rsid w:val="00D83A6C"/>
    <w:rsid w:val="00D83B3E"/>
    <w:rsid w:val="00D83C05"/>
    <w:rsid w:val="00D842EC"/>
    <w:rsid w:val="00D844F0"/>
    <w:rsid w:val="00D84EC3"/>
    <w:rsid w:val="00D85202"/>
    <w:rsid w:val="00D852E5"/>
    <w:rsid w:val="00D8546F"/>
    <w:rsid w:val="00D85B6E"/>
    <w:rsid w:val="00D85C74"/>
    <w:rsid w:val="00D85C7A"/>
    <w:rsid w:val="00D85FA0"/>
    <w:rsid w:val="00D8608F"/>
    <w:rsid w:val="00D8677E"/>
    <w:rsid w:val="00D867A2"/>
    <w:rsid w:val="00D867AB"/>
    <w:rsid w:val="00D8752C"/>
    <w:rsid w:val="00D87A66"/>
    <w:rsid w:val="00D87C2B"/>
    <w:rsid w:val="00D87D53"/>
    <w:rsid w:val="00D87F43"/>
    <w:rsid w:val="00D87FD7"/>
    <w:rsid w:val="00D90307"/>
    <w:rsid w:val="00D907A3"/>
    <w:rsid w:val="00D90B1E"/>
    <w:rsid w:val="00D9106F"/>
    <w:rsid w:val="00D91E49"/>
    <w:rsid w:val="00D91E9E"/>
    <w:rsid w:val="00D920E1"/>
    <w:rsid w:val="00D9210F"/>
    <w:rsid w:val="00D92678"/>
    <w:rsid w:val="00D92B7F"/>
    <w:rsid w:val="00D937BA"/>
    <w:rsid w:val="00D94AE1"/>
    <w:rsid w:val="00D94D8D"/>
    <w:rsid w:val="00D94E88"/>
    <w:rsid w:val="00D94F13"/>
    <w:rsid w:val="00D95017"/>
    <w:rsid w:val="00D950CF"/>
    <w:rsid w:val="00D95349"/>
    <w:rsid w:val="00D9628E"/>
    <w:rsid w:val="00D963D5"/>
    <w:rsid w:val="00D96531"/>
    <w:rsid w:val="00D9687A"/>
    <w:rsid w:val="00D970E7"/>
    <w:rsid w:val="00D97523"/>
    <w:rsid w:val="00D9767D"/>
    <w:rsid w:val="00D97D6B"/>
    <w:rsid w:val="00DA0660"/>
    <w:rsid w:val="00DA1100"/>
    <w:rsid w:val="00DA122E"/>
    <w:rsid w:val="00DA1C31"/>
    <w:rsid w:val="00DA1EB5"/>
    <w:rsid w:val="00DA1F23"/>
    <w:rsid w:val="00DA220D"/>
    <w:rsid w:val="00DA2858"/>
    <w:rsid w:val="00DA2AC1"/>
    <w:rsid w:val="00DA2DEE"/>
    <w:rsid w:val="00DA316B"/>
    <w:rsid w:val="00DA341D"/>
    <w:rsid w:val="00DA3435"/>
    <w:rsid w:val="00DA35AB"/>
    <w:rsid w:val="00DA39B5"/>
    <w:rsid w:val="00DA4048"/>
    <w:rsid w:val="00DA40F9"/>
    <w:rsid w:val="00DA424B"/>
    <w:rsid w:val="00DA4DBD"/>
    <w:rsid w:val="00DA54FC"/>
    <w:rsid w:val="00DA5636"/>
    <w:rsid w:val="00DA60BC"/>
    <w:rsid w:val="00DA6438"/>
    <w:rsid w:val="00DA6ABF"/>
    <w:rsid w:val="00DA6E4B"/>
    <w:rsid w:val="00DA735B"/>
    <w:rsid w:val="00DA7C13"/>
    <w:rsid w:val="00DB01A6"/>
    <w:rsid w:val="00DB0394"/>
    <w:rsid w:val="00DB05BD"/>
    <w:rsid w:val="00DB0625"/>
    <w:rsid w:val="00DB0A09"/>
    <w:rsid w:val="00DB0BB6"/>
    <w:rsid w:val="00DB1282"/>
    <w:rsid w:val="00DB1608"/>
    <w:rsid w:val="00DB1649"/>
    <w:rsid w:val="00DB1939"/>
    <w:rsid w:val="00DB1F42"/>
    <w:rsid w:val="00DB2158"/>
    <w:rsid w:val="00DB22EE"/>
    <w:rsid w:val="00DB2456"/>
    <w:rsid w:val="00DB29BF"/>
    <w:rsid w:val="00DB2A5F"/>
    <w:rsid w:val="00DB2B02"/>
    <w:rsid w:val="00DB2B92"/>
    <w:rsid w:val="00DB2C69"/>
    <w:rsid w:val="00DB2C79"/>
    <w:rsid w:val="00DB2F88"/>
    <w:rsid w:val="00DB2FDA"/>
    <w:rsid w:val="00DB3A0F"/>
    <w:rsid w:val="00DB3BCC"/>
    <w:rsid w:val="00DB3DA7"/>
    <w:rsid w:val="00DB3E4F"/>
    <w:rsid w:val="00DB485E"/>
    <w:rsid w:val="00DB4B49"/>
    <w:rsid w:val="00DB4DC3"/>
    <w:rsid w:val="00DB4FFA"/>
    <w:rsid w:val="00DB5267"/>
    <w:rsid w:val="00DB56B8"/>
    <w:rsid w:val="00DB5DFD"/>
    <w:rsid w:val="00DB5E60"/>
    <w:rsid w:val="00DB62E3"/>
    <w:rsid w:val="00DB6384"/>
    <w:rsid w:val="00DB6955"/>
    <w:rsid w:val="00DB6A67"/>
    <w:rsid w:val="00DB6D8A"/>
    <w:rsid w:val="00DB6ECB"/>
    <w:rsid w:val="00DB6ECE"/>
    <w:rsid w:val="00DB746A"/>
    <w:rsid w:val="00DB76E1"/>
    <w:rsid w:val="00DB77E7"/>
    <w:rsid w:val="00DB7D6F"/>
    <w:rsid w:val="00DC09C6"/>
    <w:rsid w:val="00DC1627"/>
    <w:rsid w:val="00DC19E5"/>
    <w:rsid w:val="00DC1C5E"/>
    <w:rsid w:val="00DC231E"/>
    <w:rsid w:val="00DC2574"/>
    <w:rsid w:val="00DC2BA8"/>
    <w:rsid w:val="00DC309D"/>
    <w:rsid w:val="00DC337A"/>
    <w:rsid w:val="00DC36E3"/>
    <w:rsid w:val="00DC3812"/>
    <w:rsid w:val="00DC3938"/>
    <w:rsid w:val="00DC3A5C"/>
    <w:rsid w:val="00DC3F18"/>
    <w:rsid w:val="00DC416C"/>
    <w:rsid w:val="00DC44E0"/>
    <w:rsid w:val="00DC4B1B"/>
    <w:rsid w:val="00DC507D"/>
    <w:rsid w:val="00DC558C"/>
    <w:rsid w:val="00DC558D"/>
    <w:rsid w:val="00DC595F"/>
    <w:rsid w:val="00DC5C88"/>
    <w:rsid w:val="00DC5F39"/>
    <w:rsid w:val="00DC6037"/>
    <w:rsid w:val="00DC62CE"/>
    <w:rsid w:val="00DC66D1"/>
    <w:rsid w:val="00DC6864"/>
    <w:rsid w:val="00DC6B04"/>
    <w:rsid w:val="00DC733A"/>
    <w:rsid w:val="00DC750E"/>
    <w:rsid w:val="00DC7821"/>
    <w:rsid w:val="00DC79E9"/>
    <w:rsid w:val="00DC7F6C"/>
    <w:rsid w:val="00DC7F8D"/>
    <w:rsid w:val="00DD02E6"/>
    <w:rsid w:val="00DD03A8"/>
    <w:rsid w:val="00DD07EA"/>
    <w:rsid w:val="00DD0C05"/>
    <w:rsid w:val="00DD124E"/>
    <w:rsid w:val="00DD2184"/>
    <w:rsid w:val="00DD2187"/>
    <w:rsid w:val="00DD259F"/>
    <w:rsid w:val="00DD27DC"/>
    <w:rsid w:val="00DD2A14"/>
    <w:rsid w:val="00DD2A89"/>
    <w:rsid w:val="00DD3075"/>
    <w:rsid w:val="00DD3079"/>
    <w:rsid w:val="00DD3B90"/>
    <w:rsid w:val="00DD3C32"/>
    <w:rsid w:val="00DD3C33"/>
    <w:rsid w:val="00DD3F58"/>
    <w:rsid w:val="00DD5003"/>
    <w:rsid w:val="00DD5306"/>
    <w:rsid w:val="00DD5729"/>
    <w:rsid w:val="00DD5DC4"/>
    <w:rsid w:val="00DD5DFF"/>
    <w:rsid w:val="00DD60A6"/>
    <w:rsid w:val="00DD614A"/>
    <w:rsid w:val="00DD701C"/>
    <w:rsid w:val="00DD7567"/>
    <w:rsid w:val="00DD7F23"/>
    <w:rsid w:val="00DE0344"/>
    <w:rsid w:val="00DE060C"/>
    <w:rsid w:val="00DE0CE9"/>
    <w:rsid w:val="00DE12D2"/>
    <w:rsid w:val="00DE13AF"/>
    <w:rsid w:val="00DE1787"/>
    <w:rsid w:val="00DE189C"/>
    <w:rsid w:val="00DE2430"/>
    <w:rsid w:val="00DE2C85"/>
    <w:rsid w:val="00DE2E1E"/>
    <w:rsid w:val="00DE30E7"/>
    <w:rsid w:val="00DE33E7"/>
    <w:rsid w:val="00DE346E"/>
    <w:rsid w:val="00DE363A"/>
    <w:rsid w:val="00DE3960"/>
    <w:rsid w:val="00DE3CEB"/>
    <w:rsid w:val="00DE4044"/>
    <w:rsid w:val="00DE4A9C"/>
    <w:rsid w:val="00DE4B0E"/>
    <w:rsid w:val="00DE4CFD"/>
    <w:rsid w:val="00DE5473"/>
    <w:rsid w:val="00DE5D68"/>
    <w:rsid w:val="00DE5D84"/>
    <w:rsid w:val="00DE5E33"/>
    <w:rsid w:val="00DE62AF"/>
    <w:rsid w:val="00DE68E7"/>
    <w:rsid w:val="00DE6946"/>
    <w:rsid w:val="00DE6A6B"/>
    <w:rsid w:val="00DE6B18"/>
    <w:rsid w:val="00DE721B"/>
    <w:rsid w:val="00DE7C55"/>
    <w:rsid w:val="00DF0222"/>
    <w:rsid w:val="00DF09D6"/>
    <w:rsid w:val="00DF1585"/>
    <w:rsid w:val="00DF1AAC"/>
    <w:rsid w:val="00DF1AF4"/>
    <w:rsid w:val="00DF1B98"/>
    <w:rsid w:val="00DF1FC9"/>
    <w:rsid w:val="00DF20A5"/>
    <w:rsid w:val="00DF2553"/>
    <w:rsid w:val="00DF2624"/>
    <w:rsid w:val="00DF26AC"/>
    <w:rsid w:val="00DF2E7C"/>
    <w:rsid w:val="00DF3262"/>
    <w:rsid w:val="00DF33D0"/>
    <w:rsid w:val="00DF37F0"/>
    <w:rsid w:val="00DF3EF4"/>
    <w:rsid w:val="00DF402A"/>
    <w:rsid w:val="00DF4865"/>
    <w:rsid w:val="00DF4921"/>
    <w:rsid w:val="00DF4CDF"/>
    <w:rsid w:val="00DF587C"/>
    <w:rsid w:val="00DF588E"/>
    <w:rsid w:val="00DF595C"/>
    <w:rsid w:val="00DF5A7F"/>
    <w:rsid w:val="00DF5FE0"/>
    <w:rsid w:val="00DF6569"/>
    <w:rsid w:val="00DF6809"/>
    <w:rsid w:val="00DF73D0"/>
    <w:rsid w:val="00DF7907"/>
    <w:rsid w:val="00DF7AD1"/>
    <w:rsid w:val="00E0000E"/>
    <w:rsid w:val="00E002F3"/>
    <w:rsid w:val="00E00600"/>
    <w:rsid w:val="00E00AE1"/>
    <w:rsid w:val="00E00CFF"/>
    <w:rsid w:val="00E01008"/>
    <w:rsid w:val="00E01137"/>
    <w:rsid w:val="00E015B0"/>
    <w:rsid w:val="00E02540"/>
    <w:rsid w:val="00E02816"/>
    <w:rsid w:val="00E0295F"/>
    <w:rsid w:val="00E0318A"/>
    <w:rsid w:val="00E0368F"/>
    <w:rsid w:val="00E03926"/>
    <w:rsid w:val="00E0425B"/>
    <w:rsid w:val="00E04710"/>
    <w:rsid w:val="00E04B5B"/>
    <w:rsid w:val="00E04D21"/>
    <w:rsid w:val="00E05005"/>
    <w:rsid w:val="00E05061"/>
    <w:rsid w:val="00E051E0"/>
    <w:rsid w:val="00E05C62"/>
    <w:rsid w:val="00E072DC"/>
    <w:rsid w:val="00E07525"/>
    <w:rsid w:val="00E078A4"/>
    <w:rsid w:val="00E07C65"/>
    <w:rsid w:val="00E07F36"/>
    <w:rsid w:val="00E1016D"/>
    <w:rsid w:val="00E105E4"/>
    <w:rsid w:val="00E114C3"/>
    <w:rsid w:val="00E11553"/>
    <w:rsid w:val="00E119C2"/>
    <w:rsid w:val="00E11AC6"/>
    <w:rsid w:val="00E11D33"/>
    <w:rsid w:val="00E11EFB"/>
    <w:rsid w:val="00E12233"/>
    <w:rsid w:val="00E12258"/>
    <w:rsid w:val="00E1240A"/>
    <w:rsid w:val="00E1284F"/>
    <w:rsid w:val="00E1289F"/>
    <w:rsid w:val="00E129E5"/>
    <w:rsid w:val="00E12C90"/>
    <w:rsid w:val="00E138E8"/>
    <w:rsid w:val="00E13C49"/>
    <w:rsid w:val="00E14535"/>
    <w:rsid w:val="00E147E1"/>
    <w:rsid w:val="00E148EB"/>
    <w:rsid w:val="00E14B33"/>
    <w:rsid w:val="00E14C09"/>
    <w:rsid w:val="00E14C16"/>
    <w:rsid w:val="00E14DC9"/>
    <w:rsid w:val="00E14E8D"/>
    <w:rsid w:val="00E15123"/>
    <w:rsid w:val="00E155AB"/>
    <w:rsid w:val="00E15669"/>
    <w:rsid w:val="00E157AA"/>
    <w:rsid w:val="00E158C8"/>
    <w:rsid w:val="00E15AFA"/>
    <w:rsid w:val="00E15E0C"/>
    <w:rsid w:val="00E1667E"/>
    <w:rsid w:val="00E16867"/>
    <w:rsid w:val="00E16E90"/>
    <w:rsid w:val="00E1714B"/>
    <w:rsid w:val="00E17332"/>
    <w:rsid w:val="00E1749A"/>
    <w:rsid w:val="00E17A1D"/>
    <w:rsid w:val="00E17EAC"/>
    <w:rsid w:val="00E2011E"/>
    <w:rsid w:val="00E2027D"/>
    <w:rsid w:val="00E20678"/>
    <w:rsid w:val="00E2078F"/>
    <w:rsid w:val="00E20916"/>
    <w:rsid w:val="00E209C9"/>
    <w:rsid w:val="00E20AE2"/>
    <w:rsid w:val="00E20C09"/>
    <w:rsid w:val="00E20E50"/>
    <w:rsid w:val="00E21271"/>
    <w:rsid w:val="00E220AC"/>
    <w:rsid w:val="00E227C5"/>
    <w:rsid w:val="00E227C6"/>
    <w:rsid w:val="00E22CEB"/>
    <w:rsid w:val="00E23BBA"/>
    <w:rsid w:val="00E23BF8"/>
    <w:rsid w:val="00E24056"/>
    <w:rsid w:val="00E24321"/>
    <w:rsid w:val="00E2441B"/>
    <w:rsid w:val="00E24427"/>
    <w:rsid w:val="00E245A7"/>
    <w:rsid w:val="00E247B6"/>
    <w:rsid w:val="00E2495C"/>
    <w:rsid w:val="00E24988"/>
    <w:rsid w:val="00E24D71"/>
    <w:rsid w:val="00E24E8E"/>
    <w:rsid w:val="00E24EC6"/>
    <w:rsid w:val="00E24FF3"/>
    <w:rsid w:val="00E25646"/>
    <w:rsid w:val="00E25718"/>
    <w:rsid w:val="00E25B6B"/>
    <w:rsid w:val="00E26177"/>
    <w:rsid w:val="00E267E4"/>
    <w:rsid w:val="00E26A51"/>
    <w:rsid w:val="00E26D90"/>
    <w:rsid w:val="00E2796B"/>
    <w:rsid w:val="00E27D6B"/>
    <w:rsid w:val="00E3031B"/>
    <w:rsid w:val="00E304B8"/>
    <w:rsid w:val="00E305F7"/>
    <w:rsid w:val="00E312C2"/>
    <w:rsid w:val="00E3138E"/>
    <w:rsid w:val="00E3196A"/>
    <w:rsid w:val="00E32900"/>
    <w:rsid w:val="00E32AAB"/>
    <w:rsid w:val="00E33247"/>
    <w:rsid w:val="00E33249"/>
    <w:rsid w:val="00E3341A"/>
    <w:rsid w:val="00E33508"/>
    <w:rsid w:val="00E33628"/>
    <w:rsid w:val="00E3383D"/>
    <w:rsid w:val="00E33DD5"/>
    <w:rsid w:val="00E33F77"/>
    <w:rsid w:val="00E3425B"/>
    <w:rsid w:val="00E3474F"/>
    <w:rsid w:val="00E34767"/>
    <w:rsid w:val="00E3490F"/>
    <w:rsid w:val="00E34923"/>
    <w:rsid w:val="00E35024"/>
    <w:rsid w:val="00E35213"/>
    <w:rsid w:val="00E355F0"/>
    <w:rsid w:val="00E35C98"/>
    <w:rsid w:val="00E35EF0"/>
    <w:rsid w:val="00E361DB"/>
    <w:rsid w:val="00E36AFC"/>
    <w:rsid w:val="00E36BDB"/>
    <w:rsid w:val="00E36D72"/>
    <w:rsid w:val="00E370CD"/>
    <w:rsid w:val="00E37102"/>
    <w:rsid w:val="00E3768B"/>
    <w:rsid w:val="00E37842"/>
    <w:rsid w:val="00E40636"/>
    <w:rsid w:val="00E4097E"/>
    <w:rsid w:val="00E40B05"/>
    <w:rsid w:val="00E40B9B"/>
    <w:rsid w:val="00E41737"/>
    <w:rsid w:val="00E418B4"/>
    <w:rsid w:val="00E41A4D"/>
    <w:rsid w:val="00E421A0"/>
    <w:rsid w:val="00E42696"/>
    <w:rsid w:val="00E42C2E"/>
    <w:rsid w:val="00E431B1"/>
    <w:rsid w:val="00E43B78"/>
    <w:rsid w:val="00E43EDB"/>
    <w:rsid w:val="00E44011"/>
    <w:rsid w:val="00E44256"/>
    <w:rsid w:val="00E442FB"/>
    <w:rsid w:val="00E44453"/>
    <w:rsid w:val="00E44457"/>
    <w:rsid w:val="00E44FE9"/>
    <w:rsid w:val="00E450CC"/>
    <w:rsid w:val="00E4521B"/>
    <w:rsid w:val="00E4532E"/>
    <w:rsid w:val="00E45A95"/>
    <w:rsid w:val="00E45BDF"/>
    <w:rsid w:val="00E45E97"/>
    <w:rsid w:val="00E46147"/>
    <w:rsid w:val="00E46372"/>
    <w:rsid w:val="00E4642D"/>
    <w:rsid w:val="00E46903"/>
    <w:rsid w:val="00E46B7F"/>
    <w:rsid w:val="00E46F25"/>
    <w:rsid w:val="00E47CE3"/>
    <w:rsid w:val="00E505EF"/>
    <w:rsid w:val="00E50DD0"/>
    <w:rsid w:val="00E51660"/>
    <w:rsid w:val="00E51BC4"/>
    <w:rsid w:val="00E51D94"/>
    <w:rsid w:val="00E51EFC"/>
    <w:rsid w:val="00E51F09"/>
    <w:rsid w:val="00E52051"/>
    <w:rsid w:val="00E5246D"/>
    <w:rsid w:val="00E524AD"/>
    <w:rsid w:val="00E53023"/>
    <w:rsid w:val="00E532DA"/>
    <w:rsid w:val="00E53356"/>
    <w:rsid w:val="00E536CD"/>
    <w:rsid w:val="00E54035"/>
    <w:rsid w:val="00E543A7"/>
    <w:rsid w:val="00E543EF"/>
    <w:rsid w:val="00E54660"/>
    <w:rsid w:val="00E54B46"/>
    <w:rsid w:val="00E55645"/>
    <w:rsid w:val="00E557A5"/>
    <w:rsid w:val="00E55C78"/>
    <w:rsid w:val="00E55E3F"/>
    <w:rsid w:val="00E561FD"/>
    <w:rsid w:val="00E56878"/>
    <w:rsid w:val="00E56C6B"/>
    <w:rsid w:val="00E57459"/>
    <w:rsid w:val="00E575DB"/>
    <w:rsid w:val="00E57B6C"/>
    <w:rsid w:val="00E57B6E"/>
    <w:rsid w:val="00E57BD5"/>
    <w:rsid w:val="00E57EF6"/>
    <w:rsid w:val="00E57F91"/>
    <w:rsid w:val="00E57FC3"/>
    <w:rsid w:val="00E57FD5"/>
    <w:rsid w:val="00E60062"/>
    <w:rsid w:val="00E604F5"/>
    <w:rsid w:val="00E60535"/>
    <w:rsid w:val="00E607D1"/>
    <w:rsid w:val="00E609A1"/>
    <w:rsid w:val="00E6111E"/>
    <w:rsid w:val="00E615EF"/>
    <w:rsid w:val="00E61761"/>
    <w:rsid w:val="00E61834"/>
    <w:rsid w:val="00E619D0"/>
    <w:rsid w:val="00E61B84"/>
    <w:rsid w:val="00E61C75"/>
    <w:rsid w:val="00E61D70"/>
    <w:rsid w:val="00E61E1E"/>
    <w:rsid w:val="00E61F92"/>
    <w:rsid w:val="00E6214C"/>
    <w:rsid w:val="00E62578"/>
    <w:rsid w:val="00E628F5"/>
    <w:rsid w:val="00E630C2"/>
    <w:rsid w:val="00E635E1"/>
    <w:rsid w:val="00E63798"/>
    <w:rsid w:val="00E63969"/>
    <w:rsid w:val="00E64481"/>
    <w:rsid w:val="00E64580"/>
    <w:rsid w:val="00E64747"/>
    <w:rsid w:val="00E6480D"/>
    <w:rsid w:val="00E64973"/>
    <w:rsid w:val="00E64B6D"/>
    <w:rsid w:val="00E64DC0"/>
    <w:rsid w:val="00E65383"/>
    <w:rsid w:val="00E65708"/>
    <w:rsid w:val="00E65781"/>
    <w:rsid w:val="00E65F2D"/>
    <w:rsid w:val="00E66081"/>
    <w:rsid w:val="00E6610E"/>
    <w:rsid w:val="00E66246"/>
    <w:rsid w:val="00E662C1"/>
    <w:rsid w:val="00E66382"/>
    <w:rsid w:val="00E6688D"/>
    <w:rsid w:val="00E668E4"/>
    <w:rsid w:val="00E669A9"/>
    <w:rsid w:val="00E669AB"/>
    <w:rsid w:val="00E66BEB"/>
    <w:rsid w:val="00E6787C"/>
    <w:rsid w:val="00E6797E"/>
    <w:rsid w:val="00E67990"/>
    <w:rsid w:val="00E67F65"/>
    <w:rsid w:val="00E70279"/>
    <w:rsid w:val="00E705C5"/>
    <w:rsid w:val="00E70CC8"/>
    <w:rsid w:val="00E71701"/>
    <w:rsid w:val="00E71F65"/>
    <w:rsid w:val="00E7304E"/>
    <w:rsid w:val="00E7319A"/>
    <w:rsid w:val="00E732B0"/>
    <w:rsid w:val="00E733B6"/>
    <w:rsid w:val="00E73DC4"/>
    <w:rsid w:val="00E7401F"/>
    <w:rsid w:val="00E74223"/>
    <w:rsid w:val="00E744DE"/>
    <w:rsid w:val="00E748BB"/>
    <w:rsid w:val="00E74BCE"/>
    <w:rsid w:val="00E74FBC"/>
    <w:rsid w:val="00E754A0"/>
    <w:rsid w:val="00E754F4"/>
    <w:rsid w:val="00E7577D"/>
    <w:rsid w:val="00E759CD"/>
    <w:rsid w:val="00E762DF"/>
    <w:rsid w:val="00E76973"/>
    <w:rsid w:val="00E76BF5"/>
    <w:rsid w:val="00E76D55"/>
    <w:rsid w:val="00E770BA"/>
    <w:rsid w:val="00E777C6"/>
    <w:rsid w:val="00E77964"/>
    <w:rsid w:val="00E77C41"/>
    <w:rsid w:val="00E77E38"/>
    <w:rsid w:val="00E77EF6"/>
    <w:rsid w:val="00E77F9B"/>
    <w:rsid w:val="00E80523"/>
    <w:rsid w:val="00E8068B"/>
    <w:rsid w:val="00E80693"/>
    <w:rsid w:val="00E80BB9"/>
    <w:rsid w:val="00E81510"/>
    <w:rsid w:val="00E81545"/>
    <w:rsid w:val="00E81744"/>
    <w:rsid w:val="00E821A0"/>
    <w:rsid w:val="00E8225E"/>
    <w:rsid w:val="00E82DB1"/>
    <w:rsid w:val="00E830A2"/>
    <w:rsid w:val="00E83247"/>
    <w:rsid w:val="00E835C9"/>
    <w:rsid w:val="00E8389B"/>
    <w:rsid w:val="00E83AB8"/>
    <w:rsid w:val="00E83F4B"/>
    <w:rsid w:val="00E84146"/>
    <w:rsid w:val="00E84184"/>
    <w:rsid w:val="00E84751"/>
    <w:rsid w:val="00E84B69"/>
    <w:rsid w:val="00E84CC3"/>
    <w:rsid w:val="00E85032"/>
    <w:rsid w:val="00E85679"/>
    <w:rsid w:val="00E85878"/>
    <w:rsid w:val="00E858CF"/>
    <w:rsid w:val="00E85D71"/>
    <w:rsid w:val="00E85E48"/>
    <w:rsid w:val="00E8614B"/>
    <w:rsid w:val="00E86836"/>
    <w:rsid w:val="00E87203"/>
    <w:rsid w:val="00E8794F"/>
    <w:rsid w:val="00E879AB"/>
    <w:rsid w:val="00E879AC"/>
    <w:rsid w:val="00E87DAC"/>
    <w:rsid w:val="00E87DF2"/>
    <w:rsid w:val="00E90380"/>
    <w:rsid w:val="00E90B11"/>
    <w:rsid w:val="00E917CA"/>
    <w:rsid w:val="00E923C3"/>
    <w:rsid w:val="00E92642"/>
    <w:rsid w:val="00E9285C"/>
    <w:rsid w:val="00E932DD"/>
    <w:rsid w:val="00E93384"/>
    <w:rsid w:val="00E9348C"/>
    <w:rsid w:val="00E93ABF"/>
    <w:rsid w:val="00E93D6E"/>
    <w:rsid w:val="00E93EFE"/>
    <w:rsid w:val="00E93F1B"/>
    <w:rsid w:val="00E94756"/>
    <w:rsid w:val="00E95A8D"/>
    <w:rsid w:val="00E9620C"/>
    <w:rsid w:val="00E966DF"/>
    <w:rsid w:val="00E973AE"/>
    <w:rsid w:val="00E976D9"/>
    <w:rsid w:val="00E97807"/>
    <w:rsid w:val="00E978F4"/>
    <w:rsid w:val="00E97AF7"/>
    <w:rsid w:val="00E97B61"/>
    <w:rsid w:val="00E97EC1"/>
    <w:rsid w:val="00EA0057"/>
    <w:rsid w:val="00EA020B"/>
    <w:rsid w:val="00EA0610"/>
    <w:rsid w:val="00EA076D"/>
    <w:rsid w:val="00EA091D"/>
    <w:rsid w:val="00EA0945"/>
    <w:rsid w:val="00EA0A6F"/>
    <w:rsid w:val="00EA0E69"/>
    <w:rsid w:val="00EA0F75"/>
    <w:rsid w:val="00EA11D1"/>
    <w:rsid w:val="00EA13D4"/>
    <w:rsid w:val="00EA1825"/>
    <w:rsid w:val="00EA1CDB"/>
    <w:rsid w:val="00EA1E2E"/>
    <w:rsid w:val="00EA2077"/>
    <w:rsid w:val="00EA20E1"/>
    <w:rsid w:val="00EA2280"/>
    <w:rsid w:val="00EA2510"/>
    <w:rsid w:val="00EA2C8D"/>
    <w:rsid w:val="00EA2CD9"/>
    <w:rsid w:val="00EA316C"/>
    <w:rsid w:val="00EA334F"/>
    <w:rsid w:val="00EA370E"/>
    <w:rsid w:val="00EA3A04"/>
    <w:rsid w:val="00EA3CDF"/>
    <w:rsid w:val="00EA40A7"/>
    <w:rsid w:val="00EA41F1"/>
    <w:rsid w:val="00EA4279"/>
    <w:rsid w:val="00EA445C"/>
    <w:rsid w:val="00EA493E"/>
    <w:rsid w:val="00EA5305"/>
    <w:rsid w:val="00EA5406"/>
    <w:rsid w:val="00EA55C2"/>
    <w:rsid w:val="00EA5B88"/>
    <w:rsid w:val="00EA5FE2"/>
    <w:rsid w:val="00EA636A"/>
    <w:rsid w:val="00EA673E"/>
    <w:rsid w:val="00EA68E5"/>
    <w:rsid w:val="00EA6B2A"/>
    <w:rsid w:val="00EA6B84"/>
    <w:rsid w:val="00EA6DE2"/>
    <w:rsid w:val="00EA6F5B"/>
    <w:rsid w:val="00EA70D8"/>
    <w:rsid w:val="00EA735E"/>
    <w:rsid w:val="00EA7667"/>
    <w:rsid w:val="00EB0363"/>
    <w:rsid w:val="00EB0382"/>
    <w:rsid w:val="00EB0829"/>
    <w:rsid w:val="00EB0B04"/>
    <w:rsid w:val="00EB0D12"/>
    <w:rsid w:val="00EB1050"/>
    <w:rsid w:val="00EB10B6"/>
    <w:rsid w:val="00EB13AC"/>
    <w:rsid w:val="00EB1DC5"/>
    <w:rsid w:val="00EB1E4E"/>
    <w:rsid w:val="00EB2647"/>
    <w:rsid w:val="00EB26FB"/>
    <w:rsid w:val="00EB2825"/>
    <w:rsid w:val="00EB2A15"/>
    <w:rsid w:val="00EB2D34"/>
    <w:rsid w:val="00EB303F"/>
    <w:rsid w:val="00EB3121"/>
    <w:rsid w:val="00EB3983"/>
    <w:rsid w:val="00EB398D"/>
    <w:rsid w:val="00EB3D99"/>
    <w:rsid w:val="00EB4629"/>
    <w:rsid w:val="00EB4D8D"/>
    <w:rsid w:val="00EB4F45"/>
    <w:rsid w:val="00EB53D3"/>
    <w:rsid w:val="00EB54CF"/>
    <w:rsid w:val="00EB5A53"/>
    <w:rsid w:val="00EB5AA8"/>
    <w:rsid w:val="00EB69E3"/>
    <w:rsid w:val="00EB6C48"/>
    <w:rsid w:val="00EB78A2"/>
    <w:rsid w:val="00EB7B10"/>
    <w:rsid w:val="00EB7F4C"/>
    <w:rsid w:val="00EC0349"/>
    <w:rsid w:val="00EC085A"/>
    <w:rsid w:val="00EC0B9E"/>
    <w:rsid w:val="00EC0D7C"/>
    <w:rsid w:val="00EC0FDE"/>
    <w:rsid w:val="00EC1440"/>
    <w:rsid w:val="00EC1B23"/>
    <w:rsid w:val="00EC2169"/>
    <w:rsid w:val="00EC24C9"/>
    <w:rsid w:val="00EC25A1"/>
    <w:rsid w:val="00EC293D"/>
    <w:rsid w:val="00EC2CD2"/>
    <w:rsid w:val="00EC2E07"/>
    <w:rsid w:val="00EC3228"/>
    <w:rsid w:val="00EC3C6A"/>
    <w:rsid w:val="00EC3D8D"/>
    <w:rsid w:val="00EC4195"/>
    <w:rsid w:val="00EC4510"/>
    <w:rsid w:val="00EC47CA"/>
    <w:rsid w:val="00EC491A"/>
    <w:rsid w:val="00EC5031"/>
    <w:rsid w:val="00EC50A8"/>
    <w:rsid w:val="00EC52C9"/>
    <w:rsid w:val="00EC59E8"/>
    <w:rsid w:val="00EC5BDC"/>
    <w:rsid w:val="00EC60B3"/>
    <w:rsid w:val="00EC6293"/>
    <w:rsid w:val="00EC64C6"/>
    <w:rsid w:val="00EC6937"/>
    <w:rsid w:val="00EC69AE"/>
    <w:rsid w:val="00EC6B6D"/>
    <w:rsid w:val="00EC756D"/>
    <w:rsid w:val="00EC77AF"/>
    <w:rsid w:val="00EC7930"/>
    <w:rsid w:val="00ED0135"/>
    <w:rsid w:val="00ED08DA"/>
    <w:rsid w:val="00ED0C80"/>
    <w:rsid w:val="00ED0E2A"/>
    <w:rsid w:val="00ED1273"/>
    <w:rsid w:val="00ED1663"/>
    <w:rsid w:val="00ED16E5"/>
    <w:rsid w:val="00ED17D1"/>
    <w:rsid w:val="00ED1B7D"/>
    <w:rsid w:val="00ED1C5D"/>
    <w:rsid w:val="00ED1C5F"/>
    <w:rsid w:val="00ED1D36"/>
    <w:rsid w:val="00ED2122"/>
    <w:rsid w:val="00ED25C1"/>
    <w:rsid w:val="00ED2620"/>
    <w:rsid w:val="00ED26CA"/>
    <w:rsid w:val="00ED289B"/>
    <w:rsid w:val="00ED2971"/>
    <w:rsid w:val="00ED31ED"/>
    <w:rsid w:val="00ED3242"/>
    <w:rsid w:val="00ED38E9"/>
    <w:rsid w:val="00ED3C13"/>
    <w:rsid w:val="00ED3D3A"/>
    <w:rsid w:val="00ED4D7A"/>
    <w:rsid w:val="00ED616C"/>
    <w:rsid w:val="00ED61A7"/>
    <w:rsid w:val="00ED659B"/>
    <w:rsid w:val="00ED69C9"/>
    <w:rsid w:val="00ED6B4D"/>
    <w:rsid w:val="00ED6C38"/>
    <w:rsid w:val="00ED6C5F"/>
    <w:rsid w:val="00ED6F0D"/>
    <w:rsid w:val="00ED71A6"/>
    <w:rsid w:val="00EE0C91"/>
    <w:rsid w:val="00EE0DC3"/>
    <w:rsid w:val="00EE0E3B"/>
    <w:rsid w:val="00EE1151"/>
    <w:rsid w:val="00EE254F"/>
    <w:rsid w:val="00EE299C"/>
    <w:rsid w:val="00EE2C45"/>
    <w:rsid w:val="00EE2F0F"/>
    <w:rsid w:val="00EE2FF4"/>
    <w:rsid w:val="00EE32DC"/>
    <w:rsid w:val="00EE32FA"/>
    <w:rsid w:val="00EE3468"/>
    <w:rsid w:val="00EE3ACA"/>
    <w:rsid w:val="00EE3AE5"/>
    <w:rsid w:val="00EE3B5E"/>
    <w:rsid w:val="00EE3BA4"/>
    <w:rsid w:val="00EE3D48"/>
    <w:rsid w:val="00EE49DE"/>
    <w:rsid w:val="00EE4D2D"/>
    <w:rsid w:val="00EE4DF8"/>
    <w:rsid w:val="00EE50F3"/>
    <w:rsid w:val="00EE5185"/>
    <w:rsid w:val="00EE52A0"/>
    <w:rsid w:val="00EE5E14"/>
    <w:rsid w:val="00EE61BA"/>
    <w:rsid w:val="00EE63AF"/>
    <w:rsid w:val="00EE63D5"/>
    <w:rsid w:val="00EE6746"/>
    <w:rsid w:val="00EE7186"/>
    <w:rsid w:val="00EE759C"/>
    <w:rsid w:val="00EE764D"/>
    <w:rsid w:val="00EE7722"/>
    <w:rsid w:val="00EE7D21"/>
    <w:rsid w:val="00EE7FB6"/>
    <w:rsid w:val="00EF074F"/>
    <w:rsid w:val="00EF0AC5"/>
    <w:rsid w:val="00EF154A"/>
    <w:rsid w:val="00EF1A18"/>
    <w:rsid w:val="00EF1F04"/>
    <w:rsid w:val="00EF2E5B"/>
    <w:rsid w:val="00EF2F29"/>
    <w:rsid w:val="00EF3002"/>
    <w:rsid w:val="00EF321B"/>
    <w:rsid w:val="00EF3243"/>
    <w:rsid w:val="00EF35F7"/>
    <w:rsid w:val="00EF36AD"/>
    <w:rsid w:val="00EF3761"/>
    <w:rsid w:val="00EF3946"/>
    <w:rsid w:val="00EF3C2F"/>
    <w:rsid w:val="00EF403B"/>
    <w:rsid w:val="00EF405B"/>
    <w:rsid w:val="00EF4684"/>
    <w:rsid w:val="00EF485D"/>
    <w:rsid w:val="00EF4A63"/>
    <w:rsid w:val="00EF5134"/>
    <w:rsid w:val="00EF51EF"/>
    <w:rsid w:val="00EF5538"/>
    <w:rsid w:val="00EF55F2"/>
    <w:rsid w:val="00EF5E83"/>
    <w:rsid w:val="00EF618A"/>
    <w:rsid w:val="00EF6284"/>
    <w:rsid w:val="00EF6639"/>
    <w:rsid w:val="00EF6D6F"/>
    <w:rsid w:val="00EF7052"/>
    <w:rsid w:val="00EF7064"/>
    <w:rsid w:val="00EF798F"/>
    <w:rsid w:val="00EF7ACE"/>
    <w:rsid w:val="00F001D0"/>
    <w:rsid w:val="00F00707"/>
    <w:rsid w:val="00F00D7C"/>
    <w:rsid w:val="00F00FCF"/>
    <w:rsid w:val="00F01238"/>
    <w:rsid w:val="00F01413"/>
    <w:rsid w:val="00F01423"/>
    <w:rsid w:val="00F0142F"/>
    <w:rsid w:val="00F01745"/>
    <w:rsid w:val="00F0204E"/>
    <w:rsid w:val="00F0230A"/>
    <w:rsid w:val="00F0253E"/>
    <w:rsid w:val="00F029D6"/>
    <w:rsid w:val="00F029E6"/>
    <w:rsid w:val="00F02B16"/>
    <w:rsid w:val="00F02BC5"/>
    <w:rsid w:val="00F02D93"/>
    <w:rsid w:val="00F033CC"/>
    <w:rsid w:val="00F040DE"/>
    <w:rsid w:val="00F04594"/>
    <w:rsid w:val="00F045E1"/>
    <w:rsid w:val="00F04B76"/>
    <w:rsid w:val="00F04C50"/>
    <w:rsid w:val="00F04F2F"/>
    <w:rsid w:val="00F05705"/>
    <w:rsid w:val="00F05917"/>
    <w:rsid w:val="00F06009"/>
    <w:rsid w:val="00F067FF"/>
    <w:rsid w:val="00F06D8A"/>
    <w:rsid w:val="00F07391"/>
    <w:rsid w:val="00F07436"/>
    <w:rsid w:val="00F07B3E"/>
    <w:rsid w:val="00F07D41"/>
    <w:rsid w:val="00F105A7"/>
    <w:rsid w:val="00F10EC0"/>
    <w:rsid w:val="00F10F7F"/>
    <w:rsid w:val="00F1110A"/>
    <w:rsid w:val="00F1137B"/>
    <w:rsid w:val="00F117A6"/>
    <w:rsid w:val="00F1182F"/>
    <w:rsid w:val="00F11A78"/>
    <w:rsid w:val="00F11C79"/>
    <w:rsid w:val="00F121F7"/>
    <w:rsid w:val="00F12B5F"/>
    <w:rsid w:val="00F12CCA"/>
    <w:rsid w:val="00F12DA4"/>
    <w:rsid w:val="00F12DE6"/>
    <w:rsid w:val="00F138CB"/>
    <w:rsid w:val="00F13A6A"/>
    <w:rsid w:val="00F13BE6"/>
    <w:rsid w:val="00F14A30"/>
    <w:rsid w:val="00F14C2E"/>
    <w:rsid w:val="00F14DC5"/>
    <w:rsid w:val="00F14F24"/>
    <w:rsid w:val="00F15138"/>
    <w:rsid w:val="00F1541F"/>
    <w:rsid w:val="00F15455"/>
    <w:rsid w:val="00F1554A"/>
    <w:rsid w:val="00F15DF1"/>
    <w:rsid w:val="00F15F6D"/>
    <w:rsid w:val="00F1644F"/>
    <w:rsid w:val="00F165A9"/>
    <w:rsid w:val="00F16AC4"/>
    <w:rsid w:val="00F1715E"/>
    <w:rsid w:val="00F172E0"/>
    <w:rsid w:val="00F173B4"/>
    <w:rsid w:val="00F17782"/>
    <w:rsid w:val="00F17C92"/>
    <w:rsid w:val="00F17D55"/>
    <w:rsid w:val="00F17DFC"/>
    <w:rsid w:val="00F20074"/>
    <w:rsid w:val="00F2025E"/>
    <w:rsid w:val="00F202E7"/>
    <w:rsid w:val="00F20635"/>
    <w:rsid w:val="00F20656"/>
    <w:rsid w:val="00F20ED3"/>
    <w:rsid w:val="00F20F47"/>
    <w:rsid w:val="00F20F87"/>
    <w:rsid w:val="00F21062"/>
    <w:rsid w:val="00F21739"/>
    <w:rsid w:val="00F219CE"/>
    <w:rsid w:val="00F21A84"/>
    <w:rsid w:val="00F225B7"/>
    <w:rsid w:val="00F23026"/>
    <w:rsid w:val="00F2311A"/>
    <w:rsid w:val="00F23169"/>
    <w:rsid w:val="00F231C1"/>
    <w:rsid w:val="00F23285"/>
    <w:rsid w:val="00F233C9"/>
    <w:rsid w:val="00F23972"/>
    <w:rsid w:val="00F23C03"/>
    <w:rsid w:val="00F23CDD"/>
    <w:rsid w:val="00F242D2"/>
    <w:rsid w:val="00F248DB"/>
    <w:rsid w:val="00F24EFD"/>
    <w:rsid w:val="00F2528C"/>
    <w:rsid w:val="00F2540D"/>
    <w:rsid w:val="00F2556E"/>
    <w:rsid w:val="00F261DD"/>
    <w:rsid w:val="00F26721"/>
    <w:rsid w:val="00F269B3"/>
    <w:rsid w:val="00F26DF3"/>
    <w:rsid w:val="00F26EAF"/>
    <w:rsid w:val="00F26FF9"/>
    <w:rsid w:val="00F272C8"/>
    <w:rsid w:val="00F27D5B"/>
    <w:rsid w:val="00F3038E"/>
    <w:rsid w:val="00F305A2"/>
    <w:rsid w:val="00F30925"/>
    <w:rsid w:val="00F30C7E"/>
    <w:rsid w:val="00F30DCF"/>
    <w:rsid w:val="00F30F4A"/>
    <w:rsid w:val="00F31095"/>
    <w:rsid w:val="00F313DB"/>
    <w:rsid w:val="00F31448"/>
    <w:rsid w:val="00F3161A"/>
    <w:rsid w:val="00F31836"/>
    <w:rsid w:val="00F32110"/>
    <w:rsid w:val="00F32200"/>
    <w:rsid w:val="00F3230A"/>
    <w:rsid w:val="00F32379"/>
    <w:rsid w:val="00F32B1A"/>
    <w:rsid w:val="00F32BF2"/>
    <w:rsid w:val="00F32DD9"/>
    <w:rsid w:val="00F330C8"/>
    <w:rsid w:val="00F33380"/>
    <w:rsid w:val="00F33515"/>
    <w:rsid w:val="00F33777"/>
    <w:rsid w:val="00F33A4D"/>
    <w:rsid w:val="00F33FF3"/>
    <w:rsid w:val="00F3403D"/>
    <w:rsid w:val="00F340C8"/>
    <w:rsid w:val="00F341EE"/>
    <w:rsid w:val="00F342AD"/>
    <w:rsid w:val="00F3430C"/>
    <w:rsid w:val="00F344D1"/>
    <w:rsid w:val="00F345CC"/>
    <w:rsid w:val="00F346E4"/>
    <w:rsid w:val="00F348F6"/>
    <w:rsid w:val="00F34A91"/>
    <w:rsid w:val="00F350A8"/>
    <w:rsid w:val="00F350B2"/>
    <w:rsid w:val="00F35427"/>
    <w:rsid w:val="00F359C6"/>
    <w:rsid w:val="00F35C29"/>
    <w:rsid w:val="00F35FF0"/>
    <w:rsid w:val="00F36067"/>
    <w:rsid w:val="00F36D71"/>
    <w:rsid w:val="00F36E35"/>
    <w:rsid w:val="00F370B3"/>
    <w:rsid w:val="00F37257"/>
    <w:rsid w:val="00F37370"/>
    <w:rsid w:val="00F37C46"/>
    <w:rsid w:val="00F400D1"/>
    <w:rsid w:val="00F40A49"/>
    <w:rsid w:val="00F42169"/>
    <w:rsid w:val="00F4219D"/>
    <w:rsid w:val="00F425C4"/>
    <w:rsid w:val="00F42742"/>
    <w:rsid w:val="00F42E57"/>
    <w:rsid w:val="00F42F91"/>
    <w:rsid w:val="00F4312B"/>
    <w:rsid w:val="00F432D7"/>
    <w:rsid w:val="00F43523"/>
    <w:rsid w:val="00F439AE"/>
    <w:rsid w:val="00F43C68"/>
    <w:rsid w:val="00F43D1F"/>
    <w:rsid w:val="00F444B8"/>
    <w:rsid w:val="00F44866"/>
    <w:rsid w:val="00F44B8B"/>
    <w:rsid w:val="00F44EBD"/>
    <w:rsid w:val="00F45372"/>
    <w:rsid w:val="00F45A2C"/>
    <w:rsid w:val="00F45B44"/>
    <w:rsid w:val="00F45C3A"/>
    <w:rsid w:val="00F464BC"/>
    <w:rsid w:val="00F46D1E"/>
    <w:rsid w:val="00F478E7"/>
    <w:rsid w:val="00F47CED"/>
    <w:rsid w:val="00F47E96"/>
    <w:rsid w:val="00F505E2"/>
    <w:rsid w:val="00F50A3E"/>
    <w:rsid w:val="00F50A72"/>
    <w:rsid w:val="00F50B11"/>
    <w:rsid w:val="00F50EAA"/>
    <w:rsid w:val="00F51D8C"/>
    <w:rsid w:val="00F51E5B"/>
    <w:rsid w:val="00F5231E"/>
    <w:rsid w:val="00F525B1"/>
    <w:rsid w:val="00F5292A"/>
    <w:rsid w:val="00F52C94"/>
    <w:rsid w:val="00F52FA0"/>
    <w:rsid w:val="00F53455"/>
    <w:rsid w:val="00F53755"/>
    <w:rsid w:val="00F5389E"/>
    <w:rsid w:val="00F538E4"/>
    <w:rsid w:val="00F5394F"/>
    <w:rsid w:val="00F53A57"/>
    <w:rsid w:val="00F541C1"/>
    <w:rsid w:val="00F54350"/>
    <w:rsid w:val="00F543EB"/>
    <w:rsid w:val="00F54892"/>
    <w:rsid w:val="00F54AB8"/>
    <w:rsid w:val="00F54D02"/>
    <w:rsid w:val="00F55A0B"/>
    <w:rsid w:val="00F55B20"/>
    <w:rsid w:val="00F55DC6"/>
    <w:rsid w:val="00F55E3C"/>
    <w:rsid w:val="00F56490"/>
    <w:rsid w:val="00F56893"/>
    <w:rsid w:val="00F57179"/>
    <w:rsid w:val="00F5787B"/>
    <w:rsid w:val="00F57B83"/>
    <w:rsid w:val="00F57DAB"/>
    <w:rsid w:val="00F60114"/>
    <w:rsid w:val="00F6026C"/>
    <w:rsid w:val="00F60758"/>
    <w:rsid w:val="00F60B6C"/>
    <w:rsid w:val="00F60B74"/>
    <w:rsid w:val="00F61430"/>
    <w:rsid w:val="00F6145E"/>
    <w:rsid w:val="00F61775"/>
    <w:rsid w:val="00F61840"/>
    <w:rsid w:val="00F6186E"/>
    <w:rsid w:val="00F61DEE"/>
    <w:rsid w:val="00F61FC9"/>
    <w:rsid w:val="00F62064"/>
    <w:rsid w:val="00F6206D"/>
    <w:rsid w:val="00F624BD"/>
    <w:rsid w:val="00F62D57"/>
    <w:rsid w:val="00F63EDF"/>
    <w:rsid w:val="00F63F17"/>
    <w:rsid w:val="00F649B5"/>
    <w:rsid w:val="00F64D79"/>
    <w:rsid w:val="00F65363"/>
    <w:rsid w:val="00F6557F"/>
    <w:rsid w:val="00F656C6"/>
    <w:rsid w:val="00F65A51"/>
    <w:rsid w:val="00F65B94"/>
    <w:rsid w:val="00F6615A"/>
    <w:rsid w:val="00F66423"/>
    <w:rsid w:val="00F66A5D"/>
    <w:rsid w:val="00F66C32"/>
    <w:rsid w:val="00F67244"/>
    <w:rsid w:val="00F675DB"/>
    <w:rsid w:val="00F70154"/>
    <w:rsid w:val="00F70500"/>
    <w:rsid w:val="00F70628"/>
    <w:rsid w:val="00F7092B"/>
    <w:rsid w:val="00F70960"/>
    <w:rsid w:val="00F70B79"/>
    <w:rsid w:val="00F70EBD"/>
    <w:rsid w:val="00F71331"/>
    <w:rsid w:val="00F719A6"/>
    <w:rsid w:val="00F72138"/>
    <w:rsid w:val="00F722C7"/>
    <w:rsid w:val="00F724AC"/>
    <w:rsid w:val="00F724D9"/>
    <w:rsid w:val="00F72711"/>
    <w:rsid w:val="00F72BCB"/>
    <w:rsid w:val="00F72C75"/>
    <w:rsid w:val="00F72CC3"/>
    <w:rsid w:val="00F73150"/>
    <w:rsid w:val="00F736AF"/>
    <w:rsid w:val="00F73DCA"/>
    <w:rsid w:val="00F756CF"/>
    <w:rsid w:val="00F7583B"/>
    <w:rsid w:val="00F75A07"/>
    <w:rsid w:val="00F75A10"/>
    <w:rsid w:val="00F75DA5"/>
    <w:rsid w:val="00F75E06"/>
    <w:rsid w:val="00F76269"/>
    <w:rsid w:val="00F77153"/>
    <w:rsid w:val="00F77247"/>
    <w:rsid w:val="00F7783C"/>
    <w:rsid w:val="00F7794E"/>
    <w:rsid w:val="00F77FFC"/>
    <w:rsid w:val="00F77FFD"/>
    <w:rsid w:val="00F80559"/>
    <w:rsid w:val="00F8055F"/>
    <w:rsid w:val="00F805A1"/>
    <w:rsid w:val="00F81092"/>
    <w:rsid w:val="00F81673"/>
    <w:rsid w:val="00F82D53"/>
    <w:rsid w:val="00F82DFF"/>
    <w:rsid w:val="00F82EC4"/>
    <w:rsid w:val="00F83163"/>
    <w:rsid w:val="00F831D5"/>
    <w:rsid w:val="00F83476"/>
    <w:rsid w:val="00F8351C"/>
    <w:rsid w:val="00F8362D"/>
    <w:rsid w:val="00F836F2"/>
    <w:rsid w:val="00F8370B"/>
    <w:rsid w:val="00F8390F"/>
    <w:rsid w:val="00F83991"/>
    <w:rsid w:val="00F83AA4"/>
    <w:rsid w:val="00F83EE8"/>
    <w:rsid w:val="00F8408B"/>
    <w:rsid w:val="00F8412B"/>
    <w:rsid w:val="00F8472A"/>
    <w:rsid w:val="00F847B9"/>
    <w:rsid w:val="00F84839"/>
    <w:rsid w:val="00F85395"/>
    <w:rsid w:val="00F857B2"/>
    <w:rsid w:val="00F85914"/>
    <w:rsid w:val="00F85A84"/>
    <w:rsid w:val="00F85BA6"/>
    <w:rsid w:val="00F86640"/>
    <w:rsid w:val="00F86C3D"/>
    <w:rsid w:val="00F870CA"/>
    <w:rsid w:val="00F87320"/>
    <w:rsid w:val="00F874E8"/>
    <w:rsid w:val="00F87AD5"/>
    <w:rsid w:val="00F87AF5"/>
    <w:rsid w:val="00F9032A"/>
    <w:rsid w:val="00F90B8C"/>
    <w:rsid w:val="00F90FA3"/>
    <w:rsid w:val="00F9129E"/>
    <w:rsid w:val="00F913DA"/>
    <w:rsid w:val="00F91A07"/>
    <w:rsid w:val="00F924C7"/>
    <w:rsid w:val="00F925FA"/>
    <w:rsid w:val="00F92957"/>
    <w:rsid w:val="00F92D26"/>
    <w:rsid w:val="00F92E4B"/>
    <w:rsid w:val="00F92EC2"/>
    <w:rsid w:val="00F93009"/>
    <w:rsid w:val="00F932D2"/>
    <w:rsid w:val="00F93344"/>
    <w:rsid w:val="00F94154"/>
    <w:rsid w:val="00F943F2"/>
    <w:rsid w:val="00F94959"/>
    <w:rsid w:val="00F95105"/>
    <w:rsid w:val="00F957D0"/>
    <w:rsid w:val="00F95AD3"/>
    <w:rsid w:val="00F9609F"/>
    <w:rsid w:val="00F968B1"/>
    <w:rsid w:val="00F96908"/>
    <w:rsid w:val="00F96BB0"/>
    <w:rsid w:val="00F96F0B"/>
    <w:rsid w:val="00F96F34"/>
    <w:rsid w:val="00F970DE"/>
    <w:rsid w:val="00F97998"/>
    <w:rsid w:val="00F97D1C"/>
    <w:rsid w:val="00F97F3D"/>
    <w:rsid w:val="00FA016A"/>
    <w:rsid w:val="00FA0A86"/>
    <w:rsid w:val="00FA0AA4"/>
    <w:rsid w:val="00FA0B45"/>
    <w:rsid w:val="00FA0BC9"/>
    <w:rsid w:val="00FA0D23"/>
    <w:rsid w:val="00FA0EBF"/>
    <w:rsid w:val="00FA11F7"/>
    <w:rsid w:val="00FA1251"/>
    <w:rsid w:val="00FA1612"/>
    <w:rsid w:val="00FA1636"/>
    <w:rsid w:val="00FA168A"/>
    <w:rsid w:val="00FA179E"/>
    <w:rsid w:val="00FA1819"/>
    <w:rsid w:val="00FA1F02"/>
    <w:rsid w:val="00FA2122"/>
    <w:rsid w:val="00FA23F7"/>
    <w:rsid w:val="00FA2521"/>
    <w:rsid w:val="00FA2B0C"/>
    <w:rsid w:val="00FA2C15"/>
    <w:rsid w:val="00FA2D37"/>
    <w:rsid w:val="00FA32DF"/>
    <w:rsid w:val="00FA3491"/>
    <w:rsid w:val="00FA357D"/>
    <w:rsid w:val="00FA38C6"/>
    <w:rsid w:val="00FA3A46"/>
    <w:rsid w:val="00FA3B71"/>
    <w:rsid w:val="00FA41F5"/>
    <w:rsid w:val="00FA4206"/>
    <w:rsid w:val="00FA422E"/>
    <w:rsid w:val="00FA441B"/>
    <w:rsid w:val="00FA4C65"/>
    <w:rsid w:val="00FA50DF"/>
    <w:rsid w:val="00FA516E"/>
    <w:rsid w:val="00FA5914"/>
    <w:rsid w:val="00FA5B96"/>
    <w:rsid w:val="00FA5D1F"/>
    <w:rsid w:val="00FA5D2C"/>
    <w:rsid w:val="00FA6030"/>
    <w:rsid w:val="00FA60EF"/>
    <w:rsid w:val="00FA626E"/>
    <w:rsid w:val="00FA62DB"/>
    <w:rsid w:val="00FA641E"/>
    <w:rsid w:val="00FA642B"/>
    <w:rsid w:val="00FA7117"/>
    <w:rsid w:val="00FA7BFD"/>
    <w:rsid w:val="00FA7D06"/>
    <w:rsid w:val="00FA7FF9"/>
    <w:rsid w:val="00FB009C"/>
    <w:rsid w:val="00FB017F"/>
    <w:rsid w:val="00FB0783"/>
    <w:rsid w:val="00FB1471"/>
    <w:rsid w:val="00FB14B4"/>
    <w:rsid w:val="00FB1567"/>
    <w:rsid w:val="00FB15EB"/>
    <w:rsid w:val="00FB17AF"/>
    <w:rsid w:val="00FB1C0A"/>
    <w:rsid w:val="00FB203F"/>
    <w:rsid w:val="00FB24BE"/>
    <w:rsid w:val="00FB2E75"/>
    <w:rsid w:val="00FB34E3"/>
    <w:rsid w:val="00FB3822"/>
    <w:rsid w:val="00FB3BCD"/>
    <w:rsid w:val="00FB47C1"/>
    <w:rsid w:val="00FB5ACC"/>
    <w:rsid w:val="00FB5D0A"/>
    <w:rsid w:val="00FB5FFC"/>
    <w:rsid w:val="00FB6289"/>
    <w:rsid w:val="00FB632D"/>
    <w:rsid w:val="00FB65E2"/>
    <w:rsid w:val="00FB66F9"/>
    <w:rsid w:val="00FB6B92"/>
    <w:rsid w:val="00FB6E79"/>
    <w:rsid w:val="00FB783E"/>
    <w:rsid w:val="00FC0079"/>
    <w:rsid w:val="00FC01F5"/>
    <w:rsid w:val="00FC0395"/>
    <w:rsid w:val="00FC05AC"/>
    <w:rsid w:val="00FC0B86"/>
    <w:rsid w:val="00FC1233"/>
    <w:rsid w:val="00FC15E4"/>
    <w:rsid w:val="00FC1CC6"/>
    <w:rsid w:val="00FC2BCD"/>
    <w:rsid w:val="00FC3113"/>
    <w:rsid w:val="00FC31EE"/>
    <w:rsid w:val="00FC383D"/>
    <w:rsid w:val="00FC39E5"/>
    <w:rsid w:val="00FC3AB5"/>
    <w:rsid w:val="00FC3DC8"/>
    <w:rsid w:val="00FC3DE7"/>
    <w:rsid w:val="00FC3FA6"/>
    <w:rsid w:val="00FC4109"/>
    <w:rsid w:val="00FC4DCB"/>
    <w:rsid w:val="00FC5540"/>
    <w:rsid w:val="00FC6074"/>
    <w:rsid w:val="00FC6551"/>
    <w:rsid w:val="00FC6B52"/>
    <w:rsid w:val="00FC6EAA"/>
    <w:rsid w:val="00FC6ECB"/>
    <w:rsid w:val="00FC708A"/>
    <w:rsid w:val="00FC73AB"/>
    <w:rsid w:val="00FC7552"/>
    <w:rsid w:val="00FC774C"/>
    <w:rsid w:val="00FC7DC5"/>
    <w:rsid w:val="00FC7F3C"/>
    <w:rsid w:val="00FD0422"/>
    <w:rsid w:val="00FD0957"/>
    <w:rsid w:val="00FD0A39"/>
    <w:rsid w:val="00FD0E8D"/>
    <w:rsid w:val="00FD1217"/>
    <w:rsid w:val="00FD12FB"/>
    <w:rsid w:val="00FD1386"/>
    <w:rsid w:val="00FD1662"/>
    <w:rsid w:val="00FD2413"/>
    <w:rsid w:val="00FD2643"/>
    <w:rsid w:val="00FD27B1"/>
    <w:rsid w:val="00FD2880"/>
    <w:rsid w:val="00FD356D"/>
    <w:rsid w:val="00FD3A57"/>
    <w:rsid w:val="00FD4252"/>
    <w:rsid w:val="00FD4522"/>
    <w:rsid w:val="00FD5161"/>
    <w:rsid w:val="00FD5560"/>
    <w:rsid w:val="00FD56B4"/>
    <w:rsid w:val="00FD5C14"/>
    <w:rsid w:val="00FD5EC2"/>
    <w:rsid w:val="00FD6577"/>
    <w:rsid w:val="00FD6646"/>
    <w:rsid w:val="00FD6685"/>
    <w:rsid w:val="00FD66E0"/>
    <w:rsid w:val="00FD6729"/>
    <w:rsid w:val="00FD72F2"/>
    <w:rsid w:val="00FD7CFD"/>
    <w:rsid w:val="00FD7D58"/>
    <w:rsid w:val="00FD7ED9"/>
    <w:rsid w:val="00FD7F80"/>
    <w:rsid w:val="00FE000C"/>
    <w:rsid w:val="00FE0A50"/>
    <w:rsid w:val="00FE0C9A"/>
    <w:rsid w:val="00FE0F93"/>
    <w:rsid w:val="00FE1AE4"/>
    <w:rsid w:val="00FE1B3B"/>
    <w:rsid w:val="00FE1C0E"/>
    <w:rsid w:val="00FE1F66"/>
    <w:rsid w:val="00FE253C"/>
    <w:rsid w:val="00FE27BB"/>
    <w:rsid w:val="00FE2A50"/>
    <w:rsid w:val="00FE309B"/>
    <w:rsid w:val="00FE315B"/>
    <w:rsid w:val="00FE31CD"/>
    <w:rsid w:val="00FE3345"/>
    <w:rsid w:val="00FE36B8"/>
    <w:rsid w:val="00FE3CFD"/>
    <w:rsid w:val="00FE3DC6"/>
    <w:rsid w:val="00FE3DEF"/>
    <w:rsid w:val="00FE3FD6"/>
    <w:rsid w:val="00FE454A"/>
    <w:rsid w:val="00FE4951"/>
    <w:rsid w:val="00FE64DB"/>
    <w:rsid w:val="00FE66B9"/>
    <w:rsid w:val="00FE67A4"/>
    <w:rsid w:val="00FE6B98"/>
    <w:rsid w:val="00FE6CDE"/>
    <w:rsid w:val="00FE6F7D"/>
    <w:rsid w:val="00FE6FF9"/>
    <w:rsid w:val="00FE77D4"/>
    <w:rsid w:val="00FE7943"/>
    <w:rsid w:val="00FE7E57"/>
    <w:rsid w:val="00FF0869"/>
    <w:rsid w:val="00FF0EA8"/>
    <w:rsid w:val="00FF0F05"/>
    <w:rsid w:val="00FF1B45"/>
    <w:rsid w:val="00FF1F79"/>
    <w:rsid w:val="00FF22FC"/>
    <w:rsid w:val="00FF243E"/>
    <w:rsid w:val="00FF2895"/>
    <w:rsid w:val="00FF30D1"/>
    <w:rsid w:val="00FF3D86"/>
    <w:rsid w:val="00FF429F"/>
    <w:rsid w:val="00FF44E0"/>
    <w:rsid w:val="00FF45EC"/>
    <w:rsid w:val="00FF4B75"/>
    <w:rsid w:val="00FF4D36"/>
    <w:rsid w:val="00FF5359"/>
    <w:rsid w:val="00FF5917"/>
    <w:rsid w:val="00FF6069"/>
    <w:rsid w:val="00FF6566"/>
    <w:rsid w:val="00FF6717"/>
    <w:rsid w:val="00FF6722"/>
    <w:rsid w:val="00FF6A04"/>
    <w:rsid w:val="00FF6C7A"/>
    <w:rsid w:val="00FF6CB6"/>
    <w:rsid w:val="00FF6E03"/>
    <w:rsid w:val="00FF70E4"/>
    <w:rsid w:val="00FF71AE"/>
    <w:rsid w:val="00FF73EC"/>
    <w:rsid w:val="00FF73F4"/>
    <w:rsid w:val="00FF758E"/>
    <w:rsid w:val="00FF772F"/>
    <w:rsid w:val="00FF78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C5C9A7"/>
  <w15:docId w15:val="{1B0BB968-3CF8-4380-8273-F3F0676B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0" w:semiHidden="1" w:unhideWhenUsed="1" w:qFormat="1"/>
    <w:lsdException w:name="heading 8" w:uiPriority="10" w:semiHidden="1" w:unhideWhenUsed="1" w:qFormat="1"/>
    <w:lsdException w:name="heading 9" w:uiPriority="10" w:semiHidden="1" w:unhideWhenUsed="1" w:qFormat="1"/>
    <w:lsdException w:name="index 1" w:uiPriority="9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qFormat="1"/>
    <w:lsdException w:name="footer" w:uiPriority="99" w:semiHidden="1" w:unhideWhenUsed="1" w:qFormat="1"/>
    <w:lsdException w:name="index heading" w:uiPriority="99" w:semiHidden="1" w:unhideWhenUsed="1"/>
    <w:lsdException w:name="caption" w:uiPriority="8" w:semiHidden="1" w:unhideWhenUsed="1"/>
    <w:lsdException w:name="table of figures" w:semiHidden="1" w:unhideWhenUsed="1"/>
    <w:lsdException w:name="envelope address" w:uiPriority="99" w:semiHidden="1" w:unhideWhenUsed="1"/>
    <w:lsdException w:name="envelope return" w:uiPriority="99"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uiPriority="99"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semiHidden="1" w:unhideWhenUsed="1"/>
    <w:lsdException w:name="Subtitle" w:uiPriority="11" w:qFormat="1"/>
    <w:lsdException w:name="Body Text First Indent 2" w:semiHidden="1" w:unhideWhenUsed="1"/>
    <w:lsdException w:name="Note Heading" w:semiHidden="1" w:unhideWhenUsed="1"/>
    <w:lsdException w:name="Body Text 2" w:uiPriority="99" w:semiHidden="1" w:unhideWhenUsed="1"/>
    <w:lsdException w:name="Body Text 3" w:uiPriority="99" w:semiHidden="1" w:unhideWhenUsed="1"/>
    <w:lsdException w:name="Body Text Indent 2" w:uiPriority="99" w:semiHidden="1" w:unhideWhenUsed="1" w:qFormat="1"/>
    <w:lsdException w:name="Body Text Indent 3" w:uiPriority="99" w:semiHidden="1" w:unhideWhenUsed="1"/>
    <w:lsdException w:name="Block Text" w:uiPriority="99"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201B2"/>
    <w:pPr>
      <w:spacing w:after="240"/>
      <w:jc w:val="both"/>
    </w:pPr>
    <w:rPr>
      <w:szCs w:val="24"/>
    </w:rPr>
  </w:style>
  <w:style w:type="paragraph" w:styleId="Heading1">
    <w:name w:val="heading 1"/>
    <w:aliases w:val="Heading.CAPS,h1,Section Header"/>
    <w:basedOn w:val="Normal"/>
    <w:link w:val="Heading1Char"/>
    <w:uiPriority w:val="9"/>
    <w:qFormat/>
    <w:rsid w:val="00584B13"/>
    <w:pPr>
      <w:keepNext/>
      <w:numPr>
        <w:numId w:val="12"/>
      </w:numPr>
      <w:tabs>
        <w:tab w:val="left" w:pos="709"/>
      </w:tabs>
      <w:outlineLvl w:val="0"/>
    </w:pPr>
    <w:rPr>
      <w:b/>
      <w:caps/>
      <w:szCs w:val="20"/>
    </w:rPr>
  </w:style>
  <w:style w:type="paragraph" w:styleId="Heading2">
    <w:name w:val="heading 2"/>
    <w:aliases w:val="h2"/>
    <w:basedOn w:val="Normal"/>
    <w:link w:val="Heading2Char"/>
    <w:uiPriority w:val="9"/>
    <w:qFormat/>
    <w:rsid w:val="00584B13"/>
    <w:pPr>
      <w:numPr>
        <w:ilvl w:val="1"/>
        <w:numId w:val="12"/>
      </w:numPr>
      <w:outlineLvl w:val="1"/>
    </w:pPr>
    <w:rPr>
      <w:szCs w:val="20"/>
    </w:rPr>
  </w:style>
  <w:style w:type="paragraph" w:styleId="Heading3">
    <w:name w:val="heading 3"/>
    <w:aliases w:val="h3,H3"/>
    <w:basedOn w:val="Normal"/>
    <w:link w:val="Heading3Char"/>
    <w:uiPriority w:val="9"/>
    <w:qFormat/>
    <w:rsid w:val="00B47BD7"/>
    <w:pPr>
      <w:numPr>
        <w:ilvl w:val="2"/>
        <w:numId w:val="12"/>
      </w:numPr>
      <w:outlineLvl w:val="2"/>
    </w:pPr>
    <w:rPr>
      <w:szCs w:val="20"/>
    </w:rPr>
  </w:style>
  <w:style w:type="paragraph" w:styleId="Heading4">
    <w:name w:val="heading 4"/>
    <w:aliases w:val="h4"/>
    <w:basedOn w:val="Normal"/>
    <w:link w:val="Heading4Char"/>
    <w:uiPriority w:val="9"/>
    <w:qFormat/>
    <w:rsid w:val="00B47BD7"/>
    <w:pPr>
      <w:numPr>
        <w:ilvl w:val="3"/>
        <w:numId w:val="12"/>
      </w:numPr>
      <w:ind w:left="2127" w:hanging="709"/>
      <w:outlineLvl w:val="3"/>
    </w:pPr>
    <w:rPr>
      <w:szCs w:val="20"/>
    </w:rPr>
  </w:style>
  <w:style w:type="paragraph" w:styleId="Heading5">
    <w:name w:val="heading 5"/>
    <w:aliases w:val="h5"/>
    <w:basedOn w:val="Normal"/>
    <w:link w:val="Heading5Char"/>
    <w:uiPriority w:val="9"/>
    <w:qFormat/>
    <w:rsid w:val="00330C48"/>
    <w:pPr>
      <w:numPr>
        <w:ilvl w:val="4"/>
        <w:numId w:val="12"/>
      </w:numPr>
      <w:outlineLvl w:val="4"/>
    </w:pPr>
    <w:rPr>
      <w:szCs w:val="20"/>
    </w:rPr>
  </w:style>
  <w:style w:type="paragraph" w:styleId="Heading6">
    <w:name w:val="heading 6"/>
    <w:aliases w:val="h6"/>
    <w:basedOn w:val="Normal"/>
    <w:link w:val="Heading6Char"/>
    <w:uiPriority w:val="9"/>
    <w:unhideWhenUsed/>
    <w:qFormat/>
    <w:rsid w:val="00941B2D"/>
    <w:pPr>
      <w:numPr>
        <w:ilvl w:val="5"/>
        <w:numId w:val="10"/>
      </w:numPr>
      <w:outlineLvl w:val="5"/>
    </w:pPr>
    <w:rPr>
      <w:szCs w:val="20"/>
    </w:rPr>
  </w:style>
  <w:style w:type="paragraph" w:styleId="Heading7">
    <w:name w:val="heading 7"/>
    <w:aliases w:val="h7"/>
    <w:basedOn w:val="Normal"/>
    <w:link w:val="Heading7Char"/>
    <w:uiPriority w:val="10"/>
    <w:qFormat/>
    <w:rsid w:val="00941B2D"/>
    <w:pPr>
      <w:outlineLvl w:val="6"/>
    </w:pPr>
    <w:rPr>
      <w:szCs w:val="20"/>
    </w:rPr>
  </w:style>
  <w:style w:type="paragraph" w:styleId="Heading8">
    <w:name w:val="heading 8"/>
    <w:basedOn w:val="Normal"/>
    <w:link w:val="Heading8Char"/>
    <w:uiPriority w:val="10"/>
    <w:qFormat/>
    <w:rsid w:val="00941B2D"/>
    <w:pPr>
      <w:outlineLvl w:val="7"/>
    </w:pPr>
    <w:rPr>
      <w:szCs w:val="20"/>
    </w:rPr>
  </w:style>
  <w:style w:type="paragraph" w:styleId="Heading9">
    <w:name w:val="heading 9"/>
    <w:basedOn w:val="Normal"/>
    <w:link w:val="Heading9Char"/>
    <w:uiPriority w:val="10"/>
    <w:qFormat/>
    <w:rsid w:val="00941B2D"/>
    <w:pPr>
      <w:outlineLvl w:val="8"/>
    </w:pPr>
    <w:rPr>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ingle" w:customStyle="1">
    <w:name w:val="single"/>
    <w:basedOn w:val="Normal"/>
    <w:qFormat/>
    <w:rsid w:val="00941B2D"/>
    <w:rPr>
      <w:szCs w:val="22"/>
    </w:rPr>
  </w:style>
  <w:style w:type="paragraph" w:styleId="Footer">
    <w:name w:val="footer"/>
    <w:basedOn w:val="Normal"/>
    <w:link w:val="FooterChar"/>
    <w:uiPriority w:val="99"/>
    <w:qFormat/>
    <w:rsid w:val="00941B2D"/>
    <w:pPr>
      <w:tabs>
        <w:tab w:val="right" w:pos="9356"/>
      </w:tabs>
      <w:spacing w:after="0"/>
    </w:pPr>
    <w:rPr>
      <w:sz w:val="18"/>
      <w:szCs w:val="20"/>
    </w:rPr>
  </w:style>
  <w:style w:type="paragraph" w:styleId="Header">
    <w:name w:val="header"/>
    <w:basedOn w:val="Normal"/>
    <w:link w:val="HeaderChar"/>
    <w:uiPriority w:val="99"/>
    <w:qFormat/>
    <w:rsid w:val="00941B2D"/>
    <w:pPr>
      <w:spacing w:after="180"/>
      <w:jc w:val="right"/>
    </w:pPr>
    <w:rPr>
      <w:b/>
      <w:smallCaps/>
      <w:sz w:val="18"/>
      <w:szCs w:val="20"/>
    </w:rPr>
  </w:style>
  <w:style w:type="paragraph" w:styleId="BoldCentre" w:customStyle="1">
    <w:name w:val="Bold &amp; Centre"/>
    <w:basedOn w:val="Normal"/>
    <w:rsid w:val="00941B2D"/>
    <w:pPr>
      <w:keepNext/>
      <w:jc w:val="center"/>
    </w:pPr>
    <w:rPr>
      <w:b/>
      <w:szCs w:val="20"/>
    </w:rPr>
  </w:style>
  <w:style w:type="paragraph" w:styleId="BoldCentreSingle" w:customStyle="1">
    <w:name w:val="Bold &amp; Centre &amp; Single"/>
    <w:basedOn w:val="single"/>
    <w:rsid w:val="00941B2D"/>
    <w:pPr>
      <w:keepNext/>
      <w:spacing w:after="0"/>
      <w:jc w:val="center"/>
    </w:pPr>
    <w:rPr>
      <w:b/>
    </w:rPr>
  </w:style>
  <w:style w:type="paragraph" w:styleId="PartiesFront" w:customStyle="1">
    <w:name w:val="Parties Front"/>
    <w:basedOn w:val="Normal"/>
    <w:next w:val="Normal"/>
    <w:uiPriority w:val="7"/>
    <w:qFormat/>
    <w:rsid w:val="00941B2D"/>
    <w:pPr>
      <w:numPr>
        <w:numId w:val="4"/>
      </w:numPr>
      <w:spacing w:after="0"/>
      <w:ind w:right="1701"/>
      <w:jc w:val="left"/>
    </w:pPr>
    <w:rPr>
      <w:b/>
      <w:caps/>
    </w:rPr>
  </w:style>
  <w:style w:type="paragraph" w:styleId="BoldSingle" w:customStyle="1">
    <w:name w:val="Bold &amp; Single"/>
    <w:basedOn w:val="single"/>
    <w:rsid w:val="00941B2D"/>
    <w:pPr>
      <w:spacing w:after="0"/>
    </w:pPr>
    <w:rPr>
      <w:b/>
    </w:rPr>
  </w:style>
  <w:style w:type="paragraph" w:styleId="ListBullet">
    <w:name w:val="List Bullet"/>
    <w:basedOn w:val="Normal"/>
    <w:rsid w:val="00941B2D"/>
    <w:pPr>
      <w:numPr>
        <w:numId w:val="1"/>
      </w:numPr>
    </w:pPr>
    <w:rPr>
      <w:szCs w:val="20"/>
    </w:rPr>
  </w:style>
  <w:style w:type="paragraph" w:styleId="Bullet" w:customStyle="1">
    <w:name w:val="Bullet"/>
    <w:basedOn w:val="ListBullet"/>
    <w:rsid w:val="00941B2D"/>
    <w:pPr>
      <w:numPr>
        <w:numId w:val="5"/>
      </w:numPr>
    </w:pPr>
  </w:style>
  <w:style w:type="paragraph" w:styleId="ClauseText" w:customStyle="1">
    <w:name w:val="Clause Text"/>
    <w:basedOn w:val="Normal"/>
    <w:qFormat/>
    <w:rsid w:val="00941B2D"/>
    <w:pPr>
      <w:ind w:left="1134"/>
    </w:pPr>
    <w:rPr>
      <w:szCs w:val="20"/>
    </w:rPr>
  </w:style>
  <w:style w:type="paragraph" w:styleId="DblIndent" w:customStyle="1">
    <w:name w:val="Dbl Indent"/>
    <w:basedOn w:val="Normal"/>
    <w:rsid w:val="00941B2D"/>
    <w:pPr>
      <w:ind w:left="1134" w:hanging="1134"/>
    </w:pPr>
    <w:rPr>
      <w:szCs w:val="20"/>
    </w:rPr>
  </w:style>
  <w:style w:type="paragraph" w:styleId="definition" w:customStyle="1">
    <w:name w:val="definition"/>
    <w:basedOn w:val="Normal"/>
    <w:uiPriority w:val="7"/>
    <w:qFormat/>
    <w:rsid w:val="00941B2D"/>
    <w:pPr>
      <w:ind w:left="3969" w:hanging="2835"/>
    </w:pPr>
    <w:rPr>
      <w:szCs w:val="20"/>
    </w:rPr>
  </w:style>
  <w:style w:type="paragraph" w:styleId="definitionsub" w:customStyle="1">
    <w:name w:val="definition sub"/>
    <w:basedOn w:val="Normal"/>
    <w:link w:val="definitionsubChar"/>
    <w:qFormat/>
    <w:rsid w:val="00941B2D"/>
    <w:pPr>
      <w:numPr>
        <w:numId w:val="2"/>
      </w:numPr>
    </w:pPr>
    <w:rPr>
      <w:szCs w:val="20"/>
    </w:rPr>
  </w:style>
  <w:style w:type="paragraph" w:styleId="FootnoteText">
    <w:name w:val="footnote text"/>
    <w:basedOn w:val="Normal"/>
    <w:link w:val="FootnoteTextChar"/>
    <w:uiPriority w:val="99"/>
    <w:rsid w:val="00941B2D"/>
    <w:rPr>
      <w:sz w:val="18"/>
      <w:szCs w:val="20"/>
    </w:rPr>
  </w:style>
  <w:style w:type="paragraph" w:styleId="HangIndent" w:customStyle="1">
    <w:name w:val="Hang Indent"/>
    <w:basedOn w:val="Normal"/>
    <w:rsid w:val="00941B2D"/>
    <w:pPr>
      <w:tabs>
        <w:tab w:val="left" w:pos="1134"/>
      </w:tabs>
      <w:ind w:left="1134" w:hanging="1134"/>
    </w:pPr>
    <w:rPr>
      <w:szCs w:val="20"/>
    </w:rPr>
  </w:style>
  <w:style w:type="paragraph" w:styleId="Headertoc" w:customStyle="1">
    <w:name w:val="Headertoc"/>
    <w:basedOn w:val="Normal"/>
    <w:rsid w:val="00941B2D"/>
    <w:pPr>
      <w:keepNext/>
      <w:tabs>
        <w:tab w:val="right" w:pos="9356"/>
      </w:tabs>
      <w:jc w:val="left"/>
    </w:pPr>
    <w:rPr>
      <w:b/>
      <w:szCs w:val="20"/>
    </w:rPr>
  </w:style>
  <w:style w:type="paragraph" w:styleId="ListNumber">
    <w:name w:val="List Number"/>
    <w:basedOn w:val="Normal"/>
    <w:rsid w:val="00941B2D"/>
    <w:pPr>
      <w:numPr>
        <w:numId w:val="3"/>
      </w:numPr>
    </w:pPr>
    <w:rPr>
      <w:szCs w:val="20"/>
    </w:rPr>
  </w:style>
  <w:style w:type="character" w:styleId="NotesDraftC" w:customStyle="1">
    <w:name w:val="Notes Draft (C)"/>
    <w:basedOn w:val="DefaultParagraphFont"/>
    <w:rsid w:val="00941B2D"/>
    <w:rPr>
      <w:rFonts w:ascii="Arial" w:hAnsi="Arial"/>
      <w:b/>
      <w:smallCaps/>
      <w:dstrike w:val="0"/>
      <w:noProof w:val="0"/>
      <w:color w:val="auto"/>
      <w:sz w:val="20"/>
      <w:vertAlign w:val="baseline"/>
    </w:rPr>
  </w:style>
  <w:style w:type="paragraph" w:styleId="NotesDraftP" w:customStyle="1">
    <w:name w:val="Notes Draft (P)"/>
    <w:basedOn w:val="Normal"/>
    <w:rsid w:val="00941B2D"/>
    <w:rPr>
      <w:b/>
      <w:smallCaps/>
      <w:noProof/>
      <w:color w:val="000000"/>
    </w:rPr>
  </w:style>
  <w:style w:type="paragraph" w:styleId="NotesText" w:customStyle="1">
    <w:name w:val="Notes Text"/>
    <w:basedOn w:val="single"/>
    <w:rsid w:val="00941B2D"/>
    <w:pPr>
      <w:shd w:val="pct10" w:color="auto" w:fill="FFFFFF"/>
    </w:pPr>
    <w:rPr>
      <w:i/>
      <w:noProof/>
      <w:color w:val="000000"/>
    </w:rPr>
  </w:style>
  <w:style w:type="paragraph" w:styleId="Parties" w:customStyle="1">
    <w:name w:val="Parties"/>
    <w:basedOn w:val="Normal"/>
    <w:uiPriority w:val="7"/>
    <w:qFormat/>
    <w:rsid w:val="00941B2D"/>
    <w:pPr>
      <w:numPr>
        <w:numId w:val="6"/>
      </w:numPr>
    </w:pPr>
    <w:rPr>
      <w:b/>
      <w:szCs w:val="20"/>
    </w:rPr>
  </w:style>
  <w:style w:type="paragraph" w:styleId="Recitals" w:customStyle="1">
    <w:name w:val="Recitals"/>
    <w:basedOn w:val="Normal"/>
    <w:uiPriority w:val="7"/>
    <w:qFormat/>
    <w:rsid w:val="00941B2D"/>
    <w:pPr>
      <w:numPr>
        <w:numId w:val="7"/>
      </w:numPr>
    </w:pPr>
    <w:rPr>
      <w:szCs w:val="20"/>
    </w:rPr>
  </w:style>
  <w:style w:type="paragraph" w:styleId="ScheduleHeading" w:customStyle="1">
    <w:name w:val="Schedule Heading"/>
    <w:basedOn w:val="Normal"/>
    <w:rsid w:val="00941B2D"/>
    <w:pPr>
      <w:jc w:val="center"/>
    </w:pPr>
    <w:rPr>
      <w:b/>
      <w:caps/>
    </w:rPr>
  </w:style>
  <w:style w:type="paragraph" w:styleId="ScheduleL2" w:customStyle="1">
    <w:name w:val="Schedule L2"/>
    <w:basedOn w:val="Normal"/>
    <w:qFormat/>
    <w:rsid w:val="00941B2D"/>
    <w:pPr>
      <w:numPr>
        <w:ilvl w:val="1"/>
        <w:numId w:val="9"/>
      </w:numPr>
    </w:pPr>
    <w:rPr>
      <w:szCs w:val="20"/>
    </w:rPr>
  </w:style>
  <w:style w:type="paragraph" w:styleId="ScheduleL3" w:customStyle="1">
    <w:name w:val="Schedule L3"/>
    <w:basedOn w:val="Normal"/>
    <w:qFormat/>
    <w:rsid w:val="00941B2D"/>
    <w:pPr>
      <w:numPr>
        <w:ilvl w:val="2"/>
        <w:numId w:val="9"/>
      </w:numPr>
    </w:pPr>
    <w:rPr>
      <w:szCs w:val="20"/>
    </w:rPr>
  </w:style>
  <w:style w:type="paragraph" w:styleId="ScheduleL4" w:customStyle="1">
    <w:name w:val="Schedule L4"/>
    <w:basedOn w:val="Normal"/>
    <w:qFormat/>
    <w:rsid w:val="00941B2D"/>
    <w:pPr>
      <w:numPr>
        <w:ilvl w:val="3"/>
        <w:numId w:val="9"/>
      </w:numPr>
    </w:pPr>
    <w:rPr>
      <w:szCs w:val="20"/>
    </w:rPr>
  </w:style>
  <w:style w:type="paragraph" w:styleId="Signature1" w:customStyle="1">
    <w:name w:val="Signature1"/>
    <w:basedOn w:val="single"/>
    <w:rsid w:val="00941B2D"/>
    <w:pPr>
      <w:keepNext/>
      <w:tabs>
        <w:tab w:val="left" w:pos="4729"/>
        <w:tab w:val="right" w:leader="dot" w:pos="9356"/>
      </w:tabs>
      <w:spacing w:after="0"/>
    </w:pPr>
  </w:style>
  <w:style w:type="paragraph" w:styleId="SignatureLine" w:customStyle="1">
    <w:name w:val="Signature Line"/>
    <w:basedOn w:val="single"/>
    <w:next w:val="Signature1"/>
    <w:rsid w:val="00941B2D"/>
    <w:pPr>
      <w:keepNext/>
      <w:tabs>
        <w:tab w:val="right" w:leader="dot" w:pos="4536"/>
      </w:tabs>
      <w:spacing w:after="0"/>
    </w:pPr>
  </w:style>
  <w:style w:type="paragraph" w:styleId="TOC1">
    <w:name w:val="toc 1"/>
    <w:basedOn w:val="single"/>
    <w:next w:val="Normal"/>
    <w:uiPriority w:val="39"/>
    <w:unhideWhenUsed/>
    <w:rsid w:val="00EB2A15"/>
    <w:pPr>
      <w:tabs>
        <w:tab w:val="right" w:pos="9356"/>
      </w:tabs>
      <w:spacing w:after="120"/>
      <w:jc w:val="left"/>
    </w:pPr>
    <w:rPr>
      <w:rFonts w:cs="Arial"/>
      <w:noProof/>
      <w:szCs w:val="24"/>
    </w:rPr>
  </w:style>
  <w:style w:type="paragraph" w:styleId="TOC2">
    <w:name w:val="toc 2"/>
    <w:basedOn w:val="single"/>
    <w:next w:val="Normal"/>
    <w:uiPriority w:val="39"/>
    <w:unhideWhenUsed/>
    <w:rsid w:val="00941B2D"/>
    <w:pPr>
      <w:tabs>
        <w:tab w:val="right" w:pos="9356"/>
      </w:tabs>
      <w:spacing w:after="120"/>
      <w:ind w:left="1134" w:right="425" w:hanging="567"/>
    </w:pPr>
    <w:rPr>
      <w:noProof/>
    </w:rPr>
  </w:style>
  <w:style w:type="paragraph" w:styleId="TOC3">
    <w:name w:val="toc 3"/>
    <w:basedOn w:val="single"/>
    <w:next w:val="Normal"/>
    <w:uiPriority w:val="39"/>
    <w:unhideWhenUsed/>
    <w:rsid w:val="00941B2D"/>
    <w:pPr>
      <w:tabs>
        <w:tab w:val="right" w:pos="9356"/>
      </w:tabs>
      <w:spacing w:after="120"/>
      <w:ind w:right="425"/>
    </w:pPr>
    <w:rPr>
      <w:noProof/>
    </w:rPr>
  </w:style>
  <w:style w:type="paragraph" w:styleId="TOC9">
    <w:name w:val="toc 9"/>
    <w:basedOn w:val="single"/>
    <w:next w:val="Normal"/>
    <w:uiPriority w:val="39"/>
    <w:unhideWhenUsed/>
    <w:rsid w:val="00941B2D"/>
    <w:pPr>
      <w:tabs>
        <w:tab w:val="right" w:pos="9356"/>
      </w:tabs>
      <w:spacing w:after="120"/>
      <w:ind w:right="425"/>
    </w:pPr>
    <w:rPr>
      <w:noProof/>
    </w:rPr>
  </w:style>
  <w:style w:type="paragraph" w:styleId="Witness" w:customStyle="1">
    <w:name w:val="Witness"/>
    <w:basedOn w:val="single"/>
    <w:uiPriority w:val="7"/>
    <w:qFormat/>
    <w:rsid w:val="00941B2D"/>
    <w:pPr>
      <w:keepNext/>
      <w:tabs>
        <w:tab w:val="left" w:pos="4253"/>
        <w:tab w:val="right" w:leader="dot" w:pos="8789"/>
      </w:tabs>
      <w:spacing w:before="120" w:after="0"/>
    </w:pPr>
  </w:style>
  <w:style w:type="paragraph" w:styleId="WitnessLit" w:customStyle="1">
    <w:name w:val="WitnessLit"/>
    <w:basedOn w:val="Witness"/>
    <w:uiPriority w:val="7"/>
    <w:qFormat/>
    <w:rsid w:val="00941B2D"/>
    <w:pPr>
      <w:tabs>
        <w:tab w:val="left" w:pos="1134"/>
        <w:tab w:val="left" w:leader="dot" w:pos="5387"/>
      </w:tabs>
    </w:pPr>
  </w:style>
  <w:style w:type="character" w:styleId="FootnoteReference">
    <w:name w:val="footnote reference"/>
    <w:basedOn w:val="DefaultParagraphFont"/>
    <w:uiPriority w:val="99"/>
    <w:rsid w:val="00941B2D"/>
    <w:rPr>
      <w:vertAlign w:val="superscript"/>
    </w:rPr>
  </w:style>
  <w:style w:type="paragraph" w:styleId="ScheduleL1" w:customStyle="1">
    <w:name w:val="Schedule L1"/>
    <w:basedOn w:val="Normal"/>
    <w:qFormat/>
    <w:rsid w:val="00941B2D"/>
    <w:pPr>
      <w:keepNext/>
      <w:numPr>
        <w:numId w:val="9"/>
      </w:numPr>
      <w:outlineLvl w:val="0"/>
    </w:pPr>
    <w:rPr>
      <w:b/>
      <w:caps/>
      <w:szCs w:val="20"/>
      <w:lang w:eastAsia="en-US"/>
    </w:rPr>
  </w:style>
  <w:style w:type="numbering" w:styleId="HeadingStyles" w:customStyle="1">
    <w:name w:val="Heading Styles"/>
    <w:uiPriority w:val="99"/>
    <w:rsid w:val="00941B2D"/>
    <w:pPr>
      <w:numPr>
        <w:numId w:val="8"/>
      </w:numPr>
    </w:pPr>
  </w:style>
  <w:style w:type="numbering" w:styleId="ScheduleStyles" w:customStyle="1">
    <w:name w:val="Schedule Styles"/>
    <w:uiPriority w:val="99"/>
    <w:rsid w:val="00941B2D"/>
    <w:pPr>
      <w:numPr>
        <w:numId w:val="9"/>
      </w:numPr>
    </w:pPr>
  </w:style>
  <w:style w:type="paragraph" w:styleId="PartHeading" w:customStyle="1">
    <w:name w:val="Part Heading"/>
    <w:basedOn w:val="Normal"/>
    <w:rsid w:val="00941B2D"/>
    <w:pPr>
      <w:keepNext/>
      <w:jc w:val="center"/>
    </w:pPr>
    <w:rPr>
      <w:b/>
      <w:caps/>
    </w:rPr>
  </w:style>
  <w:style w:type="paragraph" w:styleId="THISheading" w:customStyle="1">
    <w:name w:val="THIS heading"/>
    <w:basedOn w:val="Normal"/>
    <w:rsid w:val="00941B2D"/>
    <w:pPr>
      <w:tabs>
        <w:tab w:val="right" w:pos="9358"/>
      </w:tabs>
    </w:pPr>
  </w:style>
  <w:style w:type="numbering" w:styleId="CorporateHeadings" w:customStyle="1">
    <w:name w:val="Corporate Headings"/>
    <w:uiPriority w:val="99"/>
    <w:rsid w:val="00941B2D"/>
    <w:pPr>
      <w:numPr>
        <w:numId w:val="10"/>
      </w:numPr>
    </w:pPr>
  </w:style>
  <w:style w:type="numbering" w:styleId="CorporateSchedules" w:customStyle="1">
    <w:name w:val="Corporate Schedules"/>
    <w:uiPriority w:val="99"/>
    <w:rsid w:val="00941B2D"/>
    <w:pPr>
      <w:numPr>
        <w:numId w:val="11"/>
      </w:numPr>
    </w:pPr>
  </w:style>
  <w:style w:type="paragraph" w:styleId="ScheduleL5" w:customStyle="1">
    <w:name w:val="Schedule L5"/>
    <w:basedOn w:val="Normal"/>
    <w:unhideWhenUsed/>
    <w:rsid w:val="00941B2D"/>
  </w:style>
  <w:style w:type="paragraph" w:styleId="definitionsubtable" w:customStyle="1">
    <w:name w:val="definition sub table"/>
    <w:basedOn w:val="Normal"/>
    <w:rsid w:val="00941B2D"/>
    <w:pPr>
      <w:numPr>
        <w:numId w:val="13"/>
      </w:numPr>
    </w:pPr>
    <w:rPr>
      <w:szCs w:val="20"/>
    </w:rPr>
  </w:style>
  <w:style w:type="paragraph" w:styleId="AppendixHeading" w:customStyle="1">
    <w:name w:val="Appendix Heading"/>
    <w:basedOn w:val="Normal"/>
    <w:next w:val="BoldCentre"/>
    <w:rsid w:val="00941B2D"/>
    <w:pPr>
      <w:pageBreakBefore/>
      <w:jc w:val="center"/>
    </w:pPr>
    <w:rPr>
      <w:b/>
      <w:caps/>
    </w:rPr>
  </w:style>
  <w:style w:type="numbering" w:styleId="definitionsublist" w:customStyle="1">
    <w:name w:val="definition sub list"/>
    <w:rsid w:val="00941B2D"/>
    <w:pPr>
      <w:numPr>
        <w:numId w:val="13"/>
      </w:numPr>
    </w:pPr>
  </w:style>
  <w:style w:type="numbering" w:styleId="111111">
    <w:name w:val="Outline List 2"/>
    <w:basedOn w:val="NoList"/>
    <w:rsid w:val="001777B4"/>
    <w:pPr>
      <w:numPr>
        <w:numId w:val="14"/>
      </w:numPr>
    </w:pPr>
  </w:style>
  <w:style w:type="numbering" w:styleId="1ai">
    <w:name w:val="Outline List 1"/>
    <w:basedOn w:val="NoList"/>
    <w:rsid w:val="001777B4"/>
    <w:pPr>
      <w:numPr>
        <w:numId w:val="15"/>
      </w:numPr>
    </w:pPr>
  </w:style>
  <w:style w:type="numbering" w:styleId="ArticleSection">
    <w:name w:val="Outline List 3"/>
    <w:basedOn w:val="NoList"/>
    <w:rsid w:val="001777B4"/>
    <w:pPr>
      <w:numPr>
        <w:numId w:val="16"/>
      </w:numPr>
    </w:pPr>
  </w:style>
  <w:style w:type="paragraph" w:styleId="BalloonText">
    <w:name w:val="Balloon Text"/>
    <w:basedOn w:val="Normal"/>
    <w:link w:val="BalloonTextChar"/>
    <w:uiPriority w:val="99"/>
    <w:rsid w:val="001777B4"/>
    <w:pPr>
      <w:spacing w:after="0"/>
    </w:pPr>
    <w:rPr>
      <w:rFonts w:ascii="Tahoma" w:hAnsi="Tahoma" w:cs="Tahoma"/>
      <w:sz w:val="16"/>
      <w:szCs w:val="16"/>
    </w:rPr>
  </w:style>
  <w:style w:type="character" w:styleId="BalloonTextChar" w:customStyle="1">
    <w:name w:val="Balloon Text Char"/>
    <w:basedOn w:val="DefaultParagraphFont"/>
    <w:link w:val="BalloonText"/>
    <w:uiPriority w:val="99"/>
    <w:rsid w:val="001777B4"/>
    <w:rPr>
      <w:rFonts w:ascii="Tahoma" w:hAnsi="Tahoma" w:cs="Tahoma"/>
      <w:sz w:val="16"/>
      <w:szCs w:val="16"/>
    </w:rPr>
  </w:style>
  <w:style w:type="paragraph" w:styleId="Bibliography">
    <w:name w:val="Bibliography"/>
    <w:basedOn w:val="Normal"/>
    <w:next w:val="Normal"/>
    <w:rsid w:val="001777B4"/>
  </w:style>
  <w:style w:type="paragraph" w:styleId="BlockText">
    <w:name w:val="Block Text"/>
    <w:basedOn w:val="Normal"/>
    <w:uiPriority w:val="99"/>
    <w:rsid w:val="001777B4"/>
    <w:pPr>
      <w:pBdr>
        <w:top w:val="single" w:color="4F81BD" w:themeColor="accent1" w:sz="2" w:space="10" w:frame="1"/>
        <w:left w:val="single" w:color="4F81BD" w:themeColor="accent1" w:sz="2" w:space="10" w:frame="1"/>
        <w:bottom w:val="single" w:color="4F81BD" w:themeColor="accent1" w:sz="2" w:space="10" w:frame="1"/>
        <w:right w:val="single" w:color="4F81BD" w:themeColor="accent1" w:sz="2" w:space="10" w:frame="1"/>
      </w:pBdr>
      <w:ind w:left="1152" w:right="1152"/>
    </w:pPr>
    <w:rPr>
      <w:rFonts w:asciiTheme="minorHAnsi" w:hAnsiTheme="minorHAnsi" w:eastAsiaTheme="minorEastAsia" w:cstheme="minorBidi"/>
      <w:i/>
      <w:iCs/>
      <w:color w:val="4F81BD" w:themeColor="accent1"/>
    </w:rPr>
  </w:style>
  <w:style w:type="paragraph" w:styleId="BodyText">
    <w:name w:val="Body Text"/>
    <w:aliases w:val="bt,heading_txt,bodytxy2,heading3,btbt,Body Text Char Char,block,ExpRes,Concepto,Body Text - Level 2,ELI PD text,BodyText,body,text,Body Text Char1,Body Text Char2 Char Char,Body Text Char Char Char Char,OC Body Text,tableChar Char,Bod,b"/>
    <w:basedOn w:val="Normal"/>
    <w:link w:val="BodyTextChar"/>
    <w:qFormat/>
    <w:rsid w:val="001777B4"/>
    <w:pPr>
      <w:spacing w:after="120"/>
    </w:pPr>
  </w:style>
  <w:style w:type="character" w:styleId="BodyTextChar" w:customStyle="1">
    <w:name w:val="Body Text Char"/>
    <w:aliases w:val="bt Char,heading_txt Char,bodytxy2 Char,heading3 Char,btbt Char,Body Text Char Char Char,block Char,ExpRes Char,Concepto Char,Body Text - Level 2 Char,ELI PD text Char,BodyText Char,body Char,text Char,Body Text Char1 Char,Bod Char,b Char"/>
    <w:basedOn w:val="DefaultParagraphFont"/>
    <w:link w:val="BodyText"/>
    <w:rsid w:val="001777B4"/>
    <w:rPr>
      <w:sz w:val="22"/>
      <w:szCs w:val="24"/>
    </w:rPr>
  </w:style>
  <w:style w:type="paragraph" w:styleId="BodyText2">
    <w:name w:val="Body Text 2"/>
    <w:basedOn w:val="Normal"/>
    <w:link w:val="BodyText2Char"/>
    <w:uiPriority w:val="99"/>
    <w:rsid w:val="001777B4"/>
    <w:pPr>
      <w:spacing w:after="120" w:line="480" w:lineRule="auto"/>
    </w:pPr>
  </w:style>
  <w:style w:type="character" w:styleId="BodyText2Char" w:customStyle="1">
    <w:name w:val="Body Text 2 Char"/>
    <w:basedOn w:val="DefaultParagraphFont"/>
    <w:link w:val="BodyText2"/>
    <w:uiPriority w:val="99"/>
    <w:rsid w:val="001777B4"/>
    <w:rPr>
      <w:sz w:val="22"/>
      <w:szCs w:val="24"/>
    </w:rPr>
  </w:style>
  <w:style w:type="paragraph" w:styleId="BodyText3">
    <w:name w:val="Body Text 3"/>
    <w:basedOn w:val="Normal"/>
    <w:link w:val="BodyText3Char"/>
    <w:uiPriority w:val="99"/>
    <w:rsid w:val="001777B4"/>
    <w:pPr>
      <w:spacing w:after="120"/>
    </w:pPr>
    <w:rPr>
      <w:sz w:val="16"/>
      <w:szCs w:val="16"/>
    </w:rPr>
  </w:style>
  <w:style w:type="character" w:styleId="BodyText3Char" w:customStyle="1">
    <w:name w:val="Body Text 3 Char"/>
    <w:basedOn w:val="DefaultParagraphFont"/>
    <w:link w:val="BodyText3"/>
    <w:uiPriority w:val="99"/>
    <w:rsid w:val="001777B4"/>
    <w:rPr>
      <w:sz w:val="16"/>
      <w:szCs w:val="16"/>
    </w:rPr>
  </w:style>
  <w:style w:type="paragraph" w:styleId="BodyTextFirstIndent">
    <w:name w:val="Body Text First Indent"/>
    <w:basedOn w:val="BodyText"/>
    <w:link w:val="BodyTextFirstIndentChar"/>
    <w:rsid w:val="001777B4"/>
    <w:pPr>
      <w:spacing w:after="240"/>
      <w:ind w:firstLine="360"/>
    </w:pPr>
  </w:style>
  <w:style w:type="character" w:styleId="BodyTextFirstIndentChar" w:customStyle="1">
    <w:name w:val="Body Text First Indent Char"/>
    <w:basedOn w:val="BodyTextChar"/>
    <w:link w:val="BodyTextFirstIndent"/>
    <w:rsid w:val="001777B4"/>
    <w:rPr>
      <w:sz w:val="22"/>
      <w:szCs w:val="24"/>
    </w:rPr>
  </w:style>
  <w:style w:type="paragraph" w:styleId="BodyTextIndent">
    <w:name w:val="Body Text Indent"/>
    <w:basedOn w:val="Normal"/>
    <w:link w:val="BodyTextIndentChar"/>
    <w:rsid w:val="001777B4"/>
    <w:pPr>
      <w:spacing w:after="120"/>
      <w:ind w:left="283"/>
    </w:pPr>
  </w:style>
  <w:style w:type="character" w:styleId="BodyTextIndentChar" w:customStyle="1">
    <w:name w:val="Body Text Indent Char"/>
    <w:basedOn w:val="DefaultParagraphFont"/>
    <w:link w:val="BodyTextIndent"/>
    <w:rsid w:val="001777B4"/>
    <w:rPr>
      <w:sz w:val="22"/>
      <w:szCs w:val="24"/>
    </w:rPr>
  </w:style>
  <w:style w:type="paragraph" w:styleId="BodyTextFirstIndent2">
    <w:name w:val="Body Text First Indent 2"/>
    <w:basedOn w:val="BodyTextIndent"/>
    <w:link w:val="BodyTextFirstIndent2Char"/>
    <w:rsid w:val="001777B4"/>
    <w:pPr>
      <w:spacing w:after="240"/>
      <w:ind w:left="360" w:firstLine="360"/>
    </w:pPr>
  </w:style>
  <w:style w:type="character" w:styleId="BodyTextFirstIndent2Char" w:customStyle="1">
    <w:name w:val="Body Text First Indent 2 Char"/>
    <w:basedOn w:val="BodyTextIndentChar"/>
    <w:link w:val="BodyTextFirstIndent2"/>
    <w:rsid w:val="001777B4"/>
    <w:rPr>
      <w:sz w:val="22"/>
      <w:szCs w:val="24"/>
    </w:rPr>
  </w:style>
  <w:style w:type="paragraph" w:styleId="BodyTextIndent2">
    <w:name w:val="Body Text Indent 2"/>
    <w:basedOn w:val="Normal"/>
    <w:link w:val="BodyTextIndent2Char"/>
    <w:uiPriority w:val="99"/>
    <w:qFormat/>
    <w:rsid w:val="001777B4"/>
    <w:pPr>
      <w:spacing w:after="120" w:line="480" w:lineRule="auto"/>
      <w:ind w:left="283"/>
    </w:pPr>
  </w:style>
  <w:style w:type="character" w:styleId="BodyTextIndent2Char" w:customStyle="1">
    <w:name w:val="Body Text Indent 2 Char"/>
    <w:basedOn w:val="DefaultParagraphFont"/>
    <w:link w:val="BodyTextIndent2"/>
    <w:uiPriority w:val="99"/>
    <w:rsid w:val="001777B4"/>
    <w:rPr>
      <w:sz w:val="22"/>
      <w:szCs w:val="24"/>
    </w:rPr>
  </w:style>
  <w:style w:type="paragraph" w:styleId="BodyTextIndent3">
    <w:name w:val="Body Text Indent 3"/>
    <w:basedOn w:val="Normal"/>
    <w:link w:val="BodyTextIndent3Char"/>
    <w:uiPriority w:val="99"/>
    <w:rsid w:val="001777B4"/>
    <w:pPr>
      <w:spacing w:after="120"/>
      <w:ind w:left="283"/>
    </w:pPr>
    <w:rPr>
      <w:sz w:val="16"/>
      <w:szCs w:val="16"/>
    </w:rPr>
  </w:style>
  <w:style w:type="character" w:styleId="BodyTextIndent3Char" w:customStyle="1">
    <w:name w:val="Body Text Indent 3 Char"/>
    <w:basedOn w:val="DefaultParagraphFont"/>
    <w:link w:val="BodyTextIndent3"/>
    <w:uiPriority w:val="99"/>
    <w:rsid w:val="001777B4"/>
    <w:rPr>
      <w:sz w:val="16"/>
      <w:szCs w:val="16"/>
    </w:rPr>
  </w:style>
  <w:style w:type="character" w:styleId="BookTitle">
    <w:name w:val="Book Title"/>
    <w:basedOn w:val="DefaultParagraphFont"/>
    <w:rsid w:val="001777B4"/>
    <w:rPr>
      <w:b/>
      <w:bCs/>
      <w:smallCaps/>
      <w:spacing w:val="5"/>
    </w:rPr>
  </w:style>
  <w:style w:type="paragraph" w:styleId="Caption">
    <w:name w:val="caption"/>
    <w:basedOn w:val="Normal"/>
    <w:next w:val="Normal"/>
    <w:uiPriority w:val="8"/>
    <w:unhideWhenUsed/>
    <w:rsid w:val="001777B4"/>
    <w:pPr>
      <w:spacing w:after="200"/>
    </w:pPr>
    <w:rPr>
      <w:b/>
      <w:bCs/>
      <w:color w:val="4F81BD" w:themeColor="accent1"/>
      <w:sz w:val="18"/>
      <w:szCs w:val="18"/>
    </w:rPr>
  </w:style>
  <w:style w:type="paragraph" w:styleId="Closing">
    <w:name w:val="Closing"/>
    <w:basedOn w:val="Normal"/>
    <w:link w:val="ClosingChar"/>
    <w:rsid w:val="001777B4"/>
    <w:pPr>
      <w:spacing w:after="0"/>
      <w:ind w:left="4252"/>
    </w:pPr>
  </w:style>
  <w:style w:type="character" w:styleId="ClosingChar" w:customStyle="1">
    <w:name w:val="Closing Char"/>
    <w:basedOn w:val="DefaultParagraphFont"/>
    <w:link w:val="Closing"/>
    <w:rsid w:val="001777B4"/>
    <w:rPr>
      <w:sz w:val="22"/>
      <w:szCs w:val="24"/>
    </w:rPr>
  </w:style>
  <w:style w:type="table" w:styleId="ColorfulGrid1" w:customStyle="1">
    <w:name w:val="Colorful Grid1"/>
    <w:basedOn w:val="TableNormal"/>
    <w:rsid w:val="001777B4"/>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rsid w:val="001777B4"/>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rsid w:val="001777B4"/>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rsid w:val="001777B4"/>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rsid w:val="001777B4"/>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rsid w:val="001777B4"/>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rsid w:val="001777B4"/>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1" w:customStyle="1">
    <w:name w:val="Colorful List1"/>
    <w:basedOn w:val="TableNormal"/>
    <w:rsid w:val="001777B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rsid w:val="001777B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rsid w:val="001777B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rsid w:val="001777B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rsid w:val="001777B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rsid w:val="001777B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rsid w:val="001777B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1" w:customStyle="1">
    <w:name w:val="Colorful Shading1"/>
    <w:basedOn w:val="TableNormal"/>
    <w:rsid w:val="001777B4"/>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rsid w:val="001777B4"/>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rsid w:val="001777B4"/>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rsid w:val="001777B4"/>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rsid w:val="001777B4"/>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rsid w:val="001777B4"/>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rsid w:val="001777B4"/>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sid w:val="001777B4"/>
    <w:rPr>
      <w:sz w:val="16"/>
      <w:szCs w:val="16"/>
    </w:rPr>
  </w:style>
  <w:style w:type="paragraph" w:styleId="CommentText">
    <w:name w:val="annotation text"/>
    <w:basedOn w:val="Normal"/>
    <w:link w:val="CommentTextChar"/>
    <w:uiPriority w:val="99"/>
    <w:rsid w:val="001777B4"/>
    <w:rPr>
      <w:szCs w:val="20"/>
    </w:rPr>
  </w:style>
  <w:style w:type="character" w:styleId="CommentTextChar" w:customStyle="1">
    <w:name w:val="Comment Text Char"/>
    <w:basedOn w:val="DefaultParagraphFont"/>
    <w:link w:val="CommentText"/>
    <w:uiPriority w:val="99"/>
    <w:rsid w:val="001777B4"/>
  </w:style>
  <w:style w:type="paragraph" w:styleId="CommentSubject">
    <w:name w:val="annotation subject"/>
    <w:basedOn w:val="CommentText"/>
    <w:next w:val="CommentText"/>
    <w:link w:val="CommentSubjectChar"/>
    <w:uiPriority w:val="99"/>
    <w:rsid w:val="001777B4"/>
    <w:rPr>
      <w:b/>
      <w:bCs/>
    </w:rPr>
  </w:style>
  <w:style w:type="character" w:styleId="CommentSubjectChar" w:customStyle="1">
    <w:name w:val="Comment Subject Char"/>
    <w:basedOn w:val="CommentTextChar"/>
    <w:link w:val="CommentSubject"/>
    <w:uiPriority w:val="99"/>
    <w:rsid w:val="001777B4"/>
    <w:rPr>
      <w:b/>
      <w:bCs/>
    </w:rPr>
  </w:style>
  <w:style w:type="table" w:styleId="DarkList1" w:customStyle="1">
    <w:name w:val="Dark List1"/>
    <w:basedOn w:val="TableNormal"/>
    <w:rsid w:val="001777B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rsid w:val="001777B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rsid w:val="001777B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rsid w:val="001777B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rsid w:val="001777B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rsid w:val="001777B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rsid w:val="001777B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1777B4"/>
  </w:style>
  <w:style w:type="character" w:styleId="DateChar" w:customStyle="1">
    <w:name w:val="Date Char"/>
    <w:basedOn w:val="DefaultParagraphFont"/>
    <w:link w:val="Date"/>
    <w:rsid w:val="001777B4"/>
    <w:rPr>
      <w:sz w:val="22"/>
      <w:szCs w:val="24"/>
    </w:rPr>
  </w:style>
  <w:style w:type="paragraph" w:styleId="DocumentMap">
    <w:name w:val="Document Map"/>
    <w:basedOn w:val="Normal"/>
    <w:link w:val="DocumentMapChar"/>
    <w:rsid w:val="001777B4"/>
    <w:pPr>
      <w:spacing w:after="0"/>
    </w:pPr>
    <w:rPr>
      <w:rFonts w:ascii="Tahoma" w:hAnsi="Tahoma" w:cs="Tahoma"/>
      <w:sz w:val="16"/>
      <w:szCs w:val="16"/>
    </w:rPr>
  </w:style>
  <w:style w:type="character" w:styleId="DocumentMapChar" w:customStyle="1">
    <w:name w:val="Document Map Char"/>
    <w:basedOn w:val="DefaultParagraphFont"/>
    <w:link w:val="DocumentMap"/>
    <w:rsid w:val="001777B4"/>
    <w:rPr>
      <w:rFonts w:ascii="Tahoma" w:hAnsi="Tahoma" w:cs="Tahoma"/>
      <w:sz w:val="16"/>
      <w:szCs w:val="16"/>
    </w:rPr>
  </w:style>
  <w:style w:type="paragraph" w:styleId="E-mailSignature">
    <w:name w:val="E-mail Signature"/>
    <w:basedOn w:val="Normal"/>
    <w:link w:val="E-mailSignatureChar"/>
    <w:rsid w:val="001777B4"/>
    <w:pPr>
      <w:spacing w:after="0"/>
    </w:pPr>
  </w:style>
  <w:style w:type="character" w:styleId="E-mailSignatureChar" w:customStyle="1">
    <w:name w:val="E-mail Signature Char"/>
    <w:basedOn w:val="DefaultParagraphFont"/>
    <w:link w:val="E-mailSignature"/>
    <w:rsid w:val="001777B4"/>
    <w:rPr>
      <w:sz w:val="22"/>
      <w:szCs w:val="24"/>
    </w:rPr>
  </w:style>
  <w:style w:type="character" w:styleId="Emphasis">
    <w:name w:val="Emphasis"/>
    <w:basedOn w:val="DefaultParagraphFont"/>
    <w:uiPriority w:val="20"/>
    <w:qFormat/>
    <w:rsid w:val="001777B4"/>
    <w:rPr>
      <w:i/>
      <w:iCs/>
    </w:rPr>
  </w:style>
  <w:style w:type="character" w:styleId="EndnoteReference">
    <w:name w:val="endnote reference"/>
    <w:basedOn w:val="DefaultParagraphFont"/>
    <w:uiPriority w:val="99"/>
    <w:rsid w:val="001777B4"/>
    <w:rPr>
      <w:vertAlign w:val="superscript"/>
    </w:rPr>
  </w:style>
  <w:style w:type="paragraph" w:styleId="EndnoteText">
    <w:name w:val="endnote text"/>
    <w:basedOn w:val="Normal"/>
    <w:link w:val="EndnoteTextChar"/>
    <w:uiPriority w:val="99"/>
    <w:rsid w:val="001777B4"/>
    <w:pPr>
      <w:spacing w:after="0"/>
    </w:pPr>
    <w:rPr>
      <w:szCs w:val="20"/>
    </w:rPr>
  </w:style>
  <w:style w:type="character" w:styleId="EndnoteTextChar" w:customStyle="1">
    <w:name w:val="Endnote Text Char"/>
    <w:basedOn w:val="DefaultParagraphFont"/>
    <w:link w:val="EndnoteText"/>
    <w:uiPriority w:val="99"/>
    <w:rsid w:val="001777B4"/>
  </w:style>
  <w:style w:type="paragraph" w:styleId="EnvelopeAddress">
    <w:name w:val="envelope address"/>
    <w:basedOn w:val="Normal"/>
    <w:uiPriority w:val="99"/>
    <w:rsid w:val="001777B4"/>
    <w:pPr>
      <w:framePr w:w="7920" w:h="1980" w:hSpace="180" w:wrap="auto" w:hAnchor="page" w:xAlign="center" w:yAlign="bottom" w:hRule="exact"/>
      <w:spacing w:after="0"/>
      <w:ind w:left="2880"/>
    </w:pPr>
    <w:rPr>
      <w:rFonts w:asciiTheme="majorHAnsi" w:hAnsiTheme="majorHAnsi" w:eastAsiaTheme="majorEastAsia" w:cstheme="majorBidi"/>
      <w:sz w:val="24"/>
    </w:rPr>
  </w:style>
  <w:style w:type="paragraph" w:styleId="EnvelopeReturn">
    <w:name w:val="envelope return"/>
    <w:basedOn w:val="Normal"/>
    <w:uiPriority w:val="99"/>
    <w:rsid w:val="001777B4"/>
    <w:pPr>
      <w:spacing w:after="0"/>
    </w:pPr>
    <w:rPr>
      <w:rFonts w:asciiTheme="majorHAnsi" w:hAnsiTheme="majorHAnsi" w:eastAsiaTheme="majorEastAsia" w:cstheme="majorBidi"/>
      <w:szCs w:val="20"/>
    </w:rPr>
  </w:style>
  <w:style w:type="character" w:styleId="FollowedHyperlink">
    <w:name w:val="FollowedHyperlink"/>
    <w:basedOn w:val="DefaultParagraphFont"/>
    <w:uiPriority w:val="99"/>
    <w:rsid w:val="001777B4"/>
    <w:rPr>
      <w:color w:val="800080" w:themeColor="followedHyperlink"/>
      <w:u w:val="single"/>
    </w:rPr>
  </w:style>
  <w:style w:type="character" w:styleId="HTMLAcronym">
    <w:name w:val="HTML Acronym"/>
    <w:basedOn w:val="DefaultParagraphFont"/>
    <w:rsid w:val="001777B4"/>
  </w:style>
  <w:style w:type="paragraph" w:styleId="HTMLAddress">
    <w:name w:val="HTML Address"/>
    <w:basedOn w:val="Normal"/>
    <w:link w:val="HTMLAddressChar"/>
    <w:rsid w:val="001777B4"/>
    <w:pPr>
      <w:spacing w:after="0"/>
    </w:pPr>
    <w:rPr>
      <w:i/>
      <w:iCs/>
    </w:rPr>
  </w:style>
  <w:style w:type="character" w:styleId="HTMLAddressChar" w:customStyle="1">
    <w:name w:val="HTML Address Char"/>
    <w:basedOn w:val="DefaultParagraphFont"/>
    <w:link w:val="HTMLAddress"/>
    <w:rsid w:val="001777B4"/>
    <w:rPr>
      <w:i/>
      <w:iCs/>
      <w:sz w:val="22"/>
      <w:szCs w:val="24"/>
    </w:rPr>
  </w:style>
  <w:style w:type="character" w:styleId="HTMLCite">
    <w:name w:val="HTML Cite"/>
    <w:basedOn w:val="DefaultParagraphFont"/>
    <w:rsid w:val="001777B4"/>
    <w:rPr>
      <w:i/>
      <w:iCs/>
    </w:rPr>
  </w:style>
  <w:style w:type="character" w:styleId="HTMLCode">
    <w:name w:val="HTML Code"/>
    <w:basedOn w:val="DefaultParagraphFont"/>
    <w:rsid w:val="001777B4"/>
    <w:rPr>
      <w:rFonts w:ascii="Consolas" w:hAnsi="Consolas"/>
      <w:sz w:val="20"/>
      <w:szCs w:val="20"/>
    </w:rPr>
  </w:style>
  <w:style w:type="character" w:styleId="HTMLDefinition">
    <w:name w:val="HTML Definition"/>
    <w:basedOn w:val="DefaultParagraphFont"/>
    <w:rsid w:val="001777B4"/>
    <w:rPr>
      <w:i/>
      <w:iCs/>
    </w:rPr>
  </w:style>
  <w:style w:type="character" w:styleId="HTMLKeyboard">
    <w:name w:val="HTML Keyboard"/>
    <w:basedOn w:val="DefaultParagraphFont"/>
    <w:rsid w:val="001777B4"/>
    <w:rPr>
      <w:rFonts w:ascii="Consolas" w:hAnsi="Consolas"/>
      <w:sz w:val="20"/>
      <w:szCs w:val="20"/>
    </w:rPr>
  </w:style>
  <w:style w:type="paragraph" w:styleId="HTMLPreformatted">
    <w:name w:val="HTML Preformatted"/>
    <w:basedOn w:val="Normal"/>
    <w:link w:val="HTMLPreformattedChar"/>
    <w:rsid w:val="001777B4"/>
    <w:pPr>
      <w:spacing w:after="0"/>
    </w:pPr>
    <w:rPr>
      <w:rFonts w:ascii="Consolas" w:hAnsi="Consolas"/>
      <w:szCs w:val="20"/>
    </w:rPr>
  </w:style>
  <w:style w:type="character" w:styleId="HTMLPreformattedChar" w:customStyle="1">
    <w:name w:val="HTML Preformatted Char"/>
    <w:basedOn w:val="DefaultParagraphFont"/>
    <w:link w:val="HTMLPreformatted"/>
    <w:rsid w:val="001777B4"/>
    <w:rPr>
      <w:rFonts w:ascii="Consolas" w:hAnsi="Consolas"/>
    </w:rPr>
  </w:style>
  <w:style w:type="character" w:styleId="HTMLSample">
    <w:name w:val="HTML Sample"/>
    <w:basedOn w:val="DefaultParagraphFont"/>
    <w:rsid w:val="001777B4"/>
    <w:rPr>
      <w:rFonts w:ascii="Consolas" w:hAnsi="Consolas"/>
      <w:sz w:val="24"/>
      <w:szCs w:val="24"/>
    </w:rPr>
  </w:style>
  <w:style w:type="character" w:styleId="HTMLTypewriter">
    <w:name w:val="HTML Typewriter"/>
    <w:basedOn w:val="DefaultParagraphFont"/>
    <w:rsid w:val="001777B4"/>
    <w:rPr>
      <w:rFonts w:ascii="Consolas" w:hAnsi="Consolas"/>
      <w:sz w:val="20"/>
      <w:szCs w:val="20"/>
    </w:rPr>
  </w:style>
  <w:style w:type="character" w:styleId="HTMLVariable">
    <w:name w:val="HTML Variable"/>
    <w:basedOn w:val="DefaultParagraphFont"/>
    <w:rsid w:val="001777B4"/>
    <w:rPr>
      <w:i/>
      <w:iCs/>
    </w:rPr>
  </w:style>
  <w:style w:type="character" w:styleId="Hyperlink">
    <w:name w:val="Hyperlink"/>
    <w:basedOn w:val="DefaultParagraphFont"/>
    <w:uiPriority w:val="99"/>
    <w:rsid w:val="001777B4"/>
    <w:rPr>
      <w:color w:val="0000FF" w:themeColor="hyperlink"/>
      <w:u w:val="single"/>
    </w:rPr>
  </w:style>
  <w:style w:type="paragraph" w:styleId="Index1">
    <w:name w:val="index 1"/>
    <w:basedOn w:val="Normal"/>
    <w:next w:val="Normal"/>
    <w:autoRedefine/>
    <w:uiPriority w:val="99"/>
    <w:rsid w:val="001777B4"/>
    <w:pPr>
      <w:spacing w:after="0"/>
      <w:ind w:left="220" w:hanging="220"/>
    </w:pPr>
  </w:style>
  <w:style w:type="paragraph" w:styleId="Index2">
    <w:name w:val="index 2"/>
    <w:basedOn w:val="Normal"/>
    <w:next w:val="Normal"/>
    <w:autoRedefine/>
    <w:rsid w:val="001777B4"/>
    <w:pPr>
      <w:spacing w:after="0"/>
      <w:ind w:left="440" w:hanging="220"/>
    </w:pPr>
  </w:style>
  <w:style w:type="paragraph" w:styleId="Index3">
    <w:name w:val="index 3"/>
    <w:basedOn w:val="Normal"/>
    <w:next w:val="Normal"/>
    <w:autoRedefine/>
    <w:rsid w:val="001777B4"/>
    <w:pPr>
      <w:spacing w:after="0"/>
      <w:ind w:left="660" w:hanging="220"/>
    </w:pPr>
  </w:style>
  <w:style w:type="paragraph" w:styleId="Index4">
    <w:name w:val="index 4"/>
    <w:basedOn w:val="Normal"/>
    <w:next w:val="Normal"/>
    <w:autoRedefine/>
    <w:rsid w:val="001777B4"/>
    <w:pPr>
      <w:spacing w:after="0"/>
      <w:ind w:left="880" w:hanging="220"/>
    </w:pPr>
  </w:style>
  <w:style w:type="paragraph" w:styleId="Index5">
    <w:name w:val="index 5"/>
    <w:basedOn w:val="Normal"/>
    <w:next w:val="Normal"/>
    <w:autoRedefine/>
    <w:rsid w:val="001777B4"/>
    <w:pPr>
      <w:spacing w:after="0"/>
      <w:ind w:left="1100" w:hanging="220"/>
    </w:pPr>
  </w:style>
  <w:style w:type="paragraph" w:styleId="Index6">
    <w:name w:val="index 6"/>
    <w:basedOn w:val="Normal"/>
    <w:next w:val="Normal"/>
    <w:autoRedefine/>
    <w:rsid w:val="001777B4"/>
    <w:pPr>
      <w:spacing w:after="0"/>
      <w:ind w:left="1320" w:hanging="220"/>
    </w:pPr>
  </w:style>
  <w:style w:type="paragraph" w:styleId="Index7">
    <w:name w:val="index 7"/>
    <w:basedOn w:val="Normal"/>
    <w:next w:val="Normal"/>
    <w:autoRedefine/>
    <w:rsid w:val="001777B4"/>
    <w:pPr>
      <w:spacing w:after="0"/>
      <w:ind w:left="1540" w:hanging="220"/>
    </w:pPr>
  </w:style>
  <w:style w:type="paragraph" w:styleId="Index8">
    <w:name w:val="index 8"/>
    <w:basedOn w:val="Normal"/>
    <w:next w:val="Normal"/>
    <w:autoRedefine/>
    <w:rsid w:val="001777B4"/>
    <w:pPr>
      <w:spacing w:after="0"/>
      <w:ind w:left="1760" w:hanging="220"/>
    </w:pPr>
  </w:style>
  <w:style w:type="paragraph" w:styleId="Index9">
    <w:name w:val="index 9"/>
    <w:basedOn w:val="Normal"/>
    <w:next w:val="Normal"/>
    <w:autoRedefine/>
    <w:rsid w:val="001777B4"/>
    <w:pPr>
      <w:spacing w:after="0"/>
      <w:ind w:left="1980" w:hanging="220"/>
    </w:pPr>
  </w:style>
  <w:style w:type="paragraph" w:styleId="IndexHeading">
    <w:name w:val="index heading"/>
    <w:basedOn w:val="Normal"/>
    <w:next w:val="Index1"/>
    <w:uiPriority w:val="99"/>
    <w:rsid w:val="001777B4"/>
    <w:rPr>
      <w:rFonts w:asciiTheme="majorHAnsi" w:hAnsiTheme="majorHAnsi" w:eastAsiaTheme="majorEastAsia" w:cstheme="majorBidi"/>
      <w:b/>
      <w:bCs/>
    </w:rPr>
  </w:style>
  <w:style w:type="character" w:styleId="IntenseEmphasis">
    <w:name w:val="Intense Emphasis"/>
    <w:basedOn w:val="DefaultParagraphFont"/>
    <w:rsid w:val="001777B4"/>
    <w:rPr>
      <w:b/>
      <w:bCs/>
      <w:i/>
      <w:iCs/>
      <w:color w:val="4F81BD" w:themeColor="accent1"/>
    </w:rPr>
  </w:style>
  <w:style w:type="paragraph" w:styleId="IntenseQuote">
    <w:name w:val="Intense Quote"/>
    <w:basedOn w:val="Normal"/>
    <w:next w:val="Normal"/>
    <w:link w:val="IntenseQuoteChar"/>
    <w:rsid w:val="001777B4"/>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rsid w:val="001777B4"/>
    <w:rPr>
      <w:b/>
      <w:bCs/>
      <w:i/>
      <w:iCs/>
      <w:color w:val="4F81BD" w:themeColor="accent1"/>
      <w:sz w:val="22"/>
      <w:szCs w:val="24"/>
    </w:rPr>
  </w:style>
  <w:style w:type="character" w:styleId="IntenseReference">
    <w:name w:val="Intense Reference"/>
    <w:basedOn w:val="DefaultParagraphFont"/>
    <w:rsid w:val="001777B4"/>
    <w:rPr>
      <w:b/>
      <w:bCs/>
      <w:smallCaps/>
      <w:color w:val="C0504D" w:themeColor="accent2"/>
      <w:spacing w:val="5"/>
      <w:u w:val="single"/>
    </w:rPr>
  </w:style>
  <w:style w:type="table" w:styleId="LightGrid1" w:customStyle="1">
    <w:name w:val="Light Grid1"/>
    <w:basedOn w:val="TableNormal"/>
    <w:rsid w:val="001777B4"/>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1" w:customStyle="1">
    <w:name w:val="Light Grid - Accent 11"/>
    <w:basedOn w:val="TableNormal"/>
    <w:rsid w:val="001777B4"/>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rsid w:val="001777B4"/>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rsid w:val="001777B4"/>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rsid w:val="001777B4"/>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rsid w:val="001777B4"/>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rsid w:val="001777B4"/>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1" w:customStyle="1">
    <w:name w:val="Light List1"/>
    <w:basedOn w:val="TableNormal"/>
    <w:rsid w:val="001777B4"/>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1" w:customStyle="1">
    <w:name w:val="Light List - Accent 11"/>
    <w:basedOn w:val="TableNormal"/>
    <w:rsid w:val="001777B4"/>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rsid w:val="001777B4"/>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rsid w:val="001777B4"/>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rsid w:val="001777B4"/>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rsid w:val="001777B4"/>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rsid w:val="001777B4"/>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1" w:customStyle="1">
    <w:name w:val="Light Shading1"/>
    <w:basedOn w:val="TableNormal"/>
    <w:rsid w:val="001777B4"/>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1" w:customStyle="1">
    <w:name w:val="Light Shading - Accent 11"/>
    <w:basedOn w:val="TableNormal"/>
    <w:rsid w:val="001777B4"/>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rsid w:val="001777B4"/>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rsid w:val="001777B4"/>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rsid w:val="001777B4"/>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rsid w:val="001777B4"/>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rsid w:val="001777B4"/>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1777B4"/>
  </w:style>
  <w:style w:type="paragraph" w:styleId="List">
    <w:name w:val="List"/>
    <w:basedOn w:val="Normal"/>
    <w:rsid w:val="001777B4"/>
    <w:pPr>
      <w:ind w:left="283" w:hanging="283"/>
      <w:contextualSpacing/>
    </w:pPr>
  </w:style>
  <w:style w:type="paragraph" w:styleId="List2">
    <w:name w:val="List 2"/>
    <w:basedOn w:val="Normal"/>
    <w:rsid w:val="001777B4"/>
    <w:pPr>
      <w:ind w:left="566" w:hanging="283"/>
      <w:contextualSpacing/>
    </w:pPr>
  </w:style>
  <w:style w:type="paragraph" w:styleId="List3">
    <w:name w:val="List 3"/>
    <w:basedOn w:val="Normal"/>
    <w:rsid w:val="001777B4"/>
    <w:pPr>
      <w:ind w:left="849" w:hanging="283"/>
      <w:contextualSpacing/>
    </w:pPr>
  </w:style>
  <w:style w:type="paragraph" w:styleId="List4">
    <w:name w:val="List 4"/>
    <w:basedOn w:val="Normal"/>
    <w:rsid w:val="001777B4"/>
    <w:pPr>
      <w:ind w:left="1132" w:hanging="283"/>
      <w:contextualSpacing/>
    </w:pPr>
  </w:style>
  <w:style w:type="paragraph" w:styleId="List5">
    <w:name w:val="List 5"/>
    <w:basedOn w:val="Normal"/>
    <w:rsid w:val="001777B4"/>
    <w:pPr>
      <w:ind w:left="1415" w:hanging="283"/>
      <w:contextualSpacing/>
    </w:pPr>
  </w:style>
  <w:style w:type="paragraph" w:styleId="ListBullet2">
    <w:name w:val="List Bullet 2"/>
    <w:basedOn w:val="Normal"/>
    <w:rsid w:val="001777B4"/>
    <w:pPr>
      <w:numPr>
        <w:numId w:val="17"/>
      </w:numPr>
      <w:contextualSpacing/>
    </w:pPr>
  </w:style>
  <w:style w:type="paragraph" w:styleId="ListBullet3">
    <w:name w:val="List Bullet 3"/>
    <w:basedOn w:val="Normal"/>
    <w:rsid w:val="001777B4"/>
    <w:pPr>
      <w:numPr>
        <w:numId w:val="18"/>
      </w:numPr>
      <w:contextualSpacing/>
    </w:pPr>
  </w:style>
  <w:style w:type="paragraph" w:styleId="ListBullet4">
    <w:name w:val="List Bullet 4"/>
    <w:basedOn w:val="Normal"/>
    <w:rsid w:val="001777B4"/>
    <w:pPr>
      <w:numPr>
        <w:numId w:val="19"/>
      </w:numPr>
      <w:contextualSpacing/>
    </w:pPr>
  </w:style>
  <w:style w:type="paragraph" w:styleId="ListBullet5">
    <w:name w:val="List Bullet 5"/>
    <w:basedOn w:val="Normal"/>
    <w:rsid w:val="001777B4"/>
    <w:pPr>
      <w:numPr>
        <w:numId w:val="20"/>
      </w:numPr>
      <w:contextualSpacing/>
    </w:pPr>
  </w:style>
  <w:style w:type="paragraph" w:styleId="ListContinue">
    <w:name w:val="List Continue"/>
    <w:basedOn w:val="Normal"/>
    <w:rsid w:val="001777B4"/>
    <w:pPr>
      <w:spacing w:after="120"/>
      <w:ind w:left="283"/>
      <w:contextualSpacing/>
    </w:pPr>
  </w:style>
  <w:style w:type="paragraph" w:styleId="ListContinue2">
    <w:name w:val="List Continue 2"/>
    <w:basedOn w:val="Normal"/>
    <w:rsid w:val="001777B4"/>
    <w:pPr>
      <w:spacing w:after="120"/>
      <w:ind w:left="566"/>
      <w:contextualSpacing/>
    </w:pPr>
  </w:style>
  <w:style w:type="paragraph" w:styleId="ListContinue3">
    <w:name w:val="List Continue 3"/>
    <w:basedOn w:val="Normal"/>
    <w:rsid w:val="001777B4"/>
    <w:pPr>
      <w:spacing w:after="120"/>
      <w:ind w:left="849"/>
      <w:contextualSpacing/>
    </w:pPr>
  </w:style>
  <w:style w:type="paragraph" w:styleId="ListContinue4">
    <w:name w:val="List Continue 4"/>
    <w:basedOn w:val="Normal"/>
    <w:rsid w:val="001777B4"/>
    <w:pPr>
      <w:spacing w:after="120"/>
      <w:ind w:left="1132"/>
      <w:contextualSpacing/>
    </w:pPr>
  </w:style>
  <w:style w:type="paragraph" w:styleId="ListContinue5">
    <w:name w:val="List Continue 5"/>
    <w:basedOn w:val="Normal"/>
    <w:rsid w:val="001777B4"/>
    <w:pPr>
      <w:spacing w:after="120"/>
      <w:ind w:left="1415"/>
      <w:contextualSpacing/>
    </w:pPr>
  </w:style>
  <w:style w:type="paragraph" w:styleId="ListNumber2">
    <w:name w:val="List Number 2"/>
    <w:basedOn w:val="Normal"/>
    <w:rsid w:val="001777B4"/>
    <w:pPr>
      <w:numPr>
        <w:numId w:val="21"/>
      </w:numPr>
      <w:contextualSpacing/>
    </w:pPr>
  </w:style>
  <w:style w:type="paragraph" w:styleId="ListNumber3">
    <w:name w:val="List Number 3"/>
    <w:basedOn w:val="Normal"/>
    <w:rsid w:val="001777B4"/>
    <w:pPr>
      <w:numPr>
        <w:numId w:val="22"/>
      </w:numPr>
      <w:contextualSpacing/>
    </w:pPr>
  </w:style>
  <w:style w:type="paragraph" w:styleId="ListNumber4">
    <w:name w:val="List Number 4"/>
    <w:basedOn w:val="Normal"/>
    <w:rsid w:val="001777B4"/>
    <w:pPr>
      <w:numPr>
        <w:numId w:val="23"/>
      </w:numPr>
      <w:contextualSpacing/>
    </w:pPr>
  </w:style>
  <w:style w:type="paragraph" w:styleId="ListNumber5">
    <w:name w:val="List Number 5"/>
    <w:basedOn w:val="Normal"/>
    <w:rsid w:val="001777B4"/>
    <w:pPr>
      <w:numPr>
        <w:numId w:val="24"/>
      </w:numPr>
      <w:contextualSpacing/>
    </w:pPr>
  </w:style>
  <w:style w:type="paragraph" w:styleId="ListParagraph">
    <w:name w:val="List Paragraph"/>
    <w:aliases w:val="Dot pt,No Spacing1,List Paragraph Char Char Char,Indicator Text,List Paragraph1,Numbered Para 1,F5 List Paragraph,Bullet Points,MAIN CONTENT,Normal numbered,List Paragraph11,OBC Bullet,List Paragraph2"/>
    <w:basedOn w:val="Normal"/>
    <w:link w:val="ListParagraphChar"/>
    <w:uiPriority w:val="34"/>
    <w:qFormat/>
    <w:rsid w:val="0088500D"/>
    <w:pPr>
      <w:numPr>
        <w:numId w:val="26"/>
      </w:numPr>
    </w:pPr>
    <w:rPr>
      <w:rFonts w:cs="Arial"/>
      <w:b/>
    </w:rPr>
  </w:style>
  <w:style w:type="paragraph" w:styleId="MacroText">
    <w:name w:val="macro"/>
    <w:link w:val="MacroTextChar"/>
    <w:rsid w:val="001777B4"/>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styleId="MacroTextChar" w:customStyle="1">
    <w:name w:val="Macro Text Char"/>
    <w:basedOn w:val="DefaultParagraphFont"/>
    <w:link w:val="MacroText"/>
    <w:rsid w:val="001777B4"/>
    <w:rPr>
      <w:rFonts w:ascii="Consolas" w:hAnsi="Consolas"/>
    </w:rPr>
  </w:style>
  <w:style w:type="table" w:styleId="MediumGrid11" w:customStyle="1">
    <w:name w:val="Medium Grid 11"/>
    <w:basedOn w:val="TableNormal"/>
    <w:rsid w:val="001777B4"/>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rsid w:val="001777B4"/>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rsid w:val="001777B4"/>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rsid w:val="001777B4"/>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rsid w:val="001777B4"/>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rsid w:val="001777B4"/>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rsid w:val="001777B4"/>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1" w:customStyle="1">
    <w:name w:val="Medium Grid 21"/>
    <w:basedOn w:val="TableNormal"/>
    <w:rsid w:val="001777B4"/>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rsid w:val="001777B4"/>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rsid w:val="001777B4"/>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rsid w:val="001777B4"/>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rsid w:val="001777B4"/>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rsid w:val="001777B4"/>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rsid w:val="001777B4"/>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1" w:customStyle="1">
    <w:name w:val="Medium Grid 31"/>
    <w:basedOn w:val="TableNormal"/>
    <w:rsid w:val="001777B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rsid w:val="001777B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rsid w:val="001777B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rsid w:val="001777B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rsid w:val="001777B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rsid w:val="001777B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rsid w:val="001777B4"/>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1" w:customStyle="1">
    <w:name w:val="Medium List 11"/>
    <w:basedOn w:val="TableNormal"/>
    <w:rsid w:val="001777B4"/>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1" w:customStyle="1">
    <w:name w:val="Medium List 1 - Accent 11"/>
    <w:basedOn w:val="TableNormal"/>
    <w:rsid w:val="001777B4"/>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rsid w:val="001777B4"/>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rsid w:val="001777B4"/>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rsid w:val="001777B4"/>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rsid w:val="001777B4"/>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rsid w:val="001777B4"/>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1" w:customStyle="1">
    <w:name w:val="Medium List 21"/>
    <w:basedOn w:val="TableNormal"/>
    <w:rsid w:val="001777B4"/>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rsid w:val="001777B4"/>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rsid w:val="001777B4"/>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rsid w:val="001777B4"/>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rsid w:val="001777B4"/>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rsid w:val="001777B4"/>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rsid w:val="001777B4"/>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1" w:customStyle="1">
    <w:name w:val="Medium Shading 11"/>
    <w:basedOn w:val="TableNormal"/>
    <w:rsid w:val="001777B4"/>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1" w:customStyle="1">
    <w:name w:val="Medium Shading 1 - Accent 11"/>
    <w:basedOn w:val="TableNormal"/>
    <w:rsid w:val="001777B4"/>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rsid w:val="001777B4"/>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rsid w:val="001777B4"/>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rsid w:val="001777B4"/>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rsid w:val="001777B4"/>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rsid w:val="001777B4"/>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1" w:customStyle="1">
    <w:name w:val="Medium Shading 21"/>
    <w:basedOn w:val="TableNormal"/>
    <w:rsid w:val="001777B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rsid w:val="001777B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rsid w:val="001777B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rsid w:val="001777B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rsid w:val="001777B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rsid w:val="001777B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rsid w:val="001777B4"/>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9"/>
    <w:rsid w:val="001777B4"/>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rPr>
  </w:style>
  <w:style w:type="character" w:styleId="MessageHeaderChar" w:customStyle="1">
    <w:name w:val="Message Header Char"/>
    <w:basedOn w:val="DefaultParagraphFont"/>
    <w:link w:val="MessageHeader"/>
    <w:uiPriority w:val="99"/>
    <w:rsid w:val="001777B4"/>
    <w:rPr>
      <w:rFonts w:asciiTheme="majorHAnsi" w:hAnsiTheme="majorHAnsi" w:eastAsiaTheme="majorEastAsia" w:cstheme="majorBidi"/>
      <w:sz w:val="24"/>
      <w:szCs w:val="24"/>
      <w:shd w:val="pct20" w:color="auto" w:fill="auto"/>
    </w:rPr>
  </w:style>
  <w:style w:type="paragraph" w:styleId="NoSpacing">
    <w:name w:val="No Spacing"/>
    <w:uiPriority w:val="1"/>
    <w:qFormat/>
    <w:rsid w:val="001777B4"/>
    <w:pPr>
      <w:jc w:val="both"/>
    </w:pPr>
    <w:rPr>
      <w:sz w:val="22"/>
      <w:szCs w:val="24"/>
    </w:rPr>
  </w:style>
  <w:style w:type="paragraph" w:styleId="NormalWeb">
    <w:name w:val="Normal (Web)"/>
    <w:basedOn w:val="Normal"/>
    <w:uiPriority w:val="99"/>
    <w:rsid w:val="001777B4"/>
    <w:rPr>
      <w:rFonts w:ascii="Times New Roman" w:hAnsi="Times New Roman"/>
      <w:sz w:val="24"/>
    </w:rPr>
  </w:style>
  <w:style w:type="paragraph" w:styleId="NormalIndent">
    <w:name w:val="Normal Indent"/>
    <w:basedOn w:val="Normal"/>
    <w:rsid w:val="001777B4"/>
    <w:pPr>
      <w:ind w:left="720"/>
    </w:pPr>
  </w:style>
  <w:style w:type="paragraph" w:styleId="NoteHeading">
    <w:name w:val="Note Heading"/>
    <w:basedOn w:val="Normal"/>
    <w:next w:val="Normal"/>
    <w:link w:val="NoteHeadingChar"/>
    <w:rsid w:val="001777B4"/>
    <w:pPr>
      <w:spacing w:after="0"/>
    </w:pPr>
  </w:style>
  <w:style w:type="character" w:styleId="NoteHeadingChar" w:customStyle="1">
    <w:name w:val="Note Heading Char"/>
    <w:basedOn w:val="DefaultParagraphFont"/>
    <w:link w:val="NoteHeading"/>
    <w:rsid w:val="001777B4"/>
    <w:rPr>
      <w:sz w:val="22"/>
      <w:szCs w:val="24"/>
    </w:rPr>
  </w:style>
  <w:style w:type="character" w:styleId="PageNumber">
    <w:name w:val="page number"/>
    <w:basedOn w:val="DefaultParagraphFont"/>
    <w:uiPriority w:val="99"/>
    <w:rsid w:val="001777B4"/>
  </w:style>
  <w:style w:type="character" w:styleId="PlaceholderText">
    <w:name w:val="Placeholder Text"/>
    <w:basedOn w:val="DefaultParagraphFont"/>
    <w:rsid w:val="001777B4"/>
    <w:rPr>
      <w:color w:val="808080"/>
    </w:rPr>
  </w:style>
  <w:style w:type="paragraph" w:styleId="PlainText">
    <w:name w:val="Plain Text"/>
    <w:basedOn w:val="Normal"/>
    <w:link w:val="PlainTextChar"/>
    <w:uiPriority w:val="99"/>
    <w:rsid w:val="001777B4"/>
    <w:pPr>
      <w:spacing w:after="0"/>
    </w:pPr>
    <w:rPr>
      <w:rFonts w:ascii="Consolas" w:hAnsi="Consolas"/>
      <w:sz w:val="21"/>
      <w:szCs w:val="21"/>
    </w:rPr>
  </w:style>
  <w:style w:type="character" w:styleId="PlainTextChar" w:customStyle="1">
    <w:name w:val="Plain Text Char"/>
    <w:basedOn w:val="DefaultParagraphFont"/>
    <w:link w:val="PlainText"/>
    <w:uiPriority w:val="99"/>
    <w:rsid w:val="001777B4"/>
    <w:rPr>
      <w:rFonts w:ascii="Consolas" w:hAnsi="Consolas"/>
      <w:sz w:val="21"/>
      <w:szCs w:val="21"/>
    </w:rPr>
  </w:style>
  <w:style w:type="paragraph" w:styleId="Quote">
    <w:name w:val="Quote"/>
    <w:basedOn w:val="Normal"/>
    <w:next w:val="Normal"/>
    <w:link w:val="QuoteChar"/>
    <w:rsid w:val="001777B4"/>
    <w:rPr>
      <w:i/>
      <w:iCs/>
      <w:color w:val="000000" w:themeColor="text1"/>
    </w:rPr>
  </w:style>
  <w:style w:type="character" w:styleId="QuoteChar" w:customStyle="1">
    <w:name w:val="Quote Char"/>
    <w:basedOn w:val="DefaultParagraphFont"/>
    <w:link w:val="Quote"/>
    <w:rsid w:val="001777B4"/>
    <w:rPr>
      <w:i/>
      <w:iCs/>
      <w:color w:val="000000" w:themeColor="text1"/>
      <w:sz w:val="22"/>
      <w:szCs w:val="24"/>
    </w:rPr>
  </w:style>
  <w:style w:type="paragraph" w:styleId="Salutation">
    <w:name w:val="Salutation"/>
    <w:basedOn w:val="Normal"/>
    <w:next w:val="Normal"/>
    <w:link w:val="SalutationChar"/>
    <w:rsid w:val="001777B4"/>
  </w:style>
  <w:style w:type="character" w:styleId="SalutationChar" w:customStyle="1">
    <w:name w:val="Salutation Char"/>
    <w:basedOn w:val="DefaultParagraphFont"/>
    <w:link w:val="Salutation"/>
    <w:rsid w:val="001777B4"/>
    <w:rPr>
      <w:sz w:val="22"/>
      <w:szCs w:val="24"/>
    </w:rPr>
  </w:style>
  <w:style w:type="paragraph" w:styleId="Signature">
    <w:name w:val="Signature"/>
    <w:basedOn w:val="Normal"/>
    <w:link w:val="SignatureChar"/>
    <w:rsid w:val="001777B4"/>
    <w:pPr>
      <w:spacing w:after="0"/>
      <w:ind w:left="4252"/>
    </w:pPr>
  </w:style>
  <w:style w:type="character" w:styleId="SignatureChar" w:customStyle="1">
    <w:name w:val="Signature Char"/>
    <w:basedOn w:val="DefaultParagraphFont"/>
    <w:link w:val="Signature"/>
    <w:rsid w:val="001777B4"/>
    <w:rPr>
      <w:sz w:val="22"/>
      <w:szCs w:val="24"/>
    </w:rPr>
  </w:style>
  <w:style w:type="character" w:styleId="Strong">
    <w:name w:val="Strong"/>
    <w:basedOn w:val="DefaultParagraphFont"/>
    <w:uiPriority w:val="22"/>
    <w:qFormat/>
    <w:rsid w:val="001777B4"/>
    <w:rPr>
      <w:b/>
      <w:bCs/>
    </w:rPr>
  </w:style>
  <w:style w:type="paragraph" w:styleId="Subtitle">
    <w:name w:val="Subtitle"/>
    <w:basedOn w:val="Normal"/>
    <w:next w:val="Normal"/>
    <w:link w:val="SubtitleChar"/>
    <w:uiPriority w:val="11"/>
    <w:qFormat/>
    <w:rsid w:val="001777B4"/>
    <w:pPr>
      <w:numPr>
        <w:ilvl w:val="1"/>
      </w:numPr>
    </w:pPr>
    <w:rPr>
      <w:rFonts w:asciiTheme="majorHAnsi" w:hAnsiTheme="majorHAnsi" w:eastAsiaTheme="majorEastAsia" w:cstheme="majorBidi"/>
      <w:i/>
      <w:iCs/>
      <w:color w:val="4F81BD" w:themeColor="accent1"/>
      <w:spacing w:val="15"/>
      <w:sz w:val="24"/>
    </w:rPr>
  </w:style>
  <w:style w:type="character" w:styleId="SubtitleChar" w:customStyle="1">
    <w:name w:val="Subtitle Char"/>
    <w:basedOn w:val="DefaultParagraphFont"/>
    <w:link w:val="Subtitle"/>
    <w:uiPriority w:val="11"/>
    <w:rsid w:val="001777B4"/>
    <w:rPr>
      <w:rFonts w:asciiTheme="majorHAnsi" w:hAnsiTheme="majorHAnsi" w:eastAsiaTheme="majorEastAsia" w:cstheme="majorBidi"/>
      <w:i/>
      <w:iCs/>
      <w:color w:val="4F81BD" w:themeColor="accent1"/>
      <w:spacing w:val="15"/>
      <w:sz w:val="24"/>
      <w:szCs w:val="24"/>
    </w:rPr>
  </w:style>
  <w:style w:type="character" w:styleId="SubtleEmphasis">
    <w:name w:val="Subtle Emphasis"/>
    <w:basedOn w:val="DefaultParagraphFont"/>
    <w:uiPriority w:val="19"/>
    <w:qFormat/>
    <w:rsid w:val="001777B4"/>
    <w:rPr>
      <w:i/>
      <w:iCs/>
      <w:color w:val="808080" w:themeColor="text1" w:themeTint="7F"/>
    </w:rPr>
  </w:style>
  <w:style w:type="character" w:styleId="SubtleReference">
    <w:name w:val="Subtle Reference"/>
    <w:basedOn w:val="DefaultParagraphFont"/>
    <w:rsid w:val="001777B4"/>
    <w:rPr>
      <w:smallCaps/>
      <w:color w:val="C0504D" w:themeColor="accent2"/>
      <w:u w:val="single"/>
    </w:rPr>
  </w:style>
  <w:style w:type="table" w:styleId="Table3Deffects1">
    <w:name w:val="Table 3D effects 1"/>
    <w:basedOn w:val="TableNormal"/>
    <w:rsid w:val="001777B4"/>
    <w:pPr>
      <w:spacing w:after="24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1777B4"/>
    <w:pPr>
      <w:spacing w:after="24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1777B4"/>
    <w:pPr>
      <w:spacing w:after="24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1777B4"/>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1777B4"/>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1777B4"/>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1777B4"/>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1777B4"/>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1777B4"/>
    <w:pPr>
      <w:spacing w:after="24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1777B4"/>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1777B4"/>
    <w:pPr>
      <w:spacing w:after="24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1777B4"/>
    <w:pPr>
      <w:spacing w:after="24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1777B4"/>
    <w:pPr>
      <w:spacing w:after="24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1777B4"/>
    <w:pPr>
      <w:spacing w:after="24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77B4"/>
    <w:pPr>
      <w:spacing w:after="24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77B4"/>
    <w:pPr>
      <w:spacing w:after="24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1777B4"/>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1777B4"/>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1">
    <w:name w:val="Table Grid 1"/>
    <w:basedOn w:val="TableNormal"/>
    <w:rsid w:val="001777B4"/>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1777B4"/>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1777B4"/>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1777B4"/>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1777B4"/>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1777B4"/>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1777B4"/>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1777B4"/>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1777B4"/>
    <w:pPr>
      <w:spacing w:after="24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1777B4"/>
    <w:pPr>
      <w:spacing w:after="24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1777B4"/>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1777B4"/>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1777B4"/>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1777B4"/>
    <w:pPr>
      <w:spacing w:after="24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1777B4"/>
    <w:pPr>
      <w:spacing w:after="24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1777B4"/>
    <w:pPr>
      <w:spacing w:after="24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1777B4"/>
    <w:pPr>
      <w:spacing w:after="0"/>
      <w:ind w:left="220" w:hanging="220"/>
    </w:pPr>
  </w:style>
  <w:style w:type="paragraph" w:styleId="TableofFigures">
    <w:name w:val="table of figures"/>
    <w:basedOn w:val="Normal"/>
    <w:next w:val="Normal"/>
    <w:rsid w:val="001777B4"/>
    <w:pPr>
      <w:spacing w:after="0"/>
    </w:pPr>
  </w:style>
  <w:style w:type="table" w:styleId="TableProfessional">
    <w:name w:val="Table Professional"/>
    <w:basedOn w:val="TableNormal"/>
    <w:rsid w:val="001777B4"/>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1777B4"/>
    <w:pPr>
      <w:spacing w:after="24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1777B4"/>
    <w:pPr>
      <w:spacing w:after="24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1777B4"/>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1777B4"/>
    <w:pPr>
      <w:spacing w:after="24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1777B4"/>
    <w:pPr>
      <w:spacing w:after="24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1777B4"/>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1777B4"/>
    <w:pPr>
      <w:spacing w:after="24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1777B4"/>
    <w:pPr>
      <w:spacing w:after="24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1777B4"/>
    <w:pPr>
      <w:spacing w:after="24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12"/>
    <w:qFormat/>
    <w:rsid w:val="001777B4"/>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2"/>
    <w:rsid w:val="001777B4"/>
    <w:rPr>
      <w:rFonts w:asciiTheme="majorHAnsi" w:hAnsiTheme="majorHAnsi"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rsid w:val="001777B4"/>
    <w:pPr>
      <w:spacing w:before="120"/>
    </w:pPr>
    <w:rPr>
      <w:rFonts w:asciiTheme="majorHAnsi" w:hAnsiTheme="majorHAnsi" w:eastAsiaTheme="majorEastAsia" w:cstheme="majorBidi"/>
      <w:b/>
      <w:bCs/>
      <w:sz w:val="24"/>
    </w:rPr>
  </w:style>
  <w:style w:type="paragraph" w:styleId="TOC4">
    <w:name w:val="toc 4"/>
    <w:basedOn w:val="Normal"/>
    <w:next w:val="Normal"/>
    <w:autoRedefine/>
    <w:uiPriority w:val="39"/>
    <w:rsid w:val="001777B4"/>
    <w:pPr>
      <w:spacing w:after="100"/>
      <w:ind w:left="660"/>
    </w:pPr>
  </w:style>
  <w:style w:type="paragraph" w:styleId="TOC5">
    <w:name w:val="toc 5"/>
    <w:basedOn w:val="Normal"/>
    <w:next w:val="Normal"/>
    <w:autoRedefine/>
    <w:uiPriority w:val="39"/>
    <w:rsid w:val="001777B4"/>
    <w:pPr>
      <w:spacing w:after="100"/>
      <w:ind w:left="880"/>
    </w:pPr>
  </w:style>
  <w:style w:type="paragraph" w:styleId="TOC6">
    <w:name w:val="toc 6"/>
    <w:basedOn w:val="Normal"/>
    <w:next w:val="Normal"/>
    <w:autoRedefine/>
    <w:uiPriority w:val="39"/>
    <w:rsid w:val="001777B4"/>
    <w:pPr>
      <w:spacing w:after="100"/>
      <w:ind w:left="1100"/>
    </w:pPr>
  </w:style>
  <w:style w:type="paragraph" w:styleId="TOC7">
    <w:name w:val="toc 7"/>
    <w:basedOn w:val="Normal"/>
    <w:next w:val="Normal"/>
    <w:autoRedefine/>
    <w:uiPriority w:val="39"/>
    <w:rsid w:val="001777B4"/>
    <w:pPr>
      <w:spacing w:after="100"/>
      <w:ind w:left="1320"/>
    </w:pPr>
  </w:style>
  <w:style w:type="paragraph" w:styleId="TOC8">
    <w:name w:val="toc 8"/>
    <w:basedOn w:val="Normal"/>
    <w:next w:val="Normal"/>
    <w:autoRedefine/>
    <w:uiPriority w:val="39"/>
    <w:rsid w:val="001777B4"/>
    <w:pPr>
      <w:spacing w:after="100"/>
      <w:ind w:left="1540"/>
    </w:pPr>
  </w:style>
  <w:style w:type="paragraph" w:styleId="TOCHeading">
    <w:name w:val="TOC Heading"/>
    <w:basedOn w:val="Heading1"/>
    <w:next w:val="Normal"/>
    <w:uiPriority w:val="39"/>
    <w:semiHidden/>
    <w:unhideWhenUsed/>
    <w:qFormat/>
    <w:rsid w:val="001777B4"/>
    <w:pPr>
      <w:keepLines/>
      <w:numPr>
        <w:numId w:val="0"/>
      </w:numPr>
      <w:spacing w:before="480" w:after="0"/>
      <w:outlineLvl w:val="9"/>
    </w:pPr>
    <w:rPr>
      <w:rFonts w:asciiTheme="majorHAnsi" w:hAnsiTheme="majorHAnsi" w:eastAsiaTheme="majorEastAsia" w:cstheme="majorBidi"/>
      <w:bCs/>
      <w:caps w:val="0"/>
      <w:color w:val="365F91" w:themeColor="accent1" w:themeShade="BF"/>
      <w:sz w:val="28"/>
      <w:szCs w:val="28"/>
    </w:rPr>
  </w:style>
  <w:style w:type="paragraph" w:styleId="Default" w:customStyle="1">
    <w:name w:val="Default"/>
    <w:rsid w:val="004813B4"/>
    <w:pPr>
      <w:autoSpaceDE w:val="0"/>
      <w:autoSpaceDN w:val="0"/>
      <w:adjustRightInd w:val="0"/>
    </w:pPr>
    <w:rPr>
      <w:rFonts w:ascii="Tahoma" w:hAnsi="Tahoma" w:cs="Tahoma"/>
      <w:color w:val="000000"/>
      <w:sz w:val="24"/>
      <w:szCs w:val="24"/>
    </w:rPr>
  </w:style>
  <w:style w:type="character" w:styleId="FooterChar" w:customStyle="1">
    <w:name w:val="Footer Char"/>
    <w:basedOn w:val="DefaultParagraphFont"/>
    <w:link w:val="Footer"/>
    <w:uiPriority w:val="99"/>
    <w:rsid w:val="002936ED"/>
    <w:rPr>
      <w:sz w:val="18"/>
    </w:rPr>
  </w:style>
  <w:style w:type="paragraph" w:styleId="Style1" w:customStyle="1">
    <w:name w:val="Style 1"/>
    <w:basedOn w:val="Normal"/>
    <w:uiPriority w:val="99"/>
    <w:rsid w:val="006E56F6"/>
    <w:pPr>
      <w:widowControl w:val="0"/>
      <w:autoSpaceDE w:val="0"/>
      <w:autoSpaceDN w:val="0"/>
      <w:adjustRightInd w:val="0"/>
      <w:spacing w:after="0"/>
      <w:jc w:val="left"/>
    </w:pPr>
    <w:rPr>
      <w:rFonts w:ascii="Times New Roman" w:hAnsi="Times New Roman" w:eastAsiaTheme="minorEastAsia"/>
      <w:sz w:val="24"/>
      <w:lang w:val="en-US"/>
    </w:rPr>
  </w:style>
  <w:style w:type="paragraph" w:styleId="Style20" w:customStyle="1">
    <w:name w:val="Style 2"/>
    <w:basedOn w:val="Normal"/>
    <w:uiPriority w:val="99"/>
    <w:rsid w:val="006E56F6"/>
    <w:pPr>
      <w:widowControl w:val="0"/>
      <w:autoSpaceDE w:val="0"/>
      <w:autoSpaceDN w:val="0"/>
      <w:adjustRightInd w:val="0"/>
      <w:spacing w:after="0"/>
      <w:jc w:val="left"/>
    </w:pPr>
    <w:rPr>
      <w:rFonts w:ascii="Times New Roman" w:hAnsi="Times New Roman" w:eastAsiaTheme="minorEastAsia"/>
      <w:sz w:val="24"/>
      <w:lang w:val="en-US"/>
    </w:rPr>
  </w:style>
  <w:style w:type="character" w:styleId="HeaderChar" w:customStyle="1">
    <w:name w:val="Header Char"/>
    <w:basedOn w:val="DefaultParagraphFont"/>
    <w:link w:val="Header"/>
    <w:uiPriority w:val="99"/>
    <w:rsid w:val="00790927"/>
    <w:rPr>
      <w:b/>
      <w:smallCaps/>
      <w:sz w:val="18"/>
    </w:rPr>
  </w:style>
  <w:style w:type="paragraph" w:styleId="Body" w:customStyle="1">
    <w:name w:val="Body"/>
    <w:basedOn w:val="Normal"/>
    <w:qFormat/>
    <w:rsid w:val="00790927"/>
    <w:pPr>
      <w:adjustRightInd w:val="0"/>
      <w:spacing w:before="142" w:after="0" w:line="280" w:lineRule="atLeast"/>
    </w:pPr>
    <w:rPr>
      <w:rFonts w:eastAsia="Arial" w:cs="Arial"/>
      <w:szCs w:val="20"/>
    </w:rPr>
  </w:style>
  <w:style w:type="character" w:styleId="SJBLevel1asheadingtext" w:customStyle="1">
    <w:name w:val="SJB Level 1 as heading (text)"/>
    <w:basedOn w:val="DefaultParagraphFont"/>
    <w:uiPriority w:val="99"/>
    <w:rsid w:val="00790927"/>
    <w:rPr>
      <w:b/>
      <w:bCs/>
    </w:rPr>
  </w:style>
  <w:style w:type="paragraph" w:styleId="SJBBody3" w:customStyle="1">
    <w:name w:val="SJB Body 3"/>
    <w:basedOn w:val="Body"/>
    <w:uiPriority w:val="99"/>
    <w:rsid w:val="00790927"/>
    <w:pPr>
      <w:ind w:left="1701"/>
    </w:pPr>
  </w:style>
  <w:style w:type="paragraph" w:styleId="SJBHeading" w:customStyle="1">
    <w:name w:val="SJB Heading"/>
    <w:basedOn w:val="Body"/>
    <w:next w:val="Body"/>
    <w:uiPriority w:val="99"/>
    <w:rsid w:val="00790927"/>
    <w:pPr>
      <w:keepNext/>
      <w:numPr>
        <w:numId w:val="25"/>
      </w:numPr>
    </w:pPr>
    <w:rPr>
      <w:caps/>
    </w:rPr>
  </w:style>
  <w:style w:type="paragraph" w:styleId="SJBPartsub-heading" w:customStyle="1">
    <w:name w:val="SJB Part sub-heading"/>
    <w:basedOn w:val="Body"/>
    <w:next w:val="Body"/>
    <w:uiPriority w:val="99"/>
    <w:rsid w:val="00790927"/>
    <w:pPr>
      <w:numPr>
        <w:ilvl w:val="3"/>
        <w:numId w:val="25"/>
      </w:numPr>
      <w:spacing w:before="0" w:after="120"/>
      <w:jc w:val="center"/>
    </w:pPr>
    <w:rPr>
      <w:b/>
      <w:bCs/>
    </w:rPr>
  </w:style>
  <w:style w:type="paragraph" w:styleId="SJBSchedulesub-heading" w:customStyle="1">
    <w:name w:val="SJB Schedule sub-heading"/>
    <w:basedOn w:val="Body"/>
    <w:next w:val="Body"/>
    <w:uiPriority w:val="99"/>
    <w:rsid w:val="00790927"/>
    <w:pPr>
      <w:keepNext/>
      <w:numPr>
        <w:ilvl w:val="2"/>
        <w:numId w:val="25"/>
      </w:numPr>
      <w:spacing w:after="120"/>
      <w:jc w:val="center"/>
    </w:pPr>
    <w:rPr>
      <w:b/>
      <w:bCs/>
    </w:rPr>
  </w:style>
  <w:style w:type="paragraph" w:styleId="SJBSub-heading" w:customStyle="1">
    <w:name w:val="SJB Sub-heading"/>
    <w:basedOn w:val="Body"/>
    <w:next w:val="Normal"/>
    <w:uiPriority w:val="99"/>
    <w:rsid w:val="00790927"/>
    <w:pPr>
      <w:keepNext/>
      <w:numPr>
        <w:ilvl w:val="1"/>
        <w:numId w:val="25"/>
      </w:numPr>
    </w:pPr>
    <w:rPr>
      <w:i/>
      <w:iCs/>
    </w:rPr>
  </w:style>
  <w:style w:type="character" w:styleId="co" w:customStyle="1">
    <w:name w:val="co"/>
    <w:basedOn w:val="DefaultParagraphFont"/>
    <w:rsid w:val="00790927"/>
    <w:rPr>
      <w:sz w:val="20"/>
      <w:szCs w:val="20"/>
    </w:rPr>
  </w:style>
  <w:style w:type="paragraph" w:styleId="CM23" w:customStyle="1">
    <w:name w:val="CM23"/>
    <w:basedOn w:val="Default"/>
    <w:next w:val="Default"/>
    <w:uiPriority w:val="99"/>
    <w:rsid w:val="00F32110"/>
    <w:pPr>
      <w:widowControl w:val="0"/>
    </w:pPr>
    <w:rPr>
      <w:rFonts w:ascii="ITC Franklin Gothic Std Book" w:hAnsi="ITC Franklin Gothic Std Book" w:eastAsiaTheme="minorEastAsia" w:cstheme="minorBidi"/>
      <w:color w:val="auto"/>
      <w:lang w:val="en-US" w:eastAsia="en-US"/>
    </w:rPr>
  </w:style>
  <w:style w:type="character" w:styleId="FootnoteTextChar" w:customStyle="1">
    <w:name w:val="Footnote Text Char"/>
    <w:basedOn w:val="DefaultParagraphFont"/>
    <w:link w:val="FootnoteText"/>
    <w:uiPriority w:val="99"/>
    <w:rsid w:val="00AD4F8F"/>
    <w:rPr>
      <w:sz w:val="18"/>
    </w:rPr>
  </w:style>
  <w:style w:type="paragraph" w:styleId="Body1" w:customStyle="1">
    <w:name w:val="Body 1"/>
    <w:basedOn w:val="Normal"/>
    <w:link w:val="Body1Char"/>
    <w:qFormat/>
    <w:rsid w:val="00D15FB1"/>
    <w:pPr>
      <w:spacing w:after="210" w:line="264" w:lineRule="auto"/>
    </w:pPr>
    <w:rPr>
      <w:rFonts w:eastAsia="Arial Unicode MS"/>
      <w:sz w:val="21"/>
      <w:szCs w:val="21"/>
    </w:rPr>
  </w:style>
  <w:style w:type="character" w:styleId="Body1Char" w:customStyle="1">
    <w:name w:val="Body 1 Char"/>
    <w:basedOn w:val="DefaultParagraphFont"/>
    <w:link w:val="Body1"/>
    <w:rsid w:val="00D15FB1"/>
    <w:rPr>
      <w:rFonts w:eastAsia="Arial Unicode MS"/>
      <w:sz w:val="21"/>
      <w:szCs w:val="21"/>
    </w:rPr>
  </w:style>
  <w:style w:type="paragraph" w:styleId="Simple1" w:customStyle="1">
    <w:name w:val="Simple 1"/>
    <w:link w:val="Simple1Char"/>
    <w:uiPriority w:val="3"/>
    <w:qFormat/>
    <w:rsid w:val="00DF26AC"/>
    <w:pPr>
      <w:tabs>
        <w:tab w:val="left" w:pos="6660"/>
      </w:tabs>
      <w:spacing w:after="280" w:line="280" w:lineRule="atLeast"/>
      <w:jc w:val="both"/>
    </w:pPr>
    <w:rPr>
      <w:rFonts w:eastAsiaTheme="minorHAnsi" w:cstheme="minorBidi"/>
      <w:lang w:eastAsia="en-US"/>
    </w:rPr>
  </w:style>
  <w:style w:type="paragraph" w:styleId="Simple2" w:customStyle="1">
    <w:name w:val="Simple 2"/>
    <w:link w:val="Simple2Char"/>
    <w:uiPriority w:val="3"/>
    <w:qFormat/>
    <w:rsid w:val="00DF26AC"/>
    <w:pPr>
      <w:spacing w:after="280" w:line="280" w:lineRule="atLeast"/>
      <w:jc w:val="both"/>
    </w:pPr>
    <w:rPr>
      <w:rFonts w:eastAsiaTheme="minorHAnsi" w:cstheme="minorBidi"/>
      <w:lang w:eastAsia="en-US"/>
    </w:rPr>
  </w:style>
  <w:style w:type="character" w:styleId="Simple2Char" w:customStyle="1">
    <w:name w:val="Simple 2 Char"/>
    <w:basedOn w:val="DefaultParagraphFont"/>
    <w:link w:val="Simple2"/>
    <w:uiPriority w:val="3"/>
    <w:rsid w:val="00DF26AC"/>
    <w:rPr>
      <w:rFonts w:eastAsiaTheme="minorHAnsi" w:cstheme="minorBidi"/>
      <w:lang w:eastAsia="en-US"/>
    </w:rPr>
  </w:style>
  <w:style w:type="paragraph" w:styleId="Simple3" w:customStyle="1">
    <w:name w:val="Simple 3"/>
    <w:link w:val="Simple3Char"/>
    <w:uiPriority w:val="3"/>
    <w:qFormat/>
    <w:rsid w:val="00DF26AC"/>
    <w:pPr>
      <w:spacing w:after="280" w:line="280" w:lineRule="atLeast"/>
      <w:jc w:val="both"/>
    </w:pPr>
    <w:rPr>
      <w:rFonts w:eastAsiaTheme="minorHAnsi" w:cstheme="minorBidi"/>
      <w:lang w:eastAsia="en-US"/>
    </w:rPr>
  </w:style>
  <w:style w:type="paragraph" w:styleId="Simple4" w:customStyle="1">
    <w:name w:val="Simple 4"/>
    <w:link w:val="Simple4Char"/>
    <w:uiPriority w:val="3"/>
    <w:qFormat/>
    <w:rsid w:val="00DF26AC"/>
    <w:pPr>
      <w:spacing w:after="280" w:line="280" w:lineRule="atLeast"/>
      <w:jc w:val="both"/>
    </w:pPr>
    <w:rPr>
      <w:rFonts w:eastAsiaTheme="minorHAnsi" w:cstheme="minorBidi"/>
      <w:lang w:eastAsia="en-US"/>
    </w:rPr>
  </w:style>
  <w:style w:type="paragraph" w:styleId="Simple5" w:customStyle="1">
    <w:name w:val="Simple 5"/>
    <w:link w:val="Simple5Char"/>
    <w:uiPriority w:val="3"/>
    <w:qFormat/>
    <w:rsid w:val="00DF26AC"/>
    <w:pPr>
      <w:spacing w:after="280" w:line="280" w:lineRule="atLeast"/>
      <w:jc w:val="both"/>
    </w:pPr>
    <w:rPr>
      <w:rFonts w:eastAsiaTheme="minorHAnsi" w:cstheme="minorBidi"/>
      <w:lang w:eastAsia="en-US"/>
    </w:rPr>
  </w:style>
  <w:style w:type="paragraph" w:styleId="Simple6" w:customStyle="1">
    <w:name w:val="Simple 6"/>
    <w:link w:val="Simple6Char"/>
    <w:uiPriority w:val="3"/>
    <w:qFormat/>
    <w:rsid w:val="00DF26AC"/>
    <w:pPr>
      <w:spacing w:after="280" w:line="280" w:lineRule="atLeast"/>
      <w:jc w:val="both"/>
    </w:pPr>
    <w:rPr>
      <w:rFonts w:eastAsiaTheme="minorHAnsi" w:cstheme="minorBidi"/>
      <w:lang w:eastAsia="en-US"/>
    </w:rPr>
  </w:style>
  <w:style w:type="paragraph" w:styleId="Simple7" w:customStyle="1">
    <w:name w:val="Simple 7"/>
    <w:link w:val="Simple7Char"/>
    <w:uiPriority w:val="10"/>
    <w:qFormat/>
    <w:rsid w:val="00DF26AC"/>
    <w:pPr>
      <w:spacing w:after="280" w:line="280" w:lineRule="atLeast"/>
      <w:jc w:val="both"/>
    </w:pPr>
    <w:rPr>
      <w:rFonts w:eastAsiaTheme="minorHAnsi" w:cstheme="minorBidi"/>
      <w:lang w:eastAsia="en-US"/>
    </w:rPr>
  </w:style>
  <w:style w:type="paragraph" w:styleId="Simple8" w:customStyle="1">
    <w:name w:val="Simple 8"/>
    <w:link w:val="Simple8Char"/>
    <w:uiPriority w:val="10"/>
    <w:rsid w:val="00DF26AC"/>
    <w:pPr>
      <w:spacing w:after="280" w:line="280" w:lineRule="atLeast"/>
      <w:jc w:val="both"/>
    </w:pPr>
    <w:rPr>
      <w:rFonts w:eastAsiaTheme="minorHAnsi" w:cstheme="minorBidi"/>
      <w:lang w:eastAsia="en-US"/>
    </w:rPr>
  </w:style>
  <w:style w:type="paragraph" w:styleId="Simple9" w:customStyle="1">
    <w:name w:val="Simple 9"/>
    <w:link w:val="Simple9Char"/>
    <w:uiPriority w:val="10"/>
    <w:rsid w:val="00DF26AC"/>
    <w:pPr>
      <w:spacing w:after="280" w:line="280" w:lineRule="atLeast"/>
      <w:jc w:val="both"/>
    </w:pPr>
    <w:rPr>
      <w:rFonts w:eastAsiaTheme="minorHAnsi" w:cstheme="minorBidi"/>
      <w:lang w:eastAsia="en-US"/>
    </w:rPr>
  </w:style>
  <w:style w:type="paragraph" w:styleId="Body2" w:customStyle="1">
    <w:name w:val="Body 2"/>
    <w:basedOn w:val="Body1"/>
    <w:link w:val="Body2Char"/>
    <w:qFormat/>
    <w:rsid w:val="00DF26AC"/>
    <w:pPr>
      <w:ind w:left="709"/>
    </w:pPr>
  </w:style>
  <w:style w:type="character" w:styleId="Body2Char" w:customStyle="1">
    <w:name w:val="Body 2 Char"/>
    <w:basedOn w:val="Body1Char"/>
    <w:link w:val="Body2"/>
    <w:rsid w:val="00DF26AC"/>
    <w:rPr>
      <w:rFonts w:eastAsia="Arial Unicode MS"/>
      <w:sz w:val="21"/>
      <w:szCs w:val="21"/>
    </w:rPr>
  </w:style>
  <w:style w:type="paragraph" w:styleId="tp0" w:customStyle="1">
    <w:name w:val="tp0"/>
    <w:rsid w:val="00FB17AF"/>
    <w:pPr>
      <w:spacing w:after="120"/>
      <w:jc w:val="both"/>
    </w:pPr>
    <w:rPr>
      <w:rFonts w:ascii="Times New Roman" w:hAnsi="Times New Roman"/>
      <w:szCs w:val="24"/>
      <w:lang w:eastAsia="en-US"/>
    </w:rPr>
  </w:style>
  <w:style w:type="paragraph" w:styleId="Arialsh2" w:customStyle="1">
    <w:name w:val="Arialsh2"/>
    <w:basedOn w:val="Normal"/>
    <w:rsid w:val="002361EC"/>
    <w:pPr>
      <w:keepNext/>
      <w:keepLines/>
      <w:tabs>
        <w:tab w:val="left" w:pos="567"/>
        <w:tab w:val="left" w:pos="1134"/>
        <w:tab w:val="left" w:pos="1701"/>
        <w:tab w:val="left" w:pos="2268"/>
      </w:tabs>
      <w:spacing w:before="240" w:after="60"/>
    </w:pPr>
    <w:rPr>
      <w:rFonts w:cs="Arial"/>
      <w:b/>
      <w:bCs/>
      <w:i/>
      <w:szCs w:val="28"/>
    </w:rPr>
  </w:style>
  <w:style w:type="paragraph" w:styleId="Arialsh1" w:customStyle="1">
    <w:name w:val="Arialsh1"/>
    <w:basedOn w:val="Normal"/>
    <w:rsid w:val="00E04710"/>
    <w:pPr>
      <w:keepNext/>
      <w:keepLines/>
      <w:tabs>
        <w:tab w:val="left" w:pos="567"/>
      </w:tabs>
      <w:spacing w:before="240" w:after="60"/>
      <w:jc w:val="left"/>
      <w:outlineLvl w:val="2"/>
    </w:pPr>
    <w:rPr>
      <w:rFonts w:cs="Arial"/>
      <w:b/>
      <w:bCs/>
      <w:szCs w:val="26"/>
    </w:rPr>
  </w:style>
  <w:style w:type="paragraph" w:styleId="tp3" w:customStyle="1">
    <w:name w:val="tp3"/>
    <w:basedOn w:val="tp0"/>
    <w:rsid w:val="00E04710"/>
    <w:pPr>
      <w:tabs>
        <w:tab w:val="left" w:pos="567"/>
        <w:tab w:val="left" w:pos="1134"/>
        <w:tab w:val="left" w:pos="1701"/>
        <w:tab w:val="left" w:pos="2268"/>
        <w:tab w:val="left" w:pos="2835"/>
      </w:tabs>
      <w:ind w:left="567" w:hanging="567"/>
    </w:pPr>
    <w:rPr>
      <w:lang w:eastAsia="en-GB"/>
    </w:rPr>
  </w:style>
  <w:style w:type="paragraph" w:styleId="SHNormal" w:customStyle="1">
    <w:name w:val="SH Normal"/>
    <w:link w:val="SHNormalChar"/>
    <w:unhideWhenUsed/>
    <w:qFormat/>
    <w:rsid w:val="005865F5"/>
    <w:pPr>
      <w:spacing w:after="200" w:line="280" w:lineRule="atLeast"/>
      <w:jc w:val="both"/>
    </w:pPr>
    <w:rPr>
      <w:rFonts w:asciiTheme="minorHAnsi" w:hAnsiTheme="minorHAnsi" w:eastAsiaTheme="minorHAnsi" w:cstheme="minorBidi"/>
      <w:sz w:val="19"/>
      <w:szCs w:val="19"/>
      <w:lang w:eastAsia="en-US"/>
    </w:rPr>
  </w:style>
  <w:style w:type="character" w:styleId="SHNormalChar" w:customStyle="1">
    <w:name w:val="SH Normal Char"/>
    <w:basedOn w:val="DefaultParagraphFont"/>
    <w:link w:val="SHNormal"/>
    <w:rsid w:val="005865F5"/>
    <w:rPr>
      <w:rFonts w:asciiTheme="minorHAnsi" w:hAnsiTheme="minorHAnsi" w:eastAsiaTheme="minorHAnsi" w:cstheme="minorBidi"/>
      <w:sz w:val="19"/>
      <w:szCs w:val="19"/>
      <w:lang w:eastAsia="en-US"/>
    </w:rPr>
  </w:style>
  <w:style w:type="paragraph" w:styleId="Body10" w:customStyle="1">
    <w:name w:val="Body1"/>
    <w:basedOn w:val="BodyText"/>
    <w:qFormat/>
    <w:rsid w:val="006C50CA"/>
    <w:pPr>
      <w:spacing w:after="360" w:line="360" w:lineRule="atLeast"/>
      <w:ind w:left="709"/>
    </w:pPr>
    <w:rPr>
      <w:rFonts w:eastAsiaTheme="minorHAnsi" w:cstheme="minorBidi"/>
      <w:szCs w:val="20"/>
      <w:lang w:eastAsia="en-US"/>
    </w:rPr>
  </w:style>
  <w:style w:type="paragraph" w:styleId="Revision">
    <w:name w:val="Revision"/>
    <w:hidden/>
    <w:uiPriority w:val="99"/>
    <w:rsid w:val="00361DF6"/>
    <w:rPr>
      <w:szCs w:val="24"/>
    </w:rPr>
  </w:style>
  <w:style w:type="table" w:styleId="TableGrid11" w:customStyle="1">
    <w:name w:val="Table Grid11"/>
    <w:basedOn w:val="TableNormal"/>
    <w:next w:val="TableGrid"/>
    <w:rsid w:val="00AF46F5"/>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1" w:customStyle="1">
    <w:name w:val="Bullet 1"/>
    <w:uiPriority w:val="4"/>
    <w:qFormat/>
    <w:rsid w:val="00145389"/>
    <w:pPr>
      <w:numPr>
        <w:numId w:val="28"/>
      </w:numPr>
      <w:spacing w:after="240"/>
      <w:jc w:val="both"/>
    </w:pPr>
    <w:rPr>
      <w:rFonts w:eastAsiaTheme="minorHAnsi" w:cstheme="minorBidi"/>
      <w:lang w:eastAsia="en-US"/>
    </w:rPr>
  </w:style>
  <w:style w:type="paragraph" w:styleId="Bullet2" w:customStyle="1">
    <w:name w:val="Bullet 2"/>
    <w:uiPriority w:val="4"/>
    <w:qFormat/>
    <w:rsid w:val="00145389"/>
    <w:pPr>
      <w:numPr>
        <w:ilvl w:val="1"/>
        <w:numId w:val="28"/>
      </w:numPr>
      <w:spacing w:after="240"/>
      <w:jc w:val="both"/>
    </w:pPr>
    <w:rPr>
      <w:rFonts w:eastAsiaTheme="minorHAnsi" w:cstheme="minorBidi"/>
      <w:lang w:eastAsia="en-US"/>
    </w:rPr>
  </w:style>
  <w:style w:type="paragraph" w:styleId="Bullet3" w:customStyle="1">
    <w:name w:val="Bullet 3"/>
    <w:uiPriority w:val="4"/>
    <w:qFormat/>
    <w:rsid w:val="00145389"/>
    <w:pPr>
      <w:numPr>
        <w:ilvl w:val="2"/>
        <w:numId w:val="28"/>
      </w:numPr>
      <w:spacing w:after="240"/>
      <w:jc w:val="both"/>
    </w:pPr>
    <w:rPr>
      <w:rFonts w:eastAsiaTheme="minorHAnsi" w:cstheme="minorBidi"/>
      <w:lang w:eastAsia="en-US"/>
    </w:rPr>
  </w:style>
  <w:style w:type="paragraph" w:styleId="Bullet4" w:customStyle="1">
    <w:name w:val="Bullet 4"/>
    <w:uiPriority w:val="4"/>
    <w:qFormat/>
    <w:rsid w:val="00145389"/>
    <w:pPr>
      <w:numPr>
        <w:ilvl w:val="3"/>
        <w:numId w:val="28"/>
      </w:numPr>
      <w:spacing w:after="240"/>
      <w:jc w:val="both"/>
    </w:pPr>
    <w:rPr>
      <w:rFonts w:eastAsiaTheme="minorHAnsi" w:cstheme="minorBidi"/>
      <w:lang w:eastAsia="en-US"/>
    </w:rPr>
  </w:style>
  <w:style w:type="paragraph" w:styleId="Bullet5" w:customStyle="1">
    <w:name w:val="Bullet 5"/>
    <w:uiPriority w:val="4"/>
    <w:qFormat/>
    <w:rsid w:val="00145389"/>
    <w:pPr>
      <w:numPr>
        <w:ilvl w:val="4"/>
        <w:numId w:val="28"/>
      </w:numPr>
      <w:spacing w:after="240"/>
      <w:jc w:val="both"/>
    </w:pPr>
    <w:rPr>
      <w:rFonts w:eastAsiaTheme="minorHAnsi" w:cstheme="minorBidi"/>
      <w:lang w:eastAsia="en-US"/>
    </w:rPr>
  </w:style>
  <w:style w:type="paragraph" w:styleId="Bullet6" w:customStyle="1">
    <w:name w:val="Bullet 6"/>
    <w:uiPriority w:val="4"/>
    <w:qFormat/>
    <w:rsid w:val="00145389"/>
    <w:pPr>
      <w:numPr>
        <w:ilvl w:val="5"/>
        <w:numId w:val="28"/>
      </w:numPr>
      <w:spacing w:after="240"/>
      <w:ind w:left="3544" w:hanging="709"/>
      <w:jc w:val="both"/>
    </w:pPr>
    <w:rPr>
      <w:rFonts w:eastAsiaTheme="minorHAnsi" w:cstheme="minorBidi"/>
      <w:lang w:eastAsia="en-US"/>
    </w:rPr>
  </w:style>
  <w:style w:type="paragraph" w:styleId="Bullet7" w:customStyle="1">
    <w:name w:val="Bullet 7"/>
    <w:uiPriority w:val="10"/>
    <w:qFormat/>
    <w:rsid w:val="00145389"/>
    <w:pPr>
      <w:numPr>
        <w:ilvl w:val="6"/>
        <w:numId w:val="28"/>
      </w:numPr>
      <w:spacing w:after="240"/>
      <w:ind w:left="4253"/>
      <w:jc w:val="both"/>
    </w:pPr>
    <w:rPr>
      <w:rFonts w:eastAsiaTheme="minorHAnsi" w:cstheme="minorBidi"/>
      <w:lang w:eastAsia="en-US"/>
    </w:rPr>
  </w:style>
  <w:style w:type="paragraph" w:styleId="Bullet8" w:customStyle="1">
    <w:name w:val="Bullet 8"/>
    <w:uiPriority w:val="10"/>
    <w:rsid w:val="00145389"/>
    <w:pPr>
      <w:numPr>
        <w:ilvl w:val="7"/>
        <w:numId w:val="28"/>
      </w:numPr>
      <w:spacing w:after="280" w:line="280" w:lineRule="atLeast"/>
      <w:jc w:val="both"/>
    </w:pPr>
    <w:rPr>
      <w:rFonts w:eastAsiaTheme="minorHAnsi" w:cstheme="minorBidi"/>
      <w:lang w:eastAsia="en-US"/>
    </w:rPr>
  </w:style>
  <w:style w:type="paragraph" w:styleId="Bullet9" w:customStyle="1">
    <w:name w:val="Bullet 9"/>
    <w:uiPriority w:val="10"/>
    <w:rsid w:val="00145389"/>
    <w:pPr>
      <w:numPr>
        <w:ilvl w:val="8"/>
        <w:numId w:val="28"/>
      </w:numPr>
      <w:spacing w:after="280" w:line="280" w:lineRule="atLeast"/>
      <w:jc w:val="both"/>
    </w:pPr>
    <w:rPr>
      <w:rFonts w:eastAsiaTheme="minorHAnsi" w:cstheme="minorBidi"/>
      <w:lang w:eastAsia="en-US"/>
    </w:rPr>
  </w:style>
  <w:style w:type="paragraph" w:styleId="Body20" w:customStyle="1">
    <w:name w:val="Body2"/>
    <w:qFormat/>
    <w:rsid w:val="00310D91"/>
    <w:pPr>
      <w:spacing w:after="240"/>
      <w:ind w:left="709"/>
      <w:jc w:val="both"/>
    </w:pPr>
    <w:rPr>
      <w:rFonts w:eastAsiaTheme="minorHAnsi" w:cstheme="minorBidi"/>
      <w:lang w:eastAsia="en-US"/>
    </w:rPr>
  </w:style>
  <w:style w:type="paragraph" w:styleId="ssqExhibit" w:customStyle="1">
    <w:name w:val="ssqExhibit"/>
    <w:basedOn w:val="Normal"/>
    <w:next w:val="Normal"/>
    <w:uiPriority w:val="41"/>
    <w:qFormat/>
    <w:rsid w:val="00310D91"/>
    <w:pPr>
      <w:pageBreakBefore/>
      <w:numPr>
        <w:ilvl w:val="1"/>
        <w:numId w:val="30"/>
      </w:numPr>
      <w:spacing w:after="260"/>
      <w:jc w:val="center"/>
    </w:pPr>
    <w:rPr>
      <w:rFonts w:asciiTheme="majorHAnsi" w:hAnsiTheme="majorHAnsi" w:cstheme="minorBidi"/>
      <w:b/>
      <w:caps/>
      <w:sz w:val="24"/>
      <w:lang w:eastAsia="en-US"/>
    </w:rPr>
  </w:style>
  <w:style w:type="paragraph" w:styleId="ssRestartExhibit" w:customStyle="1">
    <w:name w:val="ssRestartExhibit"/>
    <w:basedOn w:val="Normal"/>
    <w:next w:val="Normal"/>
    <w:uiPriority w:val="42"/>
    <w:rsid w:val="00310D91"/>
    <w:pPr>
      <w:numPr>
        <w:numId w:val="30"/>
      </w:numPr>
      <w:spacing w:after="0"/>
      <w:jc w:val="left"/>
    </w:pPr>
    <w:rPr>
      <w:rFonts w:ascii="Times New Roman" w:hAnsi="Times New Roman" w:eastAsiaTheme="minorHAnsi" w:cstheme="minorBidi"/>
      <w:color w:val="FF0000"/>
      <w:sz w:val="24"/>
      <w:lang w:eastAsia="en-US"/>
    </w:rPr>
  </w:style>
  <w:style w:type="numbering" w:styleId="ExhibitNumbering" w:customStyle="1">
    <w:name w:val="Exhibit Numbering"/>
    <w:uiPriority w:val="99"/>
    <w:rsid w:val="00310D91"/>
    <w:pPr>
      <w:numPr>
        <w:numId w:val="29"/>
      </w:numPr>
    </w:pPr>
  </w:style>
  <w:style w:type="paragraph" w:styleId="Heading0" w:customStyle="1">
    <w:name w:val="Heading 0"/>
    <w:basedOn w:val="BodyText"/>
    <w:next w:val="BodyText"/>
    <w:uiPriority w:val="9"/>
    <w:rsid w:val="00DB5267"/>
    <w:pPr>
      <w:tabs>
        <w:tab w:val="num" w:pos="360"/>
        <w:tab w:val="left" w:pos="907"/>
        <w:tab w:val="left" w:pos="1644"/>
        <w:tab w:val="left" w:pos="2381"/>
        <w:tab w:val="left" w:pos="3119"/>
        <w:tab w:val="left" w:pos="3856"/>
        <w:tab w:val="left" w:pos="4593"/>
        <w:tab w:val="left" w:pos="5330"/>
        <w:tab w:val="left" w:pos="6067"/>
      </w:tabs>
      <w:suppressAutoHyphens/>
      <w:spacing w:before="240" w:after="0"/>
    </w:pPr>
    <w:rPr>
      <w:rFonts w:ascii="Tahoma" w:hAnsi="Tahoma" w:eastAsia="Tahoma" w:cs="Tahoma"/>
      <w:vanish/>
      <w:color w:val="FF0000"/>
      <w:szCs w:val="20"/>
      <w:lang w:eastAsia="en-US"/>
    </w:rPr>
  </w:style>
  <w:style w:type="paragraph" w:styleId="HeadingList" w:customStyle="1">
    <w:name w:val="Heading List"/>
    <w:basedOn w:val="BodyText"/>
    <w:next w:val="BodyText"/>
    <w:uiPriority w:val="9"/>
    <w:unhideWhenUsed/>
    <w:rsid w:val="00DB5267"/>
    <w:pPr>
      <w:tabs>
        <w:tab w:val="num" w:pos="360"/>
        <w:tab w:val="left" w:pos="907"/>
        <w:tab w:val="left" w:pos="1644"/>
        <w:tab w:val="left" w:pos="2381"/>
        <w:tab w:val="left" w:pos="3119"/>
        <w:tab w:val="left" w:pos="3856"/>
        <w:tab w:val="left" w:pos="4593"/>
        <w:tab w:val="left" w:pos="5330"/>
        <w:tab w:val="left" w:pos="6067"/>
      </w:tabs>
      <w:suppressAutoHyphens/>
      <w:spacing w:before="240" w:after="0"/>
    </w:pPr>
    <w:rPr>
      <w:rFonts w:ascii="Tahoma" w:hAnsi="Tahoma" w:eastAsia="Tahoma" w:cs="Tahoma"/>
      <w:vanish/>
      <w:color w:val="FF0000"/>
      <w:szCs w:val="20"/>
      <w:lang w:eastAsia="en-US"/>
    </w:rPr>
  </w:style>
  <w:style w:type="paragraph" w:styleId="Heading2Plain" w:customStyle="1">
    <w:name w:val="Heading 2 Plain"/>
    <w:basedOn w:val="Heading2"/>
    <w:next w:val="BodyText"/>
    <w:link w:val="Heading2PlainChar"/>
    <w:uiPriority w:val="10"/>
    <w:qFormat/>
    <w:rsid w:val="00DB5267"/>
    <w:pPr>
      <w:numPr>
        <w:ilvl w:val="0"/>
        <w:numId w:val="0"/>
      </w:numPr>
      <w:tabs>
        <w:tab w:val="left" w:pos="907"/>
        <w:tab w:val="left" w:pos="1644"/>
        <w:tab w:val="left" w:pos="2381"/>
        <w:tab w:val="left" w:pos="3119"/>
        <w:tab w:val="left" w:pos="3856"/>
        <w:tab w:val="left" w:pos="4593"/>
        <w:tab w:val="left" w:pos="5330"/>
        <w:tab w:val="left" w:pos="6067"/>
      </w:tabs>
      <w:suppressAutoHyphens/>
      <w:spacing w:before="240" w:after="0"/>
      <w:ind w:left="907" w:hanging="907"/>
    </w:pPr>
    <w:rPr>
      <w:rFonts w:ascii="Tahoma" w:hAnsi="Tahoma" w:eastAsia="Tahoma" w:cs="Tahoma"/>
      <w:bCs/>
      <w:lang w:eastAsia="en-US"/>
    </w:rPr>
  </w:style>
  <w:style w:type="character" w:styleId="Heading2PlainChar" w:customStyle="1">
    <w:name w:val="Heading 2 Plain Char"/>
    <w:link w:val="Heading2Plain"/>
    <w:uiPriority w:val="10"/>
    <w:rsid w:val="00DB5267"/>
    <w:rPr>
      <w:rFonts w:ascii="Tahoma" w:hAnsi="Tahoma" w:eastAsia="Tahoma" w:cs="Tahoma"/>
      <w:bCs/>
      <w:lang w:eastAsia="en-US"/>
    </w:rPr>
  </w:style>
  <w:style w:type="paragraph" w:styleId="SHAlpha1" w:customStyle="1">
    <w:name w:val="SH Alpha1"/>
    <w:basedOn w:val="SHNormal"/>
    <w:uiPriority w:val="31"/>
    <w:unhideWhenUsed/>
    <w:qFormat/>
    <w:rsid w:val="001777BD"/>
    <w:pPr>
      <w:numPr>
        <w:numId w:val="31"/>
      </w:numPr>
    </w:pPr>
  </w:style>
  <w:style w:type="paragraph" w:styleId="SHAlpha2" w:customStyle="1">
    <w:name w:val="SH Alpha2"/>
    <w:basedOn w:val="SHNormal"/>
    <w:uiPriority w:val="32"/>
    <w:unhideWhenUsed/>
    <w:qFormat/>
    <w:rsid w:val="001777BD"/>
    <w:pPr>
      <w:numPr>
        <w:ilvl w:val="1"/>
        <w:numId w:val="31"/>
      </w:numPr>
    </w:pPr>
  </w:style>
  <w:style w:type="paragraph" w:styleId="SHAlpha3" w:customStyle="1">
    <w:name w:val="SH Alpha3"/>
    <w:basedOn w:val="SHNormal"/>
    <w:uiPriority w:val="33"/>
    <w:unhideWhenUsed/>
    <w:qFormat/>
    <w:rsid w:val="001777BD"/>
    <w:pPr>
      <w:numPr>
        <w:ilvl w:val="2"/>
        <w:numId w:val="31"/>
      </w:numPr>
    </w:pPr>
  </w:style>
  <w:style w:type="table" w:styleId="TableGrid10" w:customStyle="1">
    <w:name w:val="Table Grid1"/>
    <w:basedOn w:val="TableNormal"/>
    <w:next w:val="TableGrid"/>
    <w:uiPriority w:val="59"/>
    <w:rsid w:val="001777BD"/>
    <w:pPr>
      <w:spacing w:line="280" w:lineRule="atLeast"/>
      <w:jc w:val="both"/>
    </w:pPr>
    <w:rPr>
      <w:rFonts w:asciiTheme="minorHAnsi" w:hAnsiTheme="minorHAnsi" w:eastAsiaTheme="minorHAnsi" w:cstheme="minorBidi"/>
      <w:sz w:val="19"/>
      <w:szCs w:val="19"/>
      <w:lang w:eastAsia="en-US"/>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style>
  <w:style w:type="character" w:styleId="ListParagraphChar" w:customStyle="1">
    <w:name w:val="List Paragraph Char"/>
    <w:aliases w:val="Dot pt Char,No Spacing1 Char,List Paragraph Char Char Char Char,Indicator Text Char,List Paragraph1 Char,Numbered Para 1 Char,F5 List Paragraph Char,Bullet Points Char,MAIN CONTENT Char,Normal numbered Char,List Paragraph11 Char"/>
    <w:link w:val="ListParagraph"/>
    <w:uiPriority w:val="34"/>
    <w:qFormat/>
    <w:rsid w:val="0088500D"/>
    <w:rPr>
      <w:rFonts w:cs="Arial"/>
      <w:b/>
      <w:szCs w:val="24"/>
    </w:rPr>
  </w:style>
  <w:style w:type="character" w:styleId="Heading2Char" w:customStyle="1">
    <w:name w:val="Heading 2 Char"/>
    <w:aliases w:val="h2 Char"/>
    <w:basedOn w:val="DefaultParagraphFont"/>
    <w:link w:val="Heading2"/>
    <w:uiPriority w:val="9"/>
    <w:rsid w:val="00584B13"/>
  </w:style>
  <w:style w:type="paragraph" w:styleId="MGbodycopy" w:customStyle="1">
    <w:name w:val="M&amp;G body copy"/>
    <w:basedOn w:val="Normal"/>
    <w:link w:val="MGbodycopyChar"/>
    <w:uiPriority w:val="6"/>
    <w:rsid w:val="009B4E8F"/>
    <w:pPr>
      <w:spacing w:after="0" w:line="276" w:lineRule="auto"/>
    </w:pPr>
    <w:rPr>
      <w:color w:val="004F5C"/>
      <w:szCs w:val="20"/>
    </w:rPr>
  </w:style>
  <w:style w:type="character" w:styleId="MGbodycopyChar" w:customStyle="1">
    <w:name w:val="M&amp;G body copy Char"/>
    <w:basedOn w:val="DefaultParagraphFont"/>
    <w:link w:val="MGbodycopy"/>
    <w:uiPriority w:val="6"/>
    <w:rsid w:val="009B4E8F"/>
    <w:rPr>
      <w:color w:val="004F5C"/>
    </w:rPr>
  </w:style>
  <w:style w:type="paragraph" w:styleId="MGbodycopyspaceaftert" w:customStyle="1">
    <w:name w:val="M&amp;G body copy space after t"/>
    <w:basedOn w:val="MGbodycopy"/>
    <w:rsid w:val="009B4E8F"/>
    <w:pPr>
      <w:spacing w:after="240"/>
    </w:pPr>
  </w:style>
  <w:style w:type="character" w:styleId="Simple3Char" w:customStyle="1">
    <w:name w:val="Simple 3 Char"/>
    <w:basedOn w:val="DefaultParagraphFont"/>
    <w:link w:val="Simple3"/>
    <w:uiPriority w:val="3"/>
    <w:rsid w:val="00203056"/>
    <w:rPr>
      <w:rFonts w:eastAsiaTheme="minorHAnsi" w:cstheme="minorBidi"/>
      <w:lang w:eastAsia="en-US"/>
    </w:rPr>
  </w:style>
  <w:style w:type="paragraph" w:styleId="Body3" w:customStyle="1">
    <w:name w:val="Body3"/>
    <w:qFormat/>
    <w:rsid w:val="00203056"/>
    <w:pPr>
      <w:spacing w:after="120"/>
      <w:ind w:left="1411"/>
      <w:jc w:val="both"/>
    </w:pPr>
    <w:rPr>
      <w:rFonts w:eastAsiaTheme="minorHAnsi" w:cstheme="minorBidi"/>
      <w:lang w:eastAsia="en-US"/>
    </w:rPr>
  </w:style>
  <w:style w:type="character" w:styleId="Simple1Char" w:customStyle="1">
    <w:name w:val="Simple 1 Char"/>
    <w:basedOn w:val="DefaultParagraphFont"/>
    <w:link w:val="Simple1"/>
    <w:uiPriority w:val="3"/>
    <w:rsid w:val="0037547A"/>
    <w:rPr>
      <w:rFonts w:eastAsiaTheme="minorHAnsi" w:cstheme="minorBidi"/>
      <w:lang w:eastAsia="en-US"/>
    </w:rPr>
  </w:style>
  <w:style w:type="paragraph" w:styleId="SHSch" w:customStyle="1">
    <w:name w:val="SH Sch"/>
    <w:basedOn w:val="SHNormal"/>
    <w:next w:val="SHNormal"/>
    <w:uiPriority w:val="14"/>
    <w:unhideWhenUsed/>
    <w:qFormat/>
    <w:rsid w:val="007700DB"/>
    <w:pPr>
      <w:keepNext/>
      <w:pageBreakBefore/>
      <w:numPr>
        <w:numId w:val="32"/>
      </w:numPr>
      <w:spacing w:line="360" w:lineRule="auto"/>
      <w:jc w:val="left"/>
      <w:outlineLvl w:val="0"/>
    </w:pPr>
    <w:rPr>
      <w:b/>
    </w:rPr>
  </w:style>
  <w:style w:type="paragraph" w:styleId="SHSchTitle" w:customStyle="1">
    <w:name w:val="SH SchTitle"/>
    <w:basedOn w:val="SHNormal"/>
    <w:next w:val="SHNormal"/>
    <w:uiPriority w:val="15"/>
    <w:unhideWhenUsed/>
    <w:qFormat/>
    <w:rsid w:val="007700DB"/>
    <w:pPr>
      <w:keepNext/>
      <w:numPr>
        <w:ilvl w:val="1"/>
        <w:numId w:val="32"/>
      </w:numPr>
      <w:jc w:val="left"/>
      <w:outlineLvl w:val="1"/>
    </w:pPr>
    <w:rPr>
      <w:b/>
    </w:rPr>
  </w:style>
  <w:style w:type="paragraph" w:styleId="SHSch1" w:customStyle="1">
    <w:name w:val="SH Sch1"/>
    <w:basedOn w:val="SHNormal"/>
    <w:uiPriority w:val="16"/>
    <w:unhideWhenUsed/>
    <w:qFormat/>
    <w:rsid w:val="007700DB"/>
    <w:pPr>
      <w:numPr>
        <w:ilvl w:val="2"/>
        <w:numId w:val="32"/>
      </w:numPr>
      <w:outlineLvl w:val="2"/>
    </w:pPr>
  </w:style>
  <w:style w:type="paragraph" w:styleId="SHSch2" w:customStyle="1">
    <w:name w:val="SH Sch2"/>
    <w:basedOn w:val="SHNormal"/>
    <w:uiPriority w:val="17"/>
    <w:unhideWhenUsed/>
    <w:qFormat/>
    <w:rsid w:val="007700DB"/>
    <w:pPr>
      <w:numPr>
        <w:ilvl w:val="3"/>
        <w:numId w:val="32"/>
      </w:numPr>
      <w:outlineLvl w:val="3"/>
    </w:pPr>
  </w:style>
  <w:style w:type="paragraph" w:styleId="SHSch3" w:customStyle="1">
    <w:name w:val="SH Sch3"/>
    <w:basedOn w:val="SHNormal"/>
    <w:uiPriority w:val="18"/>
    <w:unhideWhenUsed/>
    <w:qFormat/>
    <w:rsid w:val="007700DB"/>
    <w:pPr>
      <w:numPr>
        <w:ilvl w:val="4"/>
        <w:numId w:val="32"/>
      </w:numPr>
      <w:outlineLvl w:val="4"/>
    </w:pPr>
  </w:style>
  <w:style w:type="paragraph" w:styleId="SHSch4" w:customStyle="1">
    <w:name w:val="SH Sch4"/>
    <w:basedOn w:val="SHNormal"/>
    <w:uiPriority w:val="19"/>
    <w:unhideWhenUsed/>
    <w:qFormat/>
    <w:rsid w:val="007700DB"/>
    <w:pPr>
      <w:numPr>
        <w:ilvl w:val="5"/>
        <w:numId w:val="32"/>
      </w:numPr>
      <w:outlineLvl w:val="5"/>
    </w:pPr>
  </w:style>
  <w:style w:type="paragraph" w:styleId="SHSch5" w:customStyle="1">
    <w:name w:val="SH Sch5"/>
    <w:basedOn w:val="SHNormal"/>
    <w:uiPriority w:val="20"/>
    <w:unhideWhenUsed/>
    <w:qFormat/>
    <w:rsid w:val="007700DB"/>
    <w:pPr>
      <w:numPr>
        <w:ilvl w:val="6"/>
        <w:numId w:val="32"/>
      </w:numPr>
      <w:outlineLvl w:val="6"/>
    </w:pPr>
  </w:style>
  <w:style w:type="paragraph" w:styleId="Level1" w:customStyle="1">
    <w:name w:val="Level 1"/>
    <w:basedOn w:val="Body1"/>
    <w:qFormat/>
    <w:rsid w:val="00E61C75"/>
    <w:pPr>
      <w:numPr>
        <w:numId w:val="33"/>
      </w:numPr>
      <w:spacing w:after="240" w:line="240" w:lineRule="auto"/>
      <w:ind w:right="62"/>
      <w:outlineLvl w:val="0"/>
    </w:pPr>
    <w:rPr>
      <w:rFonts w:ascii="Verdana" w:hAnsi="Verdana" w:eastAsia="Times New Roman"/>
      <w:sz w:val="18"/>
      <w:szCs w:val="18"/>
      <w:lang w:eastAsia="zh-CN"/>
    </w:rPr>
  </w:style>
  <w:style w:type="paragraph" w:styleId="Level2" w:customStyle="1">
    <w:name w:val="Level 2"/>
    <w:basedOn w:val="Body2"/>
    <w:qFormat/>
    <w:rsid w:val="00E61C75"/>
    <w:pPr>
      <w:numPr>
        <w:ilvl w:val="1"/>
        <w:numId w:val="33"/>
      </w:numPr>
      <w:spacing w:after="240" w:line="240" w:lineRule="auto"/>
      <w:ind w:right="62"/>
      <w:outlineLvl w:val="1"/>
    </w:pPr>
    <w:rPr>
      <w:rFonts w:ascii="Verdana" w:hAnsi="Verdana" w:eastAsia="Times New Roman"/>
      <w:sz w:val="18"/>
      <w:szCs w:val="18"/>
      <w:lang w:eastAsia="zh-CN"/>
    </w:rPr>
  </w:style>
  <w:style w:type="paragraph" w:styleId="Level3" w:customStyle="1">
    <w:name w:val="Level 3"/>
    <w:basedOn w:val="Normal"/>
    <w:qFormat/>
    <w:rsid w:val="00E61C75"/>
    <w:pPr>
      <w:numPr>
        <w:ilvl w:val="2"/>
        <w:numId w:val="33"/>
      </w:numPr>
      <w:ind w:right="62"/>
      <w:outlineLvl w:val="2"/>
    </w:pPr>
    <w:rPr>
      <w:rFonts w:ascii="Verdana" w:hAnsi="Verdana"/>
      <w:sz w:val="18"/>
      <w:szCs w:val="18"/>
      <w:lang w:eastAsia="zh-CN"/>
    </w:rPr>
  </w:style>
  <w:style w:type="paragraph" w:styleId="Level4" w:customStyle="1">
    <w:name w:val="Level 4"/>
    <w:basedOn w:val="Normal"/>
    <w:qFormat/>
    <w:rsid w:val="00E61C75"/>
    <w:pPr>
      <w:numPr>
        <w:ilvl w:val="3"/>
        <w:numId w:val="33"/>
      </w:numPr>
      <w:ind w:right="62"/>
      <w:outlineLvl w:val="3"/>
    </w:pPr>
    <w:rPr>
      <w:rFonts w:ascii="Verdana" w:hAnsi="Verdana"/>
      <w:sz w:val="18"/>
      <w:szCs w:val="18"/>
      <w:lang w:eastAsia="zh-CN"/>
    </w:rPr>
  </w:style>
  <w:style w:type="paragraph" w:styleId="Level5" w:customStyle="1">
    <w:name w:val="Level 5"/>
    <w:basedOn w:val="Normal"/>
    <w:qFormat/>
    <w:rsid w:val="00E61C75"/>
    <w:pPr>
      <w:numPr>
        <w:ilvl w:val="4"/>
        <w:numId w:val="33"/>
      </w:numPr>
      <w:ind w:right="62"/>
      <w:outlineLvl w:val="4"/>
    </w:pPr>
    <w:rPr>
      <w:rFonts w:ascii="Verdana" w:hAnsi="Verdana"/>
      <w:sz w:val="18"/>
      <w:szCs w:val="18"/>
      <w:lang w:eastAsia="zh-CN"/>
    </w:rPr>
  </w:style>
  <w:style w:type="character" w:styleId="Level3asHeadingtext" w:customStyle="1">
    <w:name w:val="Level 3 as Heading (text)"/>
    <w:basedOn w:val="DefaultParagraphFont"/>
    <w:rsid w:val="00286786"/>
    <w:rPr>
      <w:b/>
    </w:rPr>
  </w:style>
  <w:style w:type="paragraph" w:styleId="Body4" w:customStyle="1">
    <w:name w:val="Body4"/>
    <w:qFormat/>
    <w:rsid w:val="009E1AB9"/>
    <w:pPr>
      <w:spacing w:after="280" w:line="280" w:lineRule="atLeast"/>
      <w:ind w:left="2126"/>
      <w:jc w:val="both"/>
    </w:pPr>
    <w:rPr>
      <w:rFonts w:eastAsiaTheme="minorHAnsi" w:cstheme="minorBidi"/>
      <w:lang w:eastAsia="en-US"/>
    </w:rPr>
  </w:style>
  <w:style w:type="paragraph" w:styleId="Body5" w:customStyle="1">
    <w:name w:val="Body5"/>
    <w:qFormat/>
    <w:rsid w:val="009E1AB9"/>
    <w:pPr>
      <w:spacing w:after="280" w:line="280" w:lineRule="atLeast"/>
      <w:ind w:left="2835"/>
      <w:jc w:val="both"/>
    </w:pPr>
    <w:rPr>
      <w:rFonts w:eastAsiaTheme="minorHAnsi" w:cstheme="minorBidi"/>
      <w:lang w:eastAsia="en-US"/>
    </w:rPr>
  </w:style>
  <w:style w:type="paragraph" w:styleId="Body6" w:customStyle="1">
    <w:name w:val="Body6"/>
    <w:qFormat/>
    <w:rsid w:val="009E1AB9"/>
    <w:pPr>
      <w:spacing w:after="280" w:line="280" w:lineRule="atLeast"/>
      <w:ind w:left="3544"/>
      <w:jc w:val="both"/>
    </w:pPr>
    <w:rPr>
      <w:rFonts w:eastAsiaTheme="minorHAnsi" w:cstheme="minorBidi"/>
      <w:lang w:eastAsia="en-US"/>
    </w:rPr>
  </w:style>
  <w:style w:type="paragraph" w:styleId="Body7" w:customStyle="1">
    <w:name w:val="Body7"/>
    <w:uiPriority w:val="10"/>
    <w:rsid w:val="009E1AB9"/>
    <w:pPr>
      <w:spacing w:after="280" w:line="280" w:lineRule="atLeast"/>
      <w:ind w:left="4253"/>
      <w:jc w:val="both"/>
    </w:pPr>
    <w:rPr>
      <w:rFonts w:eastAsiaTheme="minorHAnsi" w:cstheme="minorBidi"/>
      <w:lang w:eastAsia="en-US"/>
    </w:rPr>
  </w:style>
  <w:style w:type="paragraph" w:styleId="Body8" w:customStyle="1">
    <w:name w:val="Body8"/>
    <w:uiPriority w:val="10"/>
    <w:rsid w:val="009E1AB9"/>
    <w:pPr>
      <w:spacing w:after="280" w:line="280" w:lineRule="atLeast"/>
      <w:ind w:left="4961"/>
      <w:jc w:val="both"/>
    </w:pPr>
    <w:rPr>
      <w:rFonts w:eastAsiaTheme="minorHAnsi" w:cstheme="minorBidi"/>
      <w:lang w:eastAsia="en-US"/>
    </w:rPr>
  </w:style>
  <w:style w:type="paragraph" w:styleId="Body9" w:customStyle="1">
    <w:name w:val="Body9"/>
    <w:uiPriority w:val="10"/>
    <w:rsid w:val="009E1AB9"/>
    <w:pPr>
      <w:spacing w:after="280" w:line="280" w:lineRule="atLeast"/>
      <w:ind w:left="5670"/>
      <w:jc w:val="both"/>
    </w:pPr>
    <w:rPr>
      <w:rFonts w:eastAsiaTheme="minorHAnsi" w:cstheme="minorBidi"/>
      <w:lang w:eastAsia="en-US"/>
    </w:rPr>
  </w:style>
  <w:style w:type="paragraph" w:styleId="CorrespondenceAddress" w:customStyle="1">
    <w:name w:val="CorrespondenceAddress"/>
    <w:basedOn w:val="Normal"/>
    <w:uiPriority w:val="8"/>
    <w:rsid w:val="009E1AB9"/>
  </w:style>
  <w:style w:type="paragraph" w:styleId="CorrespondenceDeliveryInfo" w:customStyle="1">
    <w:name w:val="CorrespondenceDeliveryInfo"/>
    <w:basedOn w:val="CorrespondenceAddress"/>
    <w:next w:val="CorrespondenceAddress"/>
    <w:uiPriority w:val="8"/>
    <w:rsid w:val="009E1AB9"/>
    <w:rPr>
      <w:b/>
    </w:rPr>
  </w:style>
  <w:style w:type="paragraph" w:styleId="CorrespondenceHeader" w:customStyle="1">
    <w:name w:val="CorrespondenceHeader"/>
    <w:basedOn w:val="BodyText"/>
    <w:uiPriority w:val="8"/>
    <w:rsid w:val="009E1AB9"/>
    <w:pPr>
      <w:spacing w:after="280" w:line="280" w:lineRule="atLeast"/>
    </w:pPr>
    <w:rPr>
      <w:rFonts w:eastAsiaTheme="minorHAnsi" w:cstheme="minorBidi"/>
      <w:sz w:val="16"/>
      <w:szCs w:val="20"/>
      <w:lang w:eastAsia="en-US"/>
    </w:rPr>
  </w:style>
  <w:style w:type="paragraph" w:styleId="CorrespondenceSubject" w:customStyle="1">
    <w:name w:val="CorrespondenceSubject"/>
    <w:basedOn w:val="Normal"/>
    <w:next w:val="BodyText"/>
    <w:uiPriority w:val="8"/>
    <w:rsid w:val="009E1AB9"/>
    <w:rPr>
      <w:b/>
    </w:rPr>
  </w:style>
  <w:style w:type="character" w:styleId="definitionsubChar" w:customStyle="1">
    <w:name w:val="definition sub Char"/>
    <w:basedOn w:val="DefaultParagraphFont"/>
    <w:link w:val="definitionsub"/>
    <w:rsid w:val="009E1AB9"/>
  </w:style>
  <w:style w:type="paragraph" w:styleId="definitionsub-sub" w:customStyle="1">
    <w:name w:val="definition sub-sub"/>
    <w:basedOn w:val="definitionsub"/>
    <w:link w:val="definitionsub-subChar"/>
    <w:uiPriority w:val="5"/>
    <w:qFormat/>
    <w:rsid w:val="009E1AB9"/>
    <w:pPr>
      <w:numPr>
        <w:numId w:val="0"/>
      </w:numPr>
      <w:tabs>
        <w:tab w:val="left" w:pos="567"/>
        <w:tab w:val="left" w:pos="1021"/>
        <w:tab w:val="num" w:pos="1134"/>
      </w:tabs>
      <w:spacing w:after="280" w:line="280" w:lineRule="atLeast"/>
      <w:ind w:left="1134" w:hanging="1134"/>
    </w:pPr>
  </w:style>
  <w:style w:type="character" w:styleId="definitionsub-subChar" w:customStyle="1">
    <w:name w:val="definition sub-sub Char"/>
    <w:basedOn w:val="definitionsubChar"/>
    <w:link w:val="definitionsub-sub"/>
    <w:uiPriority w:val="5"/>
    <w:rsid w:val="009E1AB9"/>
  </w:style>
  <w:style w:type="paragraph" w:styleId="DLFrontPage" w:customStyle="1">
    <w:name w:val="DLFrontPage"/>
    <w:basedOn w:val="Normal"/>
    <w:uiPriority w:val="8"/>
    <w:rsid w:val="009E1AB9"/>
    <w:pPr>
      <w:tabs>
        <w:tab w:val="left" w:pos="5940"/>
        <w:tab w:val="left" w:pos="6480"/>
      </w:tabs>
      <w:spacing w:after="220"/>
    </w:pPr>
  </w:style>
  <w:style w:type="paragraph" w:styleId="DLFrontPageTitle" w:customStyle="1">
    <w:name w:val="DLFrontPageTitle"/>
    <w:basedOn w:val="DLFrontPage"/>
    <w:uiPriority w:val="5"/>
    <w:qFormat/>
    <w:rsid w:val="009E1AB9"/>
    <w:pPr>
      <w:tabs>
        <w:tab w:val="clear" w:pos="6480"/>
        <w:tab w:val="left" w:pos="6660"/>
      </w:tabs>
      <w:jc w:val="center"/>
    </w:pPr>
  </w:style>
  <w:style w:type="character" w:styleId="Heading1Char" w:customStyle="1">
    <w:name w:val="Heading 1 Char"/>
    <w:aliases w:val="Heading.CAPS Char,h1 Char,Section Header Char"/>
    <w:basedOn w:val="DefaultParagraphFont"/>
    <w:link w:val="Heading1"/>
    <w:uiPriority w:val="9"/>
    <w:rsid w:val="00584B13"/>
    <w:rPr>
      <w:b/>
      <w:caps/>
    </w:rPr>
  </w:style>
  <w:style w:type="character" w:styleId="Heading3Char" w:customStyle="1">
    <w:name w:val="Heading 3 Char"/>
    <w:aliases w:val="h3 Char,H3 Char"/>
    <w:basedOn w:val="DefaultParagraphFont"/>
    <w:link w:val="Heading3"/>
    <w:uiPriority w:val="9"/>
    <w:rsid w:val="00B47BD7"/>
  </w:style>
  <w:style w:type="character" w:styleId="Heading4Char" w:customStyle="1">
    <w:name w:val="Heading 4 Char"/>
    <w:aliases w:val="h4 Char"/>
    <w:basedOn w:val="DefaultParagraphFont"/>
    <w:link w:val="Heading4"/>
    <w:uiPriority w:val="9"/>
    <w:rsid w:val="00B47BD7"/>
  </w:style>
  <w:style w:type="character" w:styleId="Heading5Char" w:customStyle="1">
    <w:name w:val="Heading 5 Char"/>
    <w:aliases w:val="h5 Char"/>
    <w:basedOn w:val="DefaultParagraphFont"/>
    <w:link w:val="Heading5"/>
    <w:uiPriority w:val="9"/>
    <w:rsid w:val="00330C48"/>
  </w:style>
  <w:style w:type="character" w:styleId="Heading6Char" w:customStyle="1">
    <w:name w:val="Heading 6 Char"/>
    <w:aliases w:val="h6 Char"/>
    <w:basedOn w:val="DefaultParagraphFont"/>
    <w:link w:val="Heading6"/>
    <w:uiPriority w:val="9"/>
    <w:rsid w:val="009E1AB9"/>
  </w:style>
  <w:style w:type="character" w:styleId="Heading7Char" w:customStyle="1">
    <w:name w:val="Heading 7 Char"/>
    <w:aliases w:val="h7 Char"/>
    <w:basedOn w:val="DefaultParagraphFont"/>
    <w:link w:val="Heading7"/>
    <w:uiPriority w:val="10"/>
    <w:rsid w:val="009E1AB9"/>
  </w:style>
  <w:style w:type="character" w:styleId="Heading8Char" w:customStyle="1">
    <w:name w:val="Heading 8 Char"/>
    <w:basedOn w:val="DefaultParagraphFont"/>
    <w:link w:val="Heading8"/>
    <w:uiPriority w:val="10"/>
    <w:rsid w:val="009E1AB9"/>
  </w:style>
  <w:style w:type="character" w:styleId="Heading9Char" w:customStyle="1">
    <w:name w:val="Heading 9 Char"/>
    <w:basedOn w:val="DefaultParagraphFont"/>
    <w:link w:val="Heading9"/>
    <w:uiPriority w:val="10"/>
    <w:rsid w:val="009E1AB9"/>
  </w:style>
  <w:style w:type="paragraph" w:styleId="Notes" w:customStyle="1">
    <w:name w:val="Notes"/>
    <w:basedOn w:val="Body10"/>
    <w:uiPriority w:val="5"/>
    <w:qFormat/>
    <w:rsid w:val="009E1AB9"/>
    <w:pPr>
      <w:shd w:val="clear" w:color="auto" w:fill="F2F2F2" w:themeFill="background1" w:themeFillShade="F2"/>
      <w:spacing w:after="280" w:line="280" w:lineRule="atLeast"/>
    </w:pPr>
    <w:rPr>
      <w:b/>
      <w:i/>
    </w:rPr>
  </w:style>
  <w:style w:type="paragraph" w:styleId="Schedule1" w:customStyle="1">
    <w:name w:val="Schedule 1"/>
    <w:basedOn w:val="BodyText"/>
    <w:next w:val="BodyText"/>
    <w:uiPriority w:val="2"/>
    <w:qFormat/>
    <w:rsid w:val="009E1AB9"/>
    <w:pPr>
      <w:keepNext/>
      <w:pageBreakBefore/>
      <w:spacing w:after="280" w:line="280" w:lineRule="atLeast"/>
      <w:jc w:val="center"/>
    </w:pPr>
    <w:rPr>
      <w:rFonts w:eastAsiaTheme="minorHAnsi" w:cstheme="minorBidi"/>
      <w:b/>
      <w:caps/>
      <w:szCs w:val="20"/>
      <w:lang w:eastAsia="en-US"/>
    </w:rPr>
  </w:style>
  <w:style w:type="paragraph" w:styleId="Schedule2" w:customStyle="1">
    <w:name w:val="Schedule 2"/>
    <w:basedOn w:val="BodyText"/>
    <w:next w:val="BodyText"/>
    <w:uiPriority w:val="2"/>
    <w:qFormat/>
    <w:rsid w:val="009E1AB9"/>
    <w:pPr>
      <w:spacing w:after="280" w:line="280" w:lineRule="atLeast"/>
      <w:jc w:val="center"/>
    </w:pPr>
    <w:rPr>
      <w:rFonts w:eastAsiaTheme="minorHAnsi" w:cstheme="minorBidi"/>
      <w:b/>
      <w:szCs w:val="20"/>
      <w:lang w:eastAsia="en-US"/>
    </w:rPr>
  </w:style>
  <w:style w:type="character" w:styleId="Simple4Char" w:customStyle="1">
    <w:name w:val="Simple 4 Char"/>
    <w:basedOn w:val="Simple1Char"/>
    <w:link w:val="Simple4"/>
    <w:uiPriority w:val="3"/>
    <w:rsid w:val="009E1AB9"/>
    <w:rPr>
      <w:rFonts w:eastAsiaTheme="minorHAnsi" w:cstheme="minorBidi"/>
      <w:lang w:eastAsia="en-US"/>
    </w:rPr>
  </w:style>
  <w:style w:type="character" w:styleId="Simple5Char" w:customStyle="1">
    <w:name w:val="Simple 5 Char"/>
    <w:basedOn w:val="Simple1Char"/>
    <w:link w:val="Simple5"/>
    <w:uiPriority w:val="3"/>
    <w:rsid w:val="009E1AB9"/>
    <w:rPr>
      <w:rFonts w:eastAsiaTheme="minorHAnsi" w:cstheme="minorBidi"/>
      <w:lang w:eastAsia="en-US"/>
    </w:rPr>
  </w:style>
  <w:style w:type="character" w:styleId="Simple6Char" w:customStyle="1">
    <w:name w:val="Simple 6 Char"/>
    <w:basedOn w:val="Simple5Char"/>
    <w:link w:val="Simple6"/>
    <w:uiPriority w:val="3"/>
    <w:rsid w:val="009E1AB9"/>
    <w:rPr>
      <w:rFonts w:eastAsiaTheme="minorHAnsi" w:cstheme="minorBidi"/>
      <w:lang w:eastAsia="en-US"/>
    </w:rPr>
  </w:style>
  <w:style w:type="character" w:styleId="Simple7Char" w:customStyle="1">
    <w:name w:val="Simple 7 Char"/>
    <w:basedOn w:val="Simple5Char"/>
    <w:link w:val="Simple7"/>
    <w:uiPriority w:val="10"/>
    <w:rsid w:val="009E1AB9"/>
    <w:rPr>
      <w:rFonts w:eastAsiaTheme="minorHAnsi" w:cstheme="minorBidi"/>
      <w:lang w:eastAsia="en-US"/>
    </w:rPr>
  </w:style>
  <w:style w:type="character" w:styleId="Simple8Char" w:customStyle="1">
    <w:name w:val="Simple 8 Char"/>
    <w:basedOn w:val="Simple5Char"/>
    <w:link w:val="Simple8"/>
    <w:uiPriority w:val="10"/>
    <w:rsid w:val="009E1AB9"/>
    <w:rPr>
      <w:rFonts w:eastAsiaTheme="minorHAnsi" w:cstheme="minorBidi"/>
      <w:lang w:eastAsia="en-US"/>
    </w:rPr>
  </w:style>
  <w:style w:type="character" w:styleId="Simple9Char" w:customStyle="1">
    <w:name w:val="Simple 9 Char"/>
    <w:basedOn w:val="Simple5Char"/>
    <w:link w:val="Simple9"/>
    <w:uiPriority w:val="10"/>
    <w:rsid w:val="009E1AB9"/>
    <w:rPr>
      <w:rFonts w:eastAsiaTheme="minorHAnsi" w:cstheme="minorBidi"/>
      <w:lang w:eastAsia="en-US"/>
    </w:rPr>
  </w:style>
  <w:style w:type="paragraph" w:styleId="Subject" w:customStyle="1">
    <w:name w:val="Subject"/>
    <w:basedOn w:val="Normal"/>
    <w:next w:val="Normal"/>
    <w:uiPriority w:val="8"/>
    <w:rsid w:val="009E1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textAlignment w:val="baseline"/>
    </w:pPr>
    <w:rPr>
      <w:b/>
      <w:sz w:val="28"/>
    </w:rPr>
  </w:style>
  <w:style w:type="paragraph" w:styleId="Pa71" w:customStyle="1">
    <w:name w:val="Pa7_1"/>
    <w:basedOn w:val="Default"/>
    <w:next w:val="Default"/>
    <w:uiPriority w:val="99"/>
    <w:rsid w:val="0066524B"/>
    <w:pPr>
      <w:spacing w:line="146" w:lineRule="atLeast"/>
    </w:pPr>
    <w:rPr>
      <w:rFonts w:ascii="NAZYE B+ Gotham HTF" w:hAnsi="NAZYE B+ Gotham HTF" w:cs="Times New Roman"/>
      <w:color w:val="auto"/>
    </w:rPr>
  </w:style>
  <w:style w:type="paragraph" w:styleId="Pa61" w:customStyle="1">
    <w:name w:val="Pa6_1"/>
    <w:basedOn w:val="Default"/>
    <w:next w:val="Default"/>
    <w:uiPriority w:val="99"/>
    <w:rsid w:val="0066524B"/>
    <w:pPr>
      <w:spacing w:line="146" w:lineRule="atLeast"/>
    </w:pPr>
    <w:rPr>
      <w:rFonts w:ascii="NAZYE B+ Gotham HTF" w:hAnsi="NAZYE B+ Gotham HTF" w:cs="Times New Roman"/>
      <w:color w:val="auto"/>
    </w:rPr>
  </w:style>
  <w:style w:type="character" w:styleId="st1" w:customStyle="1">
    <w:name w:val="st1"/>
    <w:basedOn w:val="DefaultParagraphFont"/>
    <w:rsid w:val="00C90934"/>
  </w:style>
  <w:style w:type="paragraph" w:styleId="yiv3151829702msonormal" w:customStyle="1">
    <w:name w:val="yiv3151829702msonormal"/>
    <w:basedOn w:val="Normal"/>
    <w:rsid w:val="00113F32"/>
    <w:pPr>
      <w:spacing w:before="100" w:beforeAutospacing="1" w:after="100" w:afterAutospacing="1"/>
      <w:jc w:val="left"/>
    </w:pPr>
    <w:rPr>
      <w:rFonts w:ascii="Times New Roman" w:hAnsi="Times New Roman"/>
      <w:sz w:val="24"/>
    </w:rPr>
  </w:style>
  <w:style w:type="paragraph" w:styleId="SHPRNormal" w:customStyle="1">
    <w:name w:val="SHPR Normal"/>
    <w:basedOn w:val="Normal"/>
    <w:link w:val="SHPRNormalChar"/>
    <w:unhideWhenUsed/>
    <w:qFormat/>
    <w:rsid w:val="00547ECF"/>
    <w:pPr>
      <w:spacing w:after="200" w:line="240" w:lineRule="atLeast"/>
    </w:pPr>
    <w:rPr>
      <w:rFonts w:asciiTheme="minorHAnsi" w:hAnsiTheme="minorHAnsi" w:eastAsiaTheme="minorHAnsi" w:cstheme="minorBidi"/>
      <w:sz w:val="17"/>
      <w:szCs w:val="17"/>
      <w:lang w:eastAsia="en-US"/>
    </w:rPr>
  </w:style>
  <w:style w:type="character" w:styleId="SHPRNormalChar" w:customStyle="1">
    <w:name w:val="SHPR Normal Char"/>
    <w:basedOn w:val="DefaultParagraphFont"/>
    <w:link w:val="SHPRNormal"/>
    <w:rsid w:val="00547ECF"/>
    <w:rPr>
      <w:rFonts w:asciiTheme="minorHAnsi" w:hAnsiTheme="minorHAnsi" w:eastAsiaTheme="minorHAnsi" w:cstheme="minorBidi"/>
      <w:sz w:val="17"/>
      <w:szCs w:val="17"/>
      <w:lang w:eastAsia="en-US"/>
    </w:rPr>
  </w:style>
  <w:style w:type="paragraph" w:styleId="SHBullet1" w:customStyle="1">
    <w:name w:val="SH Bullet1"/>
    <w:basedOn w:val="SHPRNormal"/>
    <w:uiPriority w:val="28"/>
    <w:unhideWhenUsed/>
    <w:qFormat/>
    <w:rsid w:val="00547ECF"/>
    <w:pPr>
      <w:numPr>
        <w:ilvl w:val="2"/>
        <w:numId w:val="35"/>
      </w:numPr>
      <w:tabs>
        <w:tab w:val="num" w:pos="1134"/>
      </w:tabs>
      <w:ind w:left="1134" w:hanging="1134"/>
    </w:pPr>
  </w:style>
  <w:style w:type="paragraph" w:styleId="SHBullet2" w:customStyle="1">
    <w:name w:val="SH Bullet2"/>
    <w:basedOn w:val="SHPRNormal"/>
    <w:uiPriority w:val="29"/>
    <w:unhideWhenUsed/>
    <w:qFormat/>
    <w:rsid w:val="00547ECF"/>
    <w:pPr>
      <w:numPr>
        <w:ilvl w:val="1"/>
        <w:numId w:val="35"/>
      </w:numPr>
      <w:tabs>
        <w:tab w:val="num" w:pos="1134"/>
      </w:tabs>
      <w:ind w:left="1134" w:hanging="1134"/>
    </w:pPr>
  </w:style>
  <w:style w:type="paragraph" w:styleId="SHPRHead" w:customStyle="1">
    <w:name w:val="SHPR Head"/>
    <w:basedOn w:val="SHPRNormal"/>
    <w:next w:val="SHPRNormal"/>
    <w:link w:val="SHPRHeadChar"/>
    <w:uiPriority w:val="22"/>
    <w:unhideWhenUsed/>
    <w:qFormat/>
    <w:rsid w:val="00547ECF"/>
    <w:pPr>
      <w:keepNext/>
    </w:pPr>
    <w:rPr>
      <w:b/>
    </w:rPr>
  </w:style>
  <w:style w:type="character" w:styleId="SHPRHeadChar" w:customStyle="1">
    <w:name w:val="SHPR Head Char"/>
    <w:basedOn w:val="SHPRNormalChar"/>
    <w:link w:val="SHPRHead"/>
    <w:uiPriority w:val="22"/>
    <w:rsid w:val="00547ECF"/>
    <w:rPr>
      <w:rFonts w:asciiTheme="minorHAnsi" w:hAnsiTheme="minorHAnsi" w:eastAsiaTheme="minorHAnsi" w:cstheme="minorBidi"/>
      <w:b/>
      <w:sz w:val="17"/>
      <w:szCs w:val="17"/>
      <w:lang w:eastAsia="en-US"/>
    </w:rPr>
  </w:style>
  <w:style w:type="paragraph" w:styleId="SH1" w:customStyle="1">
    <w:name w:val="SH1"/>
    <w:basedOn w:val="SHPRNormal"/>
    <w:uiPriority w:val="23"/>
    <w:unhideWhenUsed/>
    <w:qFormat/>
    <w:rsid w:val="00547ECF"/>
    <w:pPr>
      <w:numPr>
        <w:ilvl w:val="3"/>
        <w:numId w:val="36"/>
      </w:numPr>
      <w:outlineLvl w:val="0"/>
    </w:pPr>
  </w:style>
  <w:style w:type="paragraph" w:styleId="SH2" w:customStyle="1">
    <w:name w:val="SH2"/>
    <w:basedOn w:val="SHPRNormal"/>
    <w:uiPriority w:val="24"/>
    <w:unhideWhenUsed/>
    <w:qFormat/>
    <w:rsid w:val="00547ECF"/>
    <w:pPr>
      <w:numPr>
        <w:ilvl w:val="4"/>
        <w:numId w:val="36"/>
      </w:numPr>
      <w:tabs>
        <w:tab w:val="clear" w:pos="3402"/>
        <w:tab w:val="num" w:pos="1134"/>
      </w:tabs>
      <w:ind w:left="1134" w:hanging="1134"/>
      <w:outlineLvl w:val="1"/>
    </w:pPr>
  </w:style>
  <w:style w:type="paragraph" w:styleId="SH3" w:customStyle="1">
    <w:name w:val="SH3"/>
    <w:basedOn w:val="SHPRNormal"/>
    <w:uiPriority w:val="25"/>
    <w:unhideWhenUsed/>
    <w:qFormat/>
    <w:rsid w:val="00547ECF"/>
    <w:pPr>
      <w:numPr>
        <w:ilvl w:val="2"/>
        <w:numId w:val="36"/>
      </w:numPr>
      <w:tabs>
        <w:tab w:val="clear" w:pos="1701"/>
        <w:tab w:val="num" w:pos="1134"/>
      </w:tabs>
      <w:ind w:left="2268" w:hanging="1134"/>
      <w:outlineLvl w:val="2"/>
    </w:pPr>
  </w:style>
  <w:style w:type="paragraph" w:styleId="SHPRTabBody" w:customStyle="1">
    <w:name w:val="SHPR TabBody"/>
    <w:basedOn w:val="SHPRNormal"/>
    <w:uiPriority w:val="38"/>
    <w:unhideWhenUsed/>
    <w:qFormat/>
    <w:rsid w:val="00547ECF"/>
    <w:pPr>
      <w:spacing w:before="80" w:after="80"/>
    </w:pPr>
  </w:style>
  <w:style w:type="paragraph" w:styleId="SHPRTabHead" w:customStyle="1">
    <w:name w:val="SHPR TabHead"/>
    <w:basedOn w:val="SHPRTabBody"/>
    <w:next w:val="SHPRTabBody"/>
    <w:uiPriority w:val="37"/>
    <w:unhideWhenUsed/>
    <w:qFormat/>
    <w:rsid w:val="00547ECF"/>
    <w:rPr>
      <w:b/>
    </w:rPr>
  </w:style>
  <w:style w:type="paragraph" w:styleId="SHPRSmallfont" w:customStyle="1">
    <w:name w:val="SHPR Smallfont"/>
    <w:basedOn w:val="SHPRNormal"/>
    <w:link w:val="SHPRSmallfontChar"/>
    <w:uiPriority w:val="99"/>
    <w:qFormat/>
    <w:rsid w:val="00547ECF"/>
    <w:pPr>
      <w:spacing w:after="120" w:line="240" w:lineRule="auto"/>
    </w:pPr>
    <w:rPr>
      <w:sz w:val="15"/>
      <w:szCs w:val="15"/>
    </w:rPr>
  </w:style>
  <w:style w:type="character" w:styleId="SHPRSmallfontChar" w:customStyle="1">
    <w:name w:val="SHPR Smallfont Char"/>
    <w:basedOn w:val="SHPRNormalChar"/>
    <w:link w:val="SHPRSmallfont"/>
    <w:uiPriority w:val="99"/>
    <w:rsid w:val="00547ECF"/>
    <w:rPr>
      <w:rFonts w:asciiTheme="minorHAnsi" w:hAnsiTheme="minorHAnsi" w:eastAsiaTheme="minorHAnsi" w:cstheme="minorBidi"/>
      <w:sz w:val="15"/>
      <w:szCs w:val="15"/>
      <w:lang w:eastAsia="en-US"/>
    </w:rPr>
  </w:style>
  <w:style w:type="paragraph" w:styleId="SHPRPart" w:customStyle="1">
    <w:name w:val="SHPR Part"/>
    <w:basedOn w:val="SHPRNormal"/>
    <w:link w:val="SHPRPartChar"/>
    <w:uiPriority w:val="99"/>
    <w:qFormat/>
    <w:rsid w:val="00547ECF"/>
    <w:pPr>
      <w:keepNext/>
      <w:pageBreakBefore/>
    </w:pPr>
    <w:rPr>
      <w:b/>
      <w:bCs/>
      <w:sz w:val="19"/>
      <w:szCs w:val="19"/>
    </w:rPr>
  </w:style>
  <w:style w:type="character" w:styleId="SHPRPartChar" w:customStyle="1">
    <w:name w:val="SHPR Part Char"/>
    <w:basedOn w:val="SHPRNormalChar"/>
    <w:link w:val="SHPRPart"/>
    <w:uiPriority w:val="99"/>
    <w:rsid w:val="00547ECF"/>
    <w:rPr>
      <w:rFonts w:asciiTheme="minorHAnsi" w:hAnsiTheme="minorHAnsi" w:eastAsiaTheme="minorHAnsi" w:cstheme="minorBidi"/>
      <w:b/>
      <w:bCs/>
      <w:sz w:val="19"/>
      <w:szCs w:val="19"/>
      <w:lang w:eastAsia="en-US"/>
    </w:rPr>
  </w:style>
  <w:style w:type="paragraph" w:styleId="SHPRSubhead" w:customStyle="1">
    <w:name w:val="SHPR Subhead"/>
    <w:basedOn w:val="SHPRHead"/>
    <w:link w:val="SHPRSubheadChar"/>
    <w:uiPriority w:val="99"/>
    <w:qFormat/>
    <w:rsid w:val="00547ECF"/>
    <w:rPr>
      <w:i/>
      <w:iCs/>
    </w:rPr>
  </w:style>
  <w:style w:type="character" w:styleId="SHPRSubheadChar" w:customStyle="1">
    <w:name w:val="SHPR Subhead Char"/>
    <w:basedOn w:val="SHPRHeadChar"/>
    <w:link w:val="SHPRSubhead"/>
    <w:uiPriority w:val="99"/>
    <w:rsid w:val="00547ECF"/>
    <w:rPr>
      <w:rFonts w:asciiTheme="minorHAnsi" w:hAnsiTheme="minorHAnsi" w:eastAsiaTheme="minorHAnsi" w:cstheme="minorBidi"/>
      <w:b/>
      <w:i/>
      <w:iCs/>
      <w:sz w:val="17"/>
      <w:szCs w:val="17"/>
      <w:lang w:eastAsia="en-US"/>
    </w:rPr>
  </w:style>
  <w:style w:type="paragraph" w:styleId="Pa01" w:customStyle="1">
    <w:name w:val="Pa0_1"/>
    <w:basedOn w:val="Normal"/>
    <w:next w:val="Normal"/>
    <w:uiPriority w:val="99"/>
    <w:rsid w:val="008F568A"/>
    <w:pPr>
      <w:autoSpaceDE w:val="0"/>
      <w:autoSpaceDN w:val="0"/>
      <w:adjustRightInd w:val="0"/>
      <w:spacing w:after="0" w:line="146" w:lineRule="atLeast"/>
      <w:jc w:val="left"/>
    </w:pPr>
    <w:rPr>
      <w:rFonts w:ascii="NAZYE B+ Gotham HTF" w:hAnsi="NAZYE B+ Gotham HTF" w:eastAsiaTheme="minorHAnsi" w:cstheme="minorBidi"/>
      <w:sz w:val="24"/>
      <w:lang w:eastAsia="en-US"/>
    </w:rPr>
  </w:style>
  <w:style w:type="paragraph" w:styleId="ArialTableHead" w:customStyle="1">
    <w:name w:val="Arial Table Head"/>
    <w:basedOn w:val="Normal"/>
    <w:next w:val="Normal"/>
    <w:rsid w:val="005A7597"/>
    <w:pPr>
      <w:spacing w:after="0"/>
      <w:jc w:val="left"/>
    </w:pPr>
    <w:rPr>
      <w:b/>
      <w:lang w:eastAsia="en-US"/>
    </w:rPr>
  </w:style>
  <w:style w:type="paragraph" w:styleId="TableBody" w:customStyle="1">
    <w:name w:val="Table Body"/>
    <w:basedOn w:val="tp0"/>
    <w:rsid w:val="005A7597"/>
    <w:pPr>
      <w:spacing w:after="0"/>
      <w:jc w:val="right"/>
    </w:pPr>
  </w:style>
  <w:style w:type="paragraph" w:styleId="2style" w:customStyle="1">
    <w:name w:val="2style"/>
    <w:basedOn w:val="Normal"/>
    <w:link w:val="2styleChar"/>
    <w:qFormat/>
    <w:rsid w:val="00FC3DC8"/>
    <w:pPr>
      <w:jc w:val="left"/>
    </w:pPr>
    <w:rPr>
      <w:rFonts w:cs="Arial"/>
    </w:rPr>
  </w:style>
  <w:style w:type="character" w:styleId="2styleChar" w:customStyle="1">
    <w:name w:val="2style Char"/>
    <w:basedOn w:val="DefaultParagraphFont"/>
    <w:link w:val="2style"/>
    <w:rsid w:val="00FC3DC8"/>
    <w:rPr>
      <w:rFonts w:cs="Arial"/>
      <w:szCs w:val="24"/>
    </w:rPr>
  </w:style>
  <w:style w:type="table" w:styleId="TableGrid12" w:customStyle="1">
    <w:name w:val="Table Grid12"/>
    <w:basedOn w:val="TableNormal"/>
    <w:next w:val="TableGrid"/>
    <w:uiPriority w:val="59"/>
    <w:rsid w:val="00047091"/>
    <w:pPr>
      <w:spacing w:line="280" w:lineRule="atLeast"/>
      <w:jc w:val="both"/>
    </w:pPr>
    <w:rPr>
      <w:rFonts w:asciiTheme="minorHAnsi" w:hAnsiTheme="minorHAnsi" w:eastAsiaTheme="minorHAnsi" w:cstheme="minorBidi"/>
      <w:sz w:val="19"/>
      <w:szCs w:val="19"/>
      <w:lang w:eastAsia="en-US"/>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style>
  <w:style w:type="paragraph" w:styleId="Part" w:customStyle="1">
    <w:name w:val="Part"/>
    <w:basedOn w:val="Normal"/>
    <w:link w:val="PartChar"/>
    <w:qFormat/>
    <w:rsid w:val="00D73005"/>
    <w:pPr>
      <w:numPr>
        <w:numId w:val="47"/>
      </w:numPr>
      <w:jc w:val="center"/>
    </w:pPr>
    <w:rPr>
      <w:rFonts w:cs="Arial"/>
      <w:caps/>
    </w:rPr>
  </w:style>
  <w:style w:type="character" w:styleId="PartChar" w:customStyle="1">
    <w:name w:val="Part Char"/>
    <w:basedOn w:val="DefaultParagraphFont"/>
    <w:link w:val="Part"/>
    <w:rsid w:val="00D73005"/>
    <w:rPr>
      <w:rFonts w:cs="Arial"/>
      <w:caps/>
      <w:szCs w:val="24"/>
    </w:rPr>
  </w:style>
  <w:style w:type="paragraph" w:styleId="q" w:customStyle="1">
    <w:name w:val="q"/>
    <w:basedOn w:val="Normal"/>
    <w:rsid w:val="004A12D4"/>
    <w:pPr>
      <w:spacing w:before="100" w:beforeAutospacing="1" w:after="100" w:afterAutospacing="1"/>
      <w:jc w:val="left"/>
    </w:pPr>
    <w:rPr>
      <w:rFonts w:ascii="Times New Roman" w:hAnsi="Times New Roman"/>
      <w:sz w:val="24"/>
    </w:rPr>
  </w:style>
  <w:style w:type="paragraph" w:styleId="a" w:customStyle="1">
    <w:name w:val="a"/>
    <w:basedOn w:val="Normal"/>
    <w:rsid w:val="004A12D4"/>
    <w:pPr>
      <w:spacing w:before="100" w:beforeAutospacing="1" w:after="100" w:afterAutospacing="1"/>
      <w:jc w:val="left"/>
    </w:pPr>
    <w:rPr>
      <w:rFonts w:ascii="Times New Roman" w:hAnsi="Times New Roman"/>
      <w:sz w:val="24"/>
    </w:rPr>
  </w:style>
  <w:style w:type="paragraph" w:styleId="BodyText1" w:customStyle="1">
    <w:name w:val="Body Text 1"/>
    <w:basedOn w:val="BodyText"/>
    <w:uiPriority w:val="1"/>
    <w:qFormat/>
    <w:rsid w:val="000215F0"/>
    <w:pPr>
      <w:tabs>
        <w:tab w:val="left" w:pos="709"/>
        <w:tab w:val="left" w:pos="1559"/>
        <w:tab w:val="left" w:pos="2268"/>
        <w:tab w:val="left" w:pos="2977"/>
        <w:tab w:val="left" w:pos="3686"/>
        <w:tab w:val="left" w:pos="4394"/>
        <w:tab w:val="right" w:pos="8789"/>
      </w:tabs>
      <w:spacing w:before="100" w:after="100"/>
      <w:ind w:left="709"/>
    </w:pPr>
    <w:rPr>
      <w:rFonts w:eastAsia="Batang"/>
      <w:szCs w:val="20"/>
    </w:rPr>
  </w:style>
  <w:style w:type="numbering" w:styleId="ListHeadings" w:customStyle="1">
    <w:name w:val="List Headings"/>
    <w:rsid w:val="000215F0"/>
    <w:pPr>
      <w:numPr>
        <w:numId w:val="49"/>
      </w:numPr>
    </w:pPr>
  </w:style>
  <w:style w:type="paragraph" w:styleId="Simple21" w:customStyle="1">
    <w:name w:val="Simple 2.1"/>
    <w:basedOn w:val="Normal"/>
    <w:link w:val="Simple21Char"/>
    <w:qFormat/>
    <w:rsid w:val="000215F0"/>
  </w:style>
  <w:style w:type="paragraph" w:styleId="Simple10" w:customStyle="1">
    <w:name w:val="Simple 1."/>
    <w:basedOn w:val="Simple21"/>
    <w:link w:val="Simple1Char0"/>
    <w:qFormat/>
    <w:rsid w:val="000215F0"/>
    <w:pPr>
      <w:tabs>
        <w:tab w:val="num" w:pos="709"/>
      </w:tabs>
      <w:ind w:left="709" w:hanging="709"/>
    </w:pPr>
    <w:rPr>
      <w:rFonts w:ascii="Arial Bold" w:hAnsi="Arial Bold"/>
      <w:b/>
      <w:caps/>
    </w:rPr>
  </w:style>
  <w:style w:type="character" w:styleId="Simple21Char" w:customStyle="1">
    <w:name w:val="Simple 2.1 Char"/>
    <w:basedOn w:val="DefaultParagraphFont"/>
    <w:link w:val="Simple21"/>
    <w:rsid w:val="000215F0"/>
    <w:rPr>
      <w:szCs w:val="24"/>
    </w:rPr>
  </w:style>
  <w:style w:type="paragraph" w:styleId="1style" w:customStyle="1">
    <w:name w:val="1style"/>
    <w:basedOn w:val="Normal"/>
    <w:link w:val="1styleChar"/>
    <w:qFormat/>
    <w:rsid w:val="000215F0"/>
    <w:pPr>
      <w:jc w:val="center"/>
    </w:pPr>
    <w:rPr>
      <w:rFonts w:ascii="Arial Bold" w:hAnsi="Arial Bold" w:cs="Arial"/>
      <w:b/>
      <w:caps/>
    </w:rPr>
  </w:style>
  <w:style w:type="character" w:styleId="Simple1Char0" w:customStyle="1">
    <w:name w:val="Simple 1. Char"/>
    <w:basedOn w:val="Simple21Char"/>
    <w:link w:val="Simple10"/>
    <w:rsid w:val="000215F0"/>
    <w:rPr>
      <w:rFonts w:ascii="Arial Bold" w:hAnsi="Arial Bold"/>
      <w:b/>
      <w:caps/>
      <w:szCs w:val="24"/>
    </w:rPr>
  </w:style>
  <w:style w:type="character" w:styleId="1styleChar" w:customStyle="1">
    <w:name w:val="1style Char"/>
    <w:basedOn w:val="DefaultParagraphFont"/>
    <w:link w:val="1style"/>
    <w:rsid w:val="000215F0"/>
    <w:rPr>
      <w:rFonts w:ascii="Arial Bold" w:hAnsi="Arial Bold" w:cs="Arial"/>
      <w:b/>
      <w:caps/>
      <w:szCs w:val="24"/>
    </w:rPr>
  </w:style>
  <w:style w:type="character" w:styleId="UnresolvedMention1" w:customStyle="1">
    <w:name w:val="Unresolved Mention1"/>
    <w:basedOn w:val="DefaultParagraphFont"/>
    <w:uiPriority w:val="99"/>
    <w:semiHidden/>
    <w:unhideWhenUsed/>
    <w:rsid w:val="000215F0"/>
    <w:rPr>
      <w:color w:val="605E5C"/>
      <w:shd w:val="clear" w:color="auto" w:fill="E1DFDD"/>
    </w:rPr>
  </w:style>
  <w:style w:type="numbering" w:styleId="NoList1" w:customStyle="1">
    <w:name w:val="No List1"/>
    <w:next w:val="NoList"/>
    <w:uiPriority w:val="99"/>
    <w:semiHidden/>
    <w:unhideWhenUsed/>
    <w:rsid w:val="000215F0"/>
  </w:style>
  <w:style w:type="paragraph" w:styleId="NoParagraphStyle" w:customStyle="1">
    <w:name w:val="[No Paragraph Style]"/>
    <w:rsid w:val="000215F0"/>
    <w:pPr>
      <w:autoSpaceDE w:val="0"/>
      <w:autoSpaceDN w:val="0"/>
      <w:adjustRightInd w:val="0"/>
      <w:spacing w:line="288" w:lineRule="auto"/>
      <w:textAlignment w:val="center"/>
    </w:pPr>
    <w:rPr>
      <w:rFonts w:eastAsia="Calibri" w:cs="Arial"/>
      <w:color w:val="000000"/>
      <w:sz w:val="24"/>
      <w:szCs w:val="24"/>
      <w:lang w:eastAsia="en-US"/>
    </w:rPr>
  </w:style>
  <w:style w:type="paragraph" w:styleId="BasicParagraph" w:customStyle="1">
    <w:name w:val="[Basic Paragraph]"/>
    <w:basedOn w:val="NoParagraphStyle"/>
    <w:uiPriority w:val="99"/>
    <w:rsid w:val="000215F0"/>
  </w:style>
  <w:style w:type="character" w:styleId="apple-converted-space" w:customStyle="1">
    <w:name w:val="apple-converted-space"/>
    <w:basedOn w:val="DefaultParagraphFont"/>
    <w:rsid w:val="000215F0"/>
  </w:style>
  <w:style w:type="table" w:styleId="TableGrid20" w:customStyle="1">
    <w:name w:val="Table Grid2"/>
    <w:basedOn w:val="TableNormal"/>
    <w:next w:val="TableGrid"/>
    <w:uiPriority w:val="39"/>
    <w:rsid w:val="000215F0"/>
    <w:rPr>
      <w:rFonts w:ascii="Calibri" w:hAnsi="Calibri" w:eastAsia="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ParagraphLevel2" w:customStyle="1">
    <w:name w:val="Body Paragraph Level 2"/>
    <w:basedOn w:val="Normal"/>
    <w:link w:val="BodyParagraphLevel2Char"/>
    <w:qFormat/>
    <w:rsid w:val="000215F0"/>
    <w:pPr>
      <w:spacing w:after="160" w:line="276" w:lineRule="auto"/>
      <w:ind w:left="720"/>
      <w:jc w:val="left"/>
    </w:pPr>
    <w:rPr>
      <w:rFonts w:ascii="Calibri Light" w:hAnsi="Calibri Light" w:eastAsia="Calibri"/>
      <w:sz w:val="22"/>
      <w:szCs w:val="22"/>
      <w:lang w:eastAsia="en-US"/>
    </w:rPr>
  </w:style>
  <w:style w:type="paragraph" w:styleId="BodyParagraphLevel3" w:customStyle="1">
    <w:name w:val="Body Paragraph Level 3"/>
    <w:basedOn w:val="BodyParagraphLevel2"/>
    <w:link w:val="BodyParagraphLevel3Char"/>
    <w:qFormat/>
    <w:rsid w:val="000215F0"/>
    <w:pPr>
      <w:spacing w:after="80"/>
      <w:ind w:left="1350"/>
    </w:pPr>
  </w:style>
  <w:style w:type="character" w:styleId="BodyParagraphLevel2Char" w:customStyle="1">
    <w:name w:val="Body Paragraph Level 2 Char"/>
    <w:basedOn w:val="DefaultParagraphFont"/>
    <w:link w:val="BodyParagraphLevel2"/>
    <w:rsid w:val="000215F0"/>
    <w:rPr>
      <w:rFonts w:ascii="Calibri Light" w:hAnsi="Calibri Light" w:eastAsia="Calibri"/>
      <w:sz w:val="22"/>
      <w:szCs w:val="22"/>
      <w:lang w:eastAsia="en-US"/>
    </w:rPr>
  </w:style>
  <w:style w:type="character" w:styleId="BodyParagraphLevel3Char" w:customStyle="1">
    <w:name w:val="Body Paragraph Level 3 Char"/>
    <w:basedOn w:val="BodyParagraphLevel2Char"/>
    <w:link w:val="BodyParagraphLevel3"/>
    <w:rsid w:val="000215F0"/>
    <w:rPr>
      <w:rFonts w:ascii="Calibri Light" w:hAnsi="Calibri Light" w:eastAsia="Calibri"/>
      <w:sz w:val="22"/>
      <w:szCs w:val="22"/>
      <w:lang w:eastAsia="en-US"/>
    </w:rPr>
  </w:style>
  <w:style w:type="paragraph" w:styleId="BodyParagphLevel4" w:customStyle="1">
    <w:name w:val="Body Paragph Level 4"/>
    <w:basedOn w:val="BodyParagraphLevel3"/>
    <w:link w:val="BodyParagphLevel4Char"/>
    <w:qFormat/>
    <w:rsid w:val="000215F0"/>
    <w:pPr>
      <w:ind w:left="1710"/>
    </w:pPr>
  </w:style>
  <w:style w:type="character" w:styleId="BodyParagphLevel4Char" w:customStyle="1">
    <w:name w:val="Body Paragph Level 4 Char"/>
    <w:basedOn w:val="BodyParagraphLevel3Char"/>
    <w:link w:val="BodyParagphLevel4"/>
    <w:rsid w:val="000215F0"/>
    <w:rPr>
      <w:rFonts w:ascii="Calibri Light" w:hAnsi="Calibri Light" w:eastAsia="Calibri"/>
      <w:sz w:val="22"/>
      <w:szCs w:val="22"/>
      <w:lang w:eastAsia="en-US"/>
    </w:rPr>
  </w:style>
  <w:style w:type="paragraph" w:styleId="BodyParagraphLevel1" w:customStyle="1">
    <w:name w:val="Body Paragraph Level 1"/>
    <w:basedOn w:val="Normal"/>
    <w:link w:val="BodyParagraphLevel1Char"/>
    <w:qFormat/>
    <w:rsid w:val="000215F0"/>
    <w:pPr>
      <w:spacing w:after="160" w:line="276" w:lineRule="auto"/>
      <w:ind w:left="360"/>
      <w:jc w:val="left"/>
    </w:pPr>
    <w:rPr>
      <w:rFonts w:ascii="Cambria" w:hAnsi="Cambria" w:eastAsia="Calibri"/>
      <w:sz w:val="22"/>
      <w:szCs w:val="22"/>
      <w:lang w:eastAsia="en-US"/>
    </w:rPr>
  </w:style>
  <w:style w:type="character" w:styleId="BodyParagraphLevel1Char" w:customStyle="1">
    <w:name w:val="Body Paragraph Level 1 Char"/>
    <w:basedOn w:val="DefaultParagraphFont"/>
    <w:link w:val="BodyParagraphLevel1"/>
    <w:rsid w:val="000215F0"/>
    <w:rPr>
      <w:rFonts w:ascii="Cambria" w:hAnsi="Cambria" w:eastAsia="Calibri"/>
      <w:sz w:val="22"/>
      <w:szCs w:val="22"/>
      <w:lang w:eastAsia="en-US"/>
    </w:rPr>
  </w:style>
  <w:style w:type="character" w:styleId="title-text" w:customStyle="1">
    <w:name w:val="title-text"/>
    <w:basedOn w:val="DefaultParagraphFont"/>
    <w:rsid w:val="000215F0"/>
  </w:style>
  <w:style w:type="character" w:styleId="author-ref" w:customStyle="1">
    <w:name w:val="author-ref"/>
    <w:basedOn w:val="DefaultParagraphFont"/>
    <w:rsid w:val="000215F0"/>
  </w:style>
  <w:style w:type="paragraph" w:styleId="ChapterHeading" w:customStyle="1">
    <w:name w:val="Chapter Heading"/>
    <w:basedOn w:val="ListNumber"/>
    <w:link w:val="ChapterHeadingChar"/>
    <w:qFormat/>
    <w:rsid w:val="000215F0"/>
    <w:pPr>
      <w:numPr>
        <w:numId w:val="51"/>
      </w:numPr>
    </w:pPr>
    <w:rPr>
      <w:rFonts w:ascii="Times New Roman" w:hAnsi="Times New Roman"/>
      <w:b/>
      <w:color w:val="1F497D" w:themeColor="text2"/>
      <w:sz w:val="32"/>
      <w:lang w:eastAsia="en-US"/>
    </w:rPr>
  </w:style>
  <w:style w:type="character" w:styleId="ChapterHeadingChar" w:customStyle="1">
    <w:name w:val="Chapter Heading Char"/>
    <w:basedOn w:val="DefaultParagraphFont"/>
    <w:link w:val="ChapterHeading"/>
    <w:rsid w:val="000215F0"/>
    <w:rPr>
      <w:rFonts w:ascii="Times New Roman" w:hAnsi="Times New Roman"/>
      <w:b/>
      <w:color w:val="1F497D" w:themeColor="text2"/>
      <w:sz w:val="32"/>
      <w:lang w:eastAsia="en-US"/>
    </w:rPr>
  </w:style>
  <w:style w:type="table" w:styleId="TableGrid30" w:customStyle="1">
    <w:name w:val="Table Grid3"/>
    <w:basedOn w:val="TableNormal"/>
    <w:next w:val="TableGrid"/>
    <w:rsid w:val="000215F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d2edcug0" w:customStyle="1">
    <w:name w:val="d2edcug0"/>
    <w:basedOn w:val="DefaultParagraphFont"/>
    <w:rsid w:val="000215F0"/>
  </w:style>
  <w:style w:type="paragraph" w:styleId="Style2" w:customStyle="1">
    <w:name w:val="Style2"/>
    <w:basedOn w:val="Normal"/>
    <w:rsid w:val="000215F0"/>
    <w:pPr>
      <w:numPr>
        <w:ilvl w:val="1"/>
        <w:numId w:val="52"/>
      </w:numPr>
    </w:pPr>
    <w:rPr>
      <w:rFonts w:ascii="Times New (W1)" w:hAnsi="Times New (W1)"/>
      <w:snapToGrid w:val="0"/>
      <w:sz w:val="22"/>
      <w:szCs w:val="22"/>
      <w:lang w:eastAsia="en-US"/>
    </w:rPr>
  </w:style>
  <w:style w:type="paragraph" w:styleId="StyleStyle2105ptItalic" w:customStyle="1">
    <w:name w:val="Style Style2 + 10.5 pt Italic"/>
    <w:basedOn w:val="Style2"/>
    <w:link w:val="StyleStyle2105ptItalicChar"/>
    <w:rsid w:val="000215F0"/>
    <w:rPr>
      <w:i/>
      <w:iCs/>
    </w:rPr>
  </w:style>
  <w:style w:type="character" w:styleId="StyleStyle2105ptItalicChar" w:customStyle="1">
    <w:name w:val="Style Style2 + 10.5 pt Italic Char"/>
    <w:link w:val="StyleStyle2105ptItalic"/>
    <w:rsid w:val="000215F0"/>
    <w:rPr>
      <w:rFonts w:ascii="Times New (W1)" w:hAnsi="Times New (W1)"/>
      <w:i/>
      <w:iCs/>
      <w:snapToGrid w:val="0"/>
      <w:sz w:val="22"/>
      <w:szCs w:val="22"/>
      <w:lang w:eastAsia="en-US"/>
    </w:rPr>
  </w:style>
  <w:style w:type="table" w:styleId="TableGrid40" w:customStyle="1">
    <w:name w:val="Table Grid4"/>
    <w:basedOn w:val="TableNormal"/>
    <w:next w:val="TableGrid"/>
    <w:rsid w:val="000215F0"/>
    <w:tblPr>
      <w:tblInd w:w="0" w:type="nil"/>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ocsID" w:customStyle="1">
    <w:name w:val="DocsID"/>
    <w:basedOn w:val="Normal"/>
    <w:rsid w:val="000215F0"/>
    <w:pPr>
      <w:numPr>
        <w:numId w:val="53"/>
      </w:numPr>
      <w:tabs>
        <w:tab w:val="clear" w:pos="576"/>
        <w:tab w:val="num" w:pos="709"/>
      </w:tabs>
      <w:spacing w:before="164" w:after="0" w:line="259" w:lineRule="exact"/>
      <w:ind w:hanging="720"/>
      <w:textAlignment w:val="baseline"/>
    </w:pPr>
    <w:rPr>
      <w:rFonts w:cs="Arial"/>
      <w:color w:val="000080"/>
      <w:sz w:val="16"/>
      <w:szCs w:val="20"/>
      <w:lang w:val="en-US" w:eastAsia="en-US"/>
    </w:rPr>
  </w:style>
  <w:style w:type="paragraph" w:styleId="HeadingRN" w:customStyle="1">
    <w:name w:val="Heading RN"/>
    <w:basedOn w:val="Normal"/>
    <w:link w:val="HeadingRNChar"/>
    <w:autoRedefine/>
    <w:qFormat/>
    <w:rsid w:val="004D1CD4"/>
    <w:pPr>
      <w:numPr>
        <w:numId w:val="58"/>
      </w:numPr>
      <w:tabs>
        <w:tab w:val="left" w:pos="567"/>
      </w:tabs>
      <w:spacing w:after="0" w:line="259" w:lineRule="auto"/>
      <w:jc w:val="left"/>
    </w:pPr>
    <w:rPr>
      <w:rFonts w:asciiTheme="minorHAnsi" w:hAnsiTheme="minorHAnsi" w:eastAsiaTheme="minorHAnsi" w:cstheme="minorHAnsi"/>
      <w:b/>
      <w:bCs/>
      <w:caps/>
      <w:sz w:val="22"/>
      <w:szCs w:val="22"/>
      <w:lang w:eastAsia="en-US"/>
    </w:rPr>
  </w:style>
  <w:style w:type="character" w:styleId="HeadingRNChar" w:customStyle="1">
    <w:name w:val="Heading RN Char"/>
    <w:basedOn w:val="DefaultParagraphFont"/>
    <w:link w:val="HeadingRN"/>
    <w:rsid w:val="004D1CD4"/>
    <w:rPr>
      <w:rFonts w:asciiTheme="minorHAnsi" w:hAnsiTheme="minorHAnsi" w:eastAsiaTheme="minorHAnsi" w:cstheme="minorHAnsi"/>
      <w:b/>
      <w:bCs/>
      <w:caps/>
      <w:sz w:val="22"/>
      <w:szCs w:val="22"/>
      <w:lang w:eastAsia="en-US"/>
    </w:rPr>
  </w:style>
  <w:style w:type="character" w:styleId="DeltaViewDeletion" w:customStyle="1">
    <w:name w:val="DeltaView Deletion"/>
    <w:rsid w:val="00155EB7"/>
    <w:rPr>
      <w:strike/>
      <w:color w:val="FF0000"/>
      <w:spacing w:val="0"/>
    </w:rPr>
  </w:style>
  <w:style w:type="character" w:styleId="UnresolvedMention">
    <w:name w:val="Unresolved Mention"/>
    <w:basedOn w:val="DefaultParagraphFont"/>
    <w:uiPriority w:val="99"/>
    <w:semiHidden/>
    <w:unhideWhenUsed/>
    <w:rsid w:val="00C05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477">
      <w:bodyDiv w:val="1"/>
      <w:marLeft w:val="0"/>
      <w:marRight w:val="0"/>
      <w:marTop w:val="0"/>
      <w:marBottom w:val="0"/>
      <w:divBdr>
        <w:top w:val="none" w:sz="0" w:space="0" w:color="auto"/>
        <w:left w:val="none" w:sz="0" w:space="0" w:color="auto"/>
        <w:bottom w:val="none" w:sz="0" w:space="0" w:color="auto"/>
        <w:right w:val="none" w:sz="0" w:space="0" w:color="auto"/>
      </w:divBdr>
    </w:div>
    <w:div w:id="19431044">
      <w:bodyDiv w:val="1"/>
      <w:marLeft w:val="0"/>
      <w:marRight w:val="0"/>
      <w:marTop w:val="0"/>
      <w:marBottom w:val="0"/>
      <w:divBdr>
        <w:top w:val="none" w:sz="0" w:space="0" w:color="auto"/>
        <w:left w:val="none" w:sz="0" w:space="0" w:color="auto"/>
        <w:bottom w:val="none" w:sz="0" w:space="0" w:color="auto"/>
        <w:right w:val="none" w:sz="0" w:space="0" w:color="auto"/>
      </w:divBdr>
    </w:div>
    <w:div w:id="19749606">
      <w:bodyDiv w:val="1"/>
      <w:marLeft w:val="0"/>
      <w:marRight w:val="0"/>
      <w:marTop w:val="0"/>
      <w:marBottom w:val="0"/>
      <w:divBdr>
        <w:top w:val="none" w:sz="0" w:space="0" w:color="auto"/>
        <w:left w:val="none" w:sz="0" w:space="0" w:color="auto"/>
        <w:bottom w:val="none" w:sz="0" w:space="0" w:color="auto"/>
        <w:right w:val="none" w:sz="0" w:space="0" w:color="auto"/>
      </w:divBdr>
    </w:div>
    <w:div w:id="34935747">
      <w:bodyDiv w:val="1"/>
      <w:marLeft w:val="0"/>
      <w:marRight w:val="0"/>
      <w:marTop w:val="0"/>
      <w:marBottom w:val="0"/>
      <w:divBdr>
        <w:top w:val="none" w:sz="0" w:space="0" w:color="auto"/>
        <w:left w:val="none" w:sz="0" w:space="0" w:color="auto"/>
        <w:bottom w:val="none" w:sz="0" w:space="0" w:color="auto"/>
        <w:right w:val="none" w:sz="0" w:space="0" w:color="auto"/>
      </w:divBdr>
    </w:div>
    <w:div w:id="36702836">
      <w:bodyDiv w:val="1"/>
      <w:marLeft w:val="0"/>
      <w:marRight w:val="0"/>
      <w:marTop w:val="0"/>
      <w:marBottom w:val="0"/>
      <w:divBdr>
        <w:top w:val="none" w:sz="0" w:space="0" w:color="auto"/>
        <w:left w:val="none" w:sz="0" w:space="0" w:color="auto"/>
        <w:bottom w:val="none" w:sz="0" w:space="0" w:color="auto"/>
        <w:right w:val="none" w:sz="0" w:space="0" w:color="auto"/>
      </w:divBdr>
    </w:div>
    <w:div w:id="37514698">
      <w:bodyDiv w:val="1"/>
      <w:marLeft w:val="0"/>
      <w:marRight w:val="0"/>
      <w:marTop w:val="0"/>
      <w:marBottom w:val="0"/>
      <w:divBdr>
        <w:top w:val="none" w:sz="0" w:space="0" w:color="auto"/>
        <w:left w:val="none" w:sz="0" w:space="0" w:color="auto"/>
        <w:bottom w:val="none" w:sz="0" w:space="0" w:color="auto"/>
        <w:right w:val="none" w:sz="0" w:space="0" w:color="auto"/>
      </w:divBdr>
    </w:div>
    <w:div w:id="41642035">
      <w:bodyDiv w:val="1"/>
      <w:marLeft w:val="0"/>
      <w:marRight w:val="0"/>
      <w:marTop w:val="0"/>
      <w:marBottom w:val="0"/>
      <w:divBdr>
        <w:top w:val="none" w:sz="0" w:space="0" w:color="auto"/>
        <w:left w:val="none" w:sz="0" w:space="0" w:color="auto"/>
        <w:bottom w:val="none" w:sz="0" w:space="0" w:color="auto"/>
        <w:right w:val="none" w:sz="0" w:space="0" w:color="auto"/>
      </w:divBdr>
    </w:div>
    <w:div w:id="94373786">
      <w:bodyDiv w:val="1"/>
      <w:marLeft w:val="0"/>
      <w:marRight w:val="0"/>
      <w:marTop w:val="0"/>
      <w:marBottom w:val="0"/>
      <w:divBdr>
        <w:top w:val="none" w:sz="0" w:space="0" w:color="auto"/>
        <w:left w:val="none" w:sz="0" w:space="0" w:color="auto"/>
        <w:bottom w:val="none" w:sz="0" w:space="0" w:color="auto"/>
        <w:right w:val="none" w:sz="0" w:space="0" w:color="auto"/>
      </w:divBdr>
    </w:div>
    <w:div w:id="108742739">
      <w:bodyDiv w:val="1"/>
      <w:marLeft w:val="0"/>
      <w:marRight w:val="0"/>
      <w:marTop w:val="0"/>
      <w:marBottom w:val="0"/>
      <w:divBdr>
        <w:top w:val="none" w:sz="0" w:space="0" w:color="auto"/>
        <w:left w:val="none" w:sz="0" w:space="0" w:color="auto"/>
        <w:bottom w:val="none" w:sz="0" w:space="0" w:color="auto"/>
        <w:right w:val="none" w:sz="0" w:space="0" w:color="auto"/>
      </w:divBdr>
    </w:div>
    <w:div w:id="148602122">
      <w:bodyDiv w:val="1"/>
      <w:marLeft w:val="0"/>
      <w:marRight w:val="0"/>
      <w:marTop w:val="0"/>
      <w:marBottom w:val="0"/>
      <w:divBdr>
        <w:top w:val="none" w:sz="0" w:space="0" w:color="auto"/>
        <w:left w:val="none" w:sz="0" w:space="0" w:color="auto"/>
        <w:bottom w:val="none" w:sz="0" w:space="0" w:color="auto"/>
        <w:right w:val="none" w:sz="0" w:space="0" w:color="auto"/>
      </w:divBdr>
    </w:div>
    <w:div w:id="163513958">
      <w:bodyDiv w:val="1"/>
      <w:marLeft w:val="0"/>
      <w:marRight w:val="0"/>
      <w:marTop w:val="0"/>
      <w:marBottom w:val="0"/>
      <w:divBdr>
        <w:top w:val="none" w:sz="0" w:space="0" w:color="auto"/>
        <w:left w:val="none" w:sz="0" w:space="0" w:color="auto"/>
        <w:bottom w:val="none" w:sz="0" w:space="0" w:color="auto"/>
        <w:right w:val="none" w:sz="0" w:space="0" w:color="auto"/>
      </w:divBdr>
    </w:div>
    <w:div w:id="184642024">
      <w:bodyDiv w:val="1"/>
      <w:marLeft w:val="0"/>
      <w:marRight w:val="0"/>
      <w:marTop w:val="0"/>
      <w:marBottom w:val="0"/>
      <w:divBdr>
        <w:top w:val="none" w:sz="0" w:space="0" w:color="auto"/>
        <w:left w:val="none" w:sz="0" w:space="0" w:color="auto"/>
        <w:bottom w:val="none" w:sz="0" w:space="0" w:color="auto"/>
        <w:right w:val="none" w:sz="0" w:space="0" w:color="auto"/>
      </w:divBdr>
    </w:div>
    <w:div w:id="195511740">
      <w:bodyDiv w:val="1"/>
      <w:marLeft w:val="0"/>
      <w:marRight w:val="0"/>
      <w:marTop w:val="0"/>
      <w:marBottom w:val="0"/>
      <w:divBdr>
        <w:top w:val="none" w:sz="0" w:space="0" w:color="auto"/>
        <w:left w:val="none" w:sz="0" w:space="0" w:color="auto"/>
        <w:bottom w:val="none" w:sz="0" w:space="0" w:color="auto"/>
        <w:right w:val="none" w:sz="0" w:space="0" w:color="auto"/>
      </w:divBdr>
    </w:div>
    <w:div w:id="200168372">
      <w:bodyDiv w:val="1"/>
      <w:marLeft w:val="0"/>
      <w:marRight w:val="0"/>
      <w:marTop w:val="0"/>
      <w:marBottom w:val="0"/>
      <w:divBdr>
        <w:top w:val="none" w:sz="0" w:space="0" w:color="auto"/>
        <w:left w:val="none" w:sz="0" w:space="0" w:color="auto"/>
        <w:bottom w:val="none" w:sz="0" w:space="0" w:color="auto"/>
        <w:right w:val="none" w:sz="0" w:space="0" w:color="auto"/>
      </w:divBdr>
    </w:div>
    <w:div w:id="222912221">
      <w:bodyDiv w:val="1"/>
      <w:marLeft w:val="0"/>
      <w:marRight w:val="0"/>
      <w:marTop w:val="0"/>
      <w:marBottom w:val="0"/>
      <w:divBdr>
        <w:top w:val="none" w:sz="0" w:space="0" w:color="auto"/>
        <w:left w:val="none" w:sz="0" w:space="0" w:color="auto"/>
        <w:bottom w:val="none" w:sz="0" w:space="0" w:color="auto"/>
        <w:right w:val="none" w:sz="0" w:space="0" w:color="auto"/>
      </w:divBdr>
    </w:div>
    <w:div w:id="232930014">
      <w:bodyDiv w:val="1"/>
      <w:marLeft w:val="0"/>
      <w:marRight w:val="0"/>
      <w:marTop w:val="0"/>
      <w:marBottom w:val="0"/>
      <w:divBdr>
        <w:top w:val="none" w:sz="0" w:space="0" w:color="auto"/>
        <w:left w:val="none" w:sz="0" w:space="0" w:color="auto"/>
        <w:bottom w:val="none" w:sz="0" w:space="0" w:color="auto"/>
        <w:right w:val="none" w:sz="0" w:space="0" w:color="auto"/>
      </w:divBdr>
      <w:divsChild>
        <w:div w:id="118843343">
          <w:marLeft w:val="648"/>
          <w:marRight w:val="0"/>
          <w:marTop w:val="106"/>
          <w:marBottom w:val="0"/>
          <w:divBdr>
            <w:top w:val="none" w:sz="0" w:space="0" w:color="auto"/>
            <w:left w:val="none" w:sz="0" w:space="0" w:color="auto"/>
            <w:bottom w:val="none" w:sz="0" w:space="0" w:color="auto"/>
            <w:right w:val="none" w:sz="0" w:space="0" w:color="auto"/>
          </w:divBdr>
        </w:div>
        <w:div w:id="1903175956">
          <w:marLeft w:val="648"/>
          <w:marRight w:val="0"/>
          <w:marTop w:val="106"/>
          <w:marBottom w:val="0"/>
          <w:divBdr>
            <w:top w:val="none" w:sz="0" w:space="0" w:color="auto"/>
            <w:left w:val="none" w:sz="0" w:space="0" w:color="auto"/>
            <w:bottom w:val="none" w:sz="0" w:space="0" w:color="auto"/>
            <w:right w:val="none" w:sz="0" w:space="0" w:color="auto"/>
          </w:divBdr>
        </w:div>
      </w:divsChild>
    </w:div>
    <w:div w:id="235290057">
      <w:bodyDiv w:val="1"/>
      <w:marLeft w:val="0"/>
      <w:marRight w:val="0"/>
      <w:marTop w:val="0"/>
      <w:marBottom w:val="0"/>
      <w:divBdr>
        <w:top w:val="none" w:sz="0" w:space="0" w:color="auto"/>
        <w:left w:val="none" w:sz="0" w:space="0" w:color="auto"/>
        <w:bottom w:val="none" w:sz="0" w:space="0" w:color="auto"/>
        <w:right w:val="none" w:sz="0" w:space="0" w:color="auto"/>
      </w:divBdr>
    </w:div>
    <w:div w:id="235939301">
      <w:bodyDiv w:val="1"/>
      <w:marLeft w:val="0"/>
      <w:marRight w:val="0"/>
      <w:marTop w:val="0"/>
      <w:marBottom w:val="0"/>
      <w:divBdr>
        <w:top w:val="none" w:sz="0" w:space="0" w:color="auto"/>
        <w:left w:val="none" w:sz="0" w:space="0" w:color="auto"/>
        <w:bottom w:val="none" w:sz="0" w:space="0" w:color="auto"/>
        <w:right w:val="none" w:sz="0" w:space="0" w:color="auto"/>
      </w:divBdr>
    </w:div>
    <w:div w:id="253973223">
      <w:bodyDiv w:val="1"/>
      <w:marLeft w:val="0"/>
      <w:marRight w:val="0"/>
      <w:marTop w:val="0"/>
      <w:marBottom w:val="0"/>
      <w:divBdr>
        <w:top w:val="none" w:sz="0" w:space="0" w:color="auto"/>
        <w:left w:val="none" w:sz="0" w:space="0" w:color="auto"/>
        <w:bottom w:val="none" w:sz="0" w:space="0" w:color="auto"/>
        <w:right w:val="none" w:sz="0" w:space="0" w:color="auto"/>
      </w:divBdr>
    </w:div>
    <w:div w:id="293606262">
      <w:bodyDiv w:val="1"/>
      <w:marLeft w:val="0"/>
      <w:marRight w:val="0"/>
      <w:marTop w:val="0"/>
      <w:marBottom w:val="0"/>
      <w:divBdr>
        <w:top w:val="none" w:sz="0" w:space="0" w:color="auto"/>
        <w:left w:val="none" w:sz="0" w:space="0" w:color="auto"/>
        <w:bottom w:val="none" w:sz="0" w:space="0" w:color="auto"/>
        <w:right w:val="none" w:sz="0" w:space="0" w:color="auto"/>
      </w:divBdr>
    </w:div>
    <w:div w:id="333456952">
      <w:bodyDiv w:val="1"/>
      <w:marLeft w:val="0"/>
      <w:marRight w:val="0"/>
      <w:marTop w:val="0"/>
      <w:marBottom w:val="0"/>
      <w:divBdr>
        <w:top w:val="none" w:sz="0" w:space="0" w:color="auto"/>
        <w:left w:val="none" w:sz="0" w:space="0" w:color="auto"/>
        <w:bottom w:val="none" w:sz="0" w:space="0" w:color="auto"/>
        <w:right w:val="none" w:sz="0" w:space="0" w:color="auto"/>
      </w:divBdr>
    </w:div>
    <w:div w:id="353846668">
      <w:bodyDiv w:val="1"/>
      <w:marLeft w:val="0"/>
      <w:marRight w:val="0"/>
      <w:marTop w:val="0"/>
      <w:marBottom w:val="0"/>
      <w:divBdr>
        <w:top w:val="none" w:sz="0" w:space="0" w:color="auto"/>
        <w:left w:val="none" w:sz="0" w:space="0" w:color="auto"/>
        <w:bottom w:val="none" w:sz="0" w:space="0" w:color="auto"/>
        <w:right w:val="none" w:sz="0" w:space="0" w:color="auto"/>
      </w:divBdr>
    </w:div>
    <w:div w:id="354574205">
      <w:bodyDiv w:val="1"/>
      <w:marLeft w:val="0"/>
      <w:marRight w:val="0"/>
      <w:marTop w:val="0"/>
      <w:marBottom w:val="0"/>
      <w:divBdr>
        <w:top w:val="none" w:sz="0" w:space="0" w:color="auto"/>
        <w:left w:val="none" w:sz="0" w:space="0" w:color="auto"/>
        <w:bottom w:val="none" w:sz="0" w:space="0" w:color="auto"/>
        <w:right w:val="none" w:sz="0" w:space="0" w:color="auto"/>
      </w:divBdr>
    </w:div>
    <w:div w:id="402994453">
      <w:bodyDiv w:val="1"/>
      <w:marLeft w:val="0"/>
      <w:marRight w:val="0"/>
      <w:marTop w:val="0"/>
      <w:marBottom w:val="0"/>
      <w:divBdr>
        <w:top w:val="none" w:sz="0" w:space="0" w:color="auto"/>
        <w:left w:val="none" w:sz="0" w:space="0" w:color="auto"/>
        <w:bottom w:val="none" w:sz="0" w:space="0" w:color="auto"/>
        <w:right w:val="none" w:sz="0" w:space="0" w:color="auto"/>
      </w:divBdr>
    </w:div>
    <w:div w:id="419563172">
      <w:bodyDiv w:val="1"/>
      <w:marLeft w:val="0"/>
      <w:marRight w:val="0"/>
      <w:marTop w:val="0"/>
      <w:marBottom w:val="0"/>
      <w:divBdr>
        <w:top w:val="none" w:sz="0" w:space="0" w:color="auto"/>
        <w:left w:val="none" w:sz="0" w:space="0" w:color="auto"/>
        <w:bottom w:val="none" w:sz="0" w:space="0" w:color="auto"/>
        <w:right w:val="none" w:sz="0" w:space="0" w:color="auto"/>
      </w:divBdr>
    </w:div>
    <w:div w:id="430860712">
      <w:bodyDiv w:val="1"/>
      <w:marLeft w:val="0"/>
      <w:marRight w:val="0"/>
      <w:marTop w:val="0"/>
      <w:marBottom w:val="0"/>
      <w:divBdr>
        <w:top w:val="none" w:sz="0" w:space="0" w:color="auto"/>
        <w:left w:val="none" w:sz="0" w:space="0" w:color="auto"/>
        <w:bottom w:val="none" w:sz="0" w:space="0" w:color="auto"/>
        <w:right w:val="none" w:sz="0" w:space="0" w:color="auto"/>
      </w:divBdr>
    </w:div>
    <w:div w:id="432019893">
      <w:bodyDiv w:val="1"/>
      <w:marLeft w:val="0"/>
      <w:marRight w:val="0"/>
      <w:marTop w:val="0"/>
      <w:marBottom w:val="0"/>
      <w:divBdr>
        <w:top w:val="none" w:sz="0" w:space="0" w:color="auto"/>
        <w:left w:val="none" w:sz="0" w:space="0" w:color="auto"/>
        <w:bottom w:val="none" w:sz="0" w:space="0" w:color="auto"/>
        <w:right w:val="none" w:sz="0" w:space="0" w:color="auto"/>
      </w:divBdr>
    </w:div>
    <w:div w:id="444887739">
      <w:bodyDiv w:val="1"/>
      <w:marLeft w:val="0"/>
      <w:marRight w:val="0"/>
      <w:marTop w:val="0"/>
      <w:marBottom w:val="0"/>
      <w:divBdr>
        <w:top w:val="none" w:sz="0" w:space="0" w:color="auto"/>
        <w:left w:val="none" w:sz="0" w:space="0" w:color="auto"/>
        <w:bottom w:val="none" w:sz="0" w:space="0" w:color="auto"/>
        <w:right w:val="none" w:sz="0" w:space="0" w:color="auto"/>
      </w:divBdr>
    </w:div>
    <w:div w:id="468086561">
      <w:bodyDiv w:val="1"/>
      <w:marLeft w:val="0"/>
      <w:marRight w:val="0"/>
      <w:marTop w:val="0"/>
      <w:marBottom w:val="0"/>
      <w:divBdr>
        <w:top w:val="none" w:sz="0" w:space="0" w:color="auto"/>
        <w:left w:val="none" w:sz="0" w:space="0" w:color="auto"/>
        <w:bottom w:val="none" w:sz="0" w:space="0" w:color="auto"/>
        <w:right w:val="none" w:sz="0" w:space="0" w:color="auto"/>
      </w:divBdr>
    </w:div>
    <w:div w:id="469787655">
      <w:bodyDiv w:val="1"/>
      <w:marLeft w:val="0"/>
      <w:marRight w:val="0"/>
      <w:marTop w:val="0"/>
      <w:marBottom w:val="0"/>
      <w:divBdr>
        <w:top w:val="none" w:sz="0" w:space="0" w:color="auto"/>
        <w:left w:val="none" w:sz="0" w:space="0" w:color="auto"/>
        <w:bottom w:val="none" w:sz="0" w:space="0" w:color="auto"/>
        <w:right w:val="none" w:sz="0" w:space="0" w:color="auto"/>
      </w:divBdr>
    </w:div>
    <w:div w:id="482938705">
      <w:bodyDiv w:val="1"/>
      <w:marLeft w:val="0"/>
      <w:marRight w:val="0"/>
      <w:marTop w:val="0"/>
      <w:marBottom w:val="0"/>
      <w:divBdr>
        <w:top w:val="none" w:sz="0" w:space="0" w:color="auto"/>
        <w:left w:val="none" w:sz="0" w:space="0" w:color="auto"/>
        <w:bottom w:val="none" w:sz="0" w:space="0" w:color="auto"/>
        <w:right w:val="none" w:sz="0" w:space="0" w:color="auto"/>
      </w:divBdr>
    </w:div>
    <w:div w:id="489100725">
      <w:bodyDiv w:val="1"/>
      <w:marLeft w:val="0"/>
      <w:marRight w:val="0"/>
      <w:marTop w:val="0"/>
      <w:marBottom w:val="0"/>
      <w:divBdr>
        <w:top w:val="none" w:sz="0" w:space="0" w:color="auto"/>
        <w:left w:val="none" w:sz="0" w:space="0" w:color="auto"/>
        <w:bottom w:val="none" w:sz="0" w:space="0" w:color="auto"/>
        <w:right w:val="none" w:sz="0" w:space="0" w:color="auto"/>
      </w:divBdr>
    </w:div>
    <w:div w:id="497042542">
      <w:bodyDiv w:val="1"/>
      <w:marLeft w:val="0"/>
      <w:marRight w:val="0"/>
      <w:marTop w:val="0"/>
      <w:marBottom w:val="0"/>
      <w:divBdr>
        <w:top w:val="none" w:sz="0" w:space="0" w:color="auto"/>
        <w:left w:val="none" w:sz="0" w:space="0" w:color="auto"/>
        <w:bottom w:val="none" w:sz="0" w:space="0" w:color="auto"/>
        <w:right w:val="none" w:sz="0" w:space="0" w:color="auto"/>
      </w:divBdr>
    </w:div>
    <w:div w:id="518742486">
      <w:bodyDiv w:val="1"/>
      <w:marLeft w:val="0"/>
      <w:marRight w:val="0"/>
      <w:marTop w:val="0"/>
      <w:marBottom w:val="0"/>
      <w:divBdr>
        <w:top w:val="none" w:sz="0" w:space="0" w:color="auto"/>
        <w:left w:val="none" w:sz="0" w:space="0" w:color="auto"/>
        <w:bottom w:val="none" w:sz="0" w:space="0" w:color="auto"/>
        <w:right w:val="none" w:sz="0" w:space="0" w:color="auto"/>
      </w:divBdr>
    </w:div>
    <w:div w:id="523790916">
      <w:bodyDiv w:val="1"/>
      <w:marLeft w:val="0"/>
      <w:marRight w:val="0"/>
      <w:marTop w:val="0"/>
      <w:marBottom w:val="0"/>
      <w:divBdr>
        <w:top w:val="none" w:sz="0" w:space="0" w:color="auto"/>
        <w:left w:val="none" w:sz="0" w:space="0" w:color="auto"/>
        <w:bottom w:val="none" w:sz="0" w:space="0" w:color="auto"/>
        <w:right w:val="none" w:sz="0" w:space="0" w:color="auto"/>
      </w:divBdr>
    </w:div>
    <w:div w:id="529338219">
      <w:bodyDiv w:val="1"/>
      <w:marLeft w:val="0"/>
      <w:marRight w:val="0"/>
      <w:marTop w:val="0"/>
      <w:marBottom w:val="0"/>
      <w:divBdr>
        <w:top w:val="none" w:sz="0" w:space="0" w:color="auto"/>
        <w:left w:val="none" w:sz="0" w:space="0" w:color="auto"/>
        <w:bottom w:val="none" w:sz="0" w:space="0" w:color="auto"/>
        <w:right w:val="none" w:sz="0" w:space="0" w:color="auto"/>
      </w:divBdr>
    </w:div>
    <w:div w:id="545793939">
      <w:bodyDiv w:val="1"/>
      <w:marLeft w:val="0"/>
      <w:marRight w:val="0"/>
      <w:marTop w:val="0"/>
      <w:marBottom w:val="0"/>
      <w:divBdr>
        <w:top w:val="none" w:sz="0" w:space="0" w:color="auto"/>
        <w:left w:val="none" w:sz="0" w:space="0" w:color="auto"/>
        <w:bottom w:val="none" w:sz="0" w:space="0" w:color="auto"/>
        <w:right w:val="none" w:sz="0" w:space="0" w:color="auto"/>
      </w:divBdr>
    </w:div>
    <w:div w:id="548493928">
      <w:bodyDiv w:val="1"/>
      <w:marLeft w:val="0"/>
      <w:marRight w:val="0"/>
      <w:marTop w:val="0"/>
      <w:marBottom w:val="0"/>
      <w:divBdr>
        <w:top w:val="none" w:sz="0" w:space="0" w:color="auto"/>
        <w:left w:val="none" w:sz="0" w:space="0" w:color="auto"/>
        <w:bottom w:val="none" w:sz="0" w:space="0" w:color="auto"/>
        <w:right w:val="none" w:sz="0" w:space="0" w:color="auto"/>
      </w:divBdr>
    </w:div>
    <w:div w:id="549657180">
      <w:bodyDiv w:val="1"/>
      <w:marLeft w:val="0"/>
      <w:marRight w:val="0"/>
      <w:marTop w:val="0"/>
      <w:marBottom w:val="0"/>
      <w:divBdr>
        <w:top w:val="none" w:sz="0" w:space="0" w:color="auto"/>
        <w:left w:val="none" w:sz="0" w:space="0" w:color="auto"/>
        <w:bottom w:val="none" w:sz="0" w:space="0" w:color="auto"/>
        <w:right w:val="none" w:sz="0" w:space="0" w:color="auto"/>
      </w:divBdr>
    </w:div>
    <w:div w:id="550074259">
      <w:bodyDiv w:val="1"/>
      <w:marLeft w:val="0"/>
      <w:marRight w:val="0"/>
      <w:marTop w:val="0"/>
      <w:marBottom w:val="0"/>
      <w:divBdr>
        <w:top w:val="none" w:sz="0" w:space="0" w:color="auto"/>
        <w:left w:val="none" w:sz="0" w:space="0" w:color="auto"/>
        <w:bottom w:val="none" w:sz="0" w:space="0" w:color="auto"/>
        <w:right w:val="none" w:sz="0" w:space="0" w:color="auto"/>
      </w:divBdr>
    </w:div>
    <w:div w:id="570963116">
      <w:bodyDiv w:val="1"/>
      <w:marLeft w:val="0"/>
      <w:marRight w:val="0"/>
      <w:marTop w:val="0"/>
      <w:marBottom w:val="0"/>
      <w:divBdr>
        <w:top w:val="none" w:sz="0" w:space="0" w:color="auto"/>
        <w:left w:val="none" w:sz="0" w:space="0" w:color="auto"/>
        <w:bottom w:val="none" w:sz="0" w:space="0" w:color="auto"/>
        <w:right w:val="none" w:sz="0" w:space="0" w:color="auto"/>
      </w:divBdr>
    </w:div>
    <w:div w:id="572550764">
      <w:bodyDiv w:val="1"/>
      <w:marLeft w:val="0"/>
      <w:marRight w:val="0"/>
      <w:marTop w:val="0"/>
      <w:marBottom w:val="0"/>
      <w:divBdr>
        <w:top w:val="none" w:sz="0" w:space="0" w:color="auto"/>
        <w:left w:val="none" w:sz="0" w:space="0" w:color="auto"/>
        <w:bottom w:val="none" w:sz="0" w:space="0" w:color="auto"/>
        <w:right w:val="none" w:sz="0" w:space="0" w:color="auto"/>
      </w:divBdr>
      <w:divsChild>
        <w:div w:id="1838881903">
          <w:marLeft w:val="0"/>
          <w:marRight w:val="0"/>
          <w:marTop w:val="0"/>
          <w:marBottom w:val="0"/>
          <w:divBdr>
            <w:top w:val="none" w:sz="0" w:space="0" w:color="auto"/>
            <w:left w:val="none" w:sz="0" w:space="0" w:color="auto"/>
            <w:bottom w:val="none" w:sz="0" w:space="0" w:color="auto"/>
            <w:right w:val="none" w:sz="0" w:space="0" w:color="auto"/>
          </w:divBdr>
        </w:div>
        <w:div w:id="1841038318">
          <w:marLeft w:val="0"/>
          <w:marRight w:val="0"/>
          <w:marTop w:val="0"/>
          <w:marBottom w:val="0"/>
          <w:divBdr>
            <w:top w:val="none" w:sz="0" w:space="0" w:color="auto"/>
            <w:left w:val="none" w:sz="0" w:space="0" w:color="auto"/>
            <w:bottom w:val="none" w:sz="0" w:space="0" w:color="auto"/>
            <w:right w:val="none" w:sz="0" w:space="0" w:color="auto"/>
          </w:divBdr>
        </w:div>
        <w:div w:id="1102411910">
          <w:marLeft w:val="0"/>
          <w:marRight w:val="0"/>
          <w:marTop w:val="0"/>
          <w:marBottom w:val="0"/>
          <w:divBdr>
            <w:top w:val="none" w:sz="0" w:space="0" w:color="auto"/>
            <w:left w:val="none" w:sz="0" w:space="0" w:color="auto"/>
            <w:bottom w:val="none" w:sz="0" w:space="0" w:color="auto"/>
            <w:right w:val="none" w:sz="0" w:space="0" w:color="auto"/>
          </w:divBdr>
        </w:div>
        <w:div w:id="1795832671">
          <w:marLeft w:val="0"/>
          <w:marRight w:val="0"/>
          <w:marTop w:val="0"/>
          <w:marBottom w:val="0"/>
          <w:divBdr>
            <w:top w:val="none" w:sz="0" w:space="0" w:color="auto"/>
            <w:left w:val="none" w:sz="0" w:space="0" w:color="auto"/>
            <w:bottom w:val="none" w:sz="0" w:space="0" w:color="auto"/>
            <w:right w:val="none" w:sz="0" w:space="0" w:color="auto"/>
          </w:divBdr>
        </w:div>
        <w:div w:id="1271399484">
          <w:marLeft w:val="0"/>
          <w:marRight w:val="0"/>
          <w:marTop w:val="0"/>
          <w:marBottom w:val="0"/>
          <w:divBdr>
            <w:top w:val="none" w:sz="0" w:space="0" w:color="auto"/>
            <w:left w:val="none" w:sz="0" w:space="0" w:color="auto"/>
            <w:bottom w:val="none" w:sz="0" w:space="0" w:color="auto"/>
            <w:right w:val="none" w:sz="0" w:space="0" w:color="auto"/>
          </w:divBdr>
        </w:div>
        <w:div w:id="1851291964">
          <w:marLeft w:val="0"/>
          <w:marRight w:val="0"/>
          <w:marTop w:val="0"/>
          <w:marBottom w:val="0"/>
          <w:divBdr>
            <w:top w:val="none" w:sz="0" w:space="0" w:color="auto"/>
            <w:left w:val="none" w:sz="0" w:space="0" w:color="auto"/>
            <w:bottom w:val="none" w:sz="0" w:space="0" w:color="auto"/>
            <w:right w:val="none" w:sz="0" w:space="0" w:color="auto"/>
          </w:divBdr>
        </w:div>
        <w:div w:id="799373331">
          <w:marLeft w:val="0"/>
          <w:marRight w:val="0"/>
          <w:marTop w:val="0"/>
          <w:marBottom w:val="0"/>
          <w:divBdr>
            <w:top w:val="none" w:sz="0" w:space="0" w:color="auto"/>
            <w:left w:val="none" w:sz="0" w:space="0" w:color="auto"/>
            <w:bottom w:val="none" w:sz="0" w:space="0" w:color="auto"/>
            <w:right w:val="none" w:sz="0" w:space="0" w:color="auto"/>
          </w:divBdr>
        </w:div>
      </w:divsChild>
    </w:div>
    <w:div w:id="575676684">
      <w:bodyDiv w:val="1"/>
      <w:marLeft w:val="0"/>
      <w:marRight w:val="0"/>
      <w:marTop w:val="0"/>
      <w:marBottom w:val="0"/>
      <w:divBdr>
        <w:top w:val="none" w:sz="0" w:space="0" w:color="auto"/>
        <w:left w:val="none" w:sz="0" w:space="0" w:color="auto"/>
        <w:bottom w:val="none" w:sz="0" w:space="0" w:color="auto"/>
        <w:right w:val="none" w:sz="0" w:space="0" w:color="auto"/>
      </w:divBdr>
    </w:div>
    <w:div w:id="582641280">
      <w:bodyDiv w:val="1"/>
      <w:marLeft w:val="0"/>
      <w:marRight w:val="0"/>
      <w:marTop w:val="0"/>
      <w:marBottom w:val="0"/>
      <w:divBdr>
        <w:top w:val="none" w:sz="0" w:space="0" w:color="auto"/>
        <w:left w:val="none" w:sz="0" w:space="0" w:color="auto"/>
        <w:bottom w:val="none" w:sz="0" w:space="0" w:color="auto"/>
        <w:right w:val="none" w:sz="0" w:space="0" w:color="auto"/>
      </w:divBdr>
    </w:div>
    <w:div w:id="586617639">
      <w:bodyDiv w:val="1"/>
      <w:marLeft w:val="0"/>
      <w:marRight w:val="0"/>
      <w:marTop w:val="0"/>
      <w:marBottom w:val="0"/>
      <w:divBdr>
        <w:top w:val="none" w:sz="0" w:space="0" w:color="auto"/>
        <w:left w:val="none" w:sz="0" w:space="0" w:color="auto"/>
        <w:bottom w:val="none" w:sz="0" w:space="0" w:color="auto"/>
        <w:right w:val="none" w:sz="0" w:space="0" w:color="auto"/>
      </w:divBdr>
    </w:div>
    <w:div w:id="605045832">
      <w:bodyDiv w:val="1"/>
      <w:marLeft w:val="0"/>
      <w:marRight w:val="0"/>
      <w:marTop w:val="0"/>
      <w:marBottom w:val="0"/>
      <w:divBdr>
        <w:top w:val="none" w:sz="0" w:space="0" w:color="auto"/>
        <w:left w:val="none" w:sz="0" w:space="0" w:color="auto"/>
        <w:bottom w:val="none" w:sz="0" w:space="0" w:color="auto"/>
        <w:right w:val="none" w:sz="0" w:space="0" w:color="auto"/>
      </w:divBdr>
      <w:divsChild>
        <w:div w:id="1417440945">
          <w:marLeft w:val="0"/>
          <w:marRight w:val="0"/>
          <w:marTop w:val="0"/>
          <w:marBottom w:val="0"/>
          <w:divBdr>
            <w:top w:val="none" w:sz="0" w:space="0" w:color="auto"/>
            <w:left w:val="none" w:sz="0" w:space="0" w:color="auto"/>
            <w:bottom w:val="none" w:sz="0" w:space="0" w:color="auto"/>
            <w:right w:val="none" w:sz="0" w:space="0" w:color="auto"/>
          </w:divBdr>
          <w:divsChild>
            <w:div w:id="2049838373">
              <w:marLeft w:val="0"/>
              <w:marRight w:val="0"/>
              <w:marTop w:val="0"/>
              <w:marBottom w:val="0"/>
              <w:divBdr>
                <w:top w:val="none" w:sz="0" w:space="0" w:color="auto"/>
                <w:left w:val="none" w:sz="0" w:space="0" w:color="auto"/>
                <w:bottom w:val="none" w:sz="0" w:space="0" w:color="auto"/>
                <w:right w:val="none" w:sz="0" w:space="0" w:color="auto"/>
              </w:divBdr>
              <w:divsChild>
                <w:div w:id="1496871607">
                  <w:marLeft w:val="0"/>
                  <w:marRight w:val="0"/>
                  <w:marTop w:val="0"/>
                  <w:marBottom w:val="0"/>
                  <w:divBdr>
                    <w:top w:val="none" w:sz="0" w:space="0" w:color="auto"/>
                    <w:left w:val="none" w:sz="0" w:space="0" w:color="auto"/>
                    <w:bottom w:val="none" w:sz="0" w:space="0" w:color="auto"/>
                    <w:right w:val="none" w:sz="0" w:space="0" w:color="auto"/>
                  </w:divBdr>
                  <w:divsChild>
                    <w:div w:id="700209784">
                      <w:marLeft w:val="0"/>
                      <w:marRight w:val="0"/>
                      <w:marTop w:val="0"/>
                      <w:marBottom w:val="0"/>
                      <w:divBdr>
                        <w:top w:val="none" w:sz="0" w:space="0" w:color="auto"/>
                        <w:left w:val="none" w:sz="0" w:space="0" w:color="auto"/>
                        <w:bottom w:val="none" w:sz="0" w:space="0" w:color="auto"/>
                        <w:right w:val="none" w:sz="0" w:space="0" w:color="auto"/>
                      </w:divBdr>
                      <w:divsChild>
                        <w:div w:id="274018635">
                          <w:marLeft w:val="0"/>
                          <w:marRight w:val="0"/>
                          <w:marTop w:val="0"/>
                          <w:marBottom w:val="0"/>
                          <w:divBdr>
                            <w:top w:val="none" w:sz="0" w:space="0" w:color="auto"/>
                            <w:left w:val="none" w:sz="0" w:space="0" w:color="auto"/>
                            <w:bottom w:val="none" w:sz="0" w:space="0" w:color="auto"/>
                            <w:right w:val="none" w:sz="0" w:space="0" w:color="auto"/>
                          </w:divBdr>
                          <w:divsChild>
                            <w:div w:id="8091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168442">
      <w:bodyDiv w:val="1"/>
      <w:marLeft w:val="0"/>
      <w:marRight w:val="0"/>
      <w:marTop w:val="0"/>
      <w:marBottom w:val="0"/>
      <w:divBdr>
        <w:top w:val="none" w:sz="0" w:space="0" w:color="auto"/>
        <w:left w:val="none" w:sz="0" w:space="0" w:color="auto"/>
        <w:bottom w:val="none" w:sz="0" w:space="0" w:color="auto"/>
        <w:right w:val="none" w:sz="0" w:space="0" w:color="auto"/>
      </w:divBdr>
    </w:div>
    <w:div w:id="611714165">
      <w:bodyDiv w:val="1"/>
      <w:marLeft w:val="0"/>
      <w:marRight w:val="0"/>
      <w:marTop w:val="0"/>
      <w:marBottom w:val="0"/>
      <w:divBdr>
        <w:top w:val="none" w:sz="0" w:space="0" w:color="auto"/>
        <w:left w:val="none" w:sz="0" w:space="0" w:color="auto"/>
        <w:bottom w:val="none" w:sz="0" w:space="0" w:color="auto"/>
        <w:right w:val="none" w:sz="0" w:space="0" w:color="auto"/>
      </w:divBdr>
    </w:div>
    <w:div w:id="611982629">
      <w:bodyDiv w:val="1"/>
      <w:marLeft w:val="0"/>
      <w:marRight w:val="0"/>
      <w:marTop w:val="0"/>
      <w:marBottom w:val="0"/>
      <w:divBdr>
        <w:top w:val="none" w:sz="0" w:space="0" w:color="auto"/>
        <w:left w:val="none" w:sz="0" w:space="0" w:color="auto"/>
        <w:bottom w:val="none" w:sz="0" w:space="0" w:color="auto"/>
        <w:right w:val="none" w:sz="0" w:space="0" w:color="auto"/>
      </w:divBdr>
    </w:div>
    <w:div w:id="628782544">
      <w:bodyDiv w:val="1"/>
      <w:marLeft w:val="0"/>
      <w:marRight w:val="0"/>
      <w:marTop w:val="0"/>
      <w:marBottom w:val="0"/>
      <w:divBdr>
        <w:top w:val="none" w:sz="0" w:space="0" w:color="auto"/>
        <w:left w:val="none" w:sz="0" w:space="0" w:color="auto"/>
        <w:bottom w:val="none" w:sz="0" w:space="0" w:color="auto"/>
        <w:right w:val="none" w:sz="0" w:space="0" w:color="auto"/>
      </w:divBdr>
    </w:div>
    <w:div w:id="640501464">
      <w:bodyDiv w:val="1"/>
      <w:marLeft w:val="0"/>
      <w:marRight w:val="0"/>
      <w:marTop w:val="0"/>
      <w:marBottom w:val="0"/>
      <w:divBdr>
        <w:top w:val="none" w:sz="0" w:space="0" w:color="auto"/>
        <w:left w:val="none" w:sz="0" w:space="0" w:color="auto"/>
        <w:bottom w:val="none" w:sz="0" w:space="0" w:color="auto"/>
        <w:right w:val="none" w:sz="0" w:space="0" w:color="auto"/>
      </w:divBdr>
    </w:div>
    <w:div w:id="665549186">
      <w:bodyDiv w:val="1"/>
      <w:marLeft w:val="0"/>
      <w:marRight w:val="0"/>
      <w:marTop w:val="0"/>
      <w:marBottom w:val="0"/>
      <w:divBdr>
        <w:top w:val="none" w:sz="0" w:space="0" w:color="auto"/>
        <w:left w:val="none" w:sz="0" w:space="0" w:color="auto"/>
        <w:bottom w:val="none" w:sz="0" w:space="0" w:color="auto"/>
        <w:right w:val="none" w:sz="0" w:space="0" w:color="auto"/>
      </w:divBdr>
      <w:divsChild>
        <w:div w:id="119149508">
          <w:marLeft w:val="0"/>
          <w:marRight w:val="0"/>
          <w:marTop w:val="0"/>
          <w:marBottom w:val="0"/>
          <w:divBdr>
            <w:top w:val="none" w:sz="0" w:space="0" w:color="auto"/>
            <w:left w:val="none" w:sz="0" w:space="0" w:color="auto"/>
            <w:bottom w:val="none" w:sz="0" w:space="0" w:color="auto"/>
            <w:right w:val="none" w:sz="0" w:space="0" w:color="auto"/>
          </w:divBdr>
        </w:div>
        <w:div w:id="1347252969">
          <w:marLeft w:val="0"/>
          <w:marRight w:val="0"/>
          <w:marTop w:val="0"/>
          <w:marBottom w:val="0"/>
          <w:divBdr>
            <w:top w:val="none" w:sz="0" w:space="0" w:color="auto"/>
            <w:left w:val="none" w:sz="0" w:space="0" w:color="auto"/>
            <w:bottom w:val="none" w:sz="0" w:space="0" w:color="auto"/>
            <w:right w:val="none" w:sz="0" w:space="0" w:color="auto"/>
          </w:divBdr>
        </w:div>
        <w:div w:id="2009477545">
          <w:marLeft w:val="0"/>
          <w:marRight w:val="0"/>
          <w:marTop w:val="0"/>
          <w:marBottom w:val="0"/>
          <w:divBdr>
            <w:top w:val="none" w:sz="0" w:space="0" w:color="auto"/>
            <w:left w:val="none" w:sz="0" w:space="0" w:color="auto"/>
            <w:bottom w:val="none" w:sz="0" w:space="0" w:color="auto"/>
            <w:right w:val="none" w:sz="0" w:space="0" w:color="auto"/>
          </w:divBdr>
        </w:div>
      </w:divsChild>
    </w:div>
    <w:div w:id="669333581">
      <w:bodyDiv w:val="1"/>
      <w:marLeft w:val="0"/>
      <w:marRight w:val="0"/>
      <w:marTop w:val="0"/>
      <w:marBottom w:val="0"/>
      <w:divBdr>
        <w:top w:val="none" w:sz="0" w:space="0" w:color="auto"/>
        <w:left w:val="none" w:sz="0" w:space="0" w:color="auto"/>
        <w:bottom w:val="none" w:sz="0" w:space="0" w:color="auto"/>
        <w:right w:val="none" w:sz="0" w:space="0" w:color="auto"/>
      </w:divBdr>
    </w:div>
    <w:div w:id="675427242">
      <w:bodyDiv w:val="1"/>
      <w:marLeft w:val="0"/>
      <w:marRight w:val="0"/>
      <w:marTop w:val="0"/>
      <w:marBottom w:val="0"/>
      <w:divBdr>
        <w:top w:val="none" w:sz="0" w:space="0" w:color="auto"/>
        <w:left w:val="none" w:sz="0" w:space="0" w:color="auto"/>
        <w:bottom w:val="none" w:sz="0" w:space="0" w:color="auto"/>
        <w:right w:val="none" w:sz="0" w:space="0" w:color="auto"/>
      </w:divBdr>
    </w:div>
    <w:div w:id="718362931">
      <w:bodyDiv w:val="1"/>
      <w:marLeft w:val="0"/>
      <w:marRight w:val="0"/>
      <w:marTop w:val="0"/>
      <w:marBottom w:val="0"/>
      <w:divBdr>
        <w:top w:val="none" w:sz="0" w:space="0" w:color="auto"/>
        <w:left w:val="none" w:sz="0" w:space="0" w:color="auto"/>
        <w:bottom w:val="none" w:sz="0" w:space="0" w:color="auto"/>
        <w:right w:val="none" w:sz="0" w:space="0" w:color="auto"/>
      </w:divBdr>
    </w:div>
    <w:div w:id="735470471">
      <w:bodyDiv w:val="1"/>
      <w:marLeft w:val="0"/>
      <w:marRight w:val="0"/>
      <w:marTop w:val="0"/>
      <w:marBottom w:val="0"/>
      <w:divBdr>
        <w:top w:val="none" w:sz="0" w:space="0" w:color="auto"/>
        <w:left w:val="none" w:sz="0" w:space="0" w:color="auto"/>
        <w:bottom w:val="none" w:sz="0" w:space="0" w:color="auto"/>
        <w:right w:val="none" w:sz="0" w:space="0" w:color="auto"/>
      </w:divBdr>
    </w:div>
    <w:div w:id="770663777">
      <w:bodyDiv w:val="1"/>
      <w:marLeft w:val="0"/>
      <w:marRight w:val="0"/>
      <w:marTop w:val="0"/>
      <w:marBottom w:val="0"/>
      <w:divBdr>
        <w:top w:val="none" w:sz="0" w:space="0" w:color="auto"/>
        <w:left w:val="none" w:sz="0" w:space="0" w:color="auto"/>
        <w:bottom w:val="none" w:sz="0" w:space="0" w:color="auto"/>
        <w:right w:val="none" w:sz="0" w:space="0" w:color="auto"/>
      </w:divBdr>
    </w:div>
    <w:div w:id="774784405">
      <w:bodyDiv w:val="1"/>
      <w:marLeft w:val="0"/>
      <w:marRight w:val="0"/>
      <w:marTop w:val="0"/>
      <w:marBottom w:val="0"/>
      <w:divBdr>
        <w:top w:val="none" w:sz="0" w:space="0" w:color="auto"/>
        <w:left w:val="none" w:sz="0" w:space="0" w:color="auto"/>
        <w:bottom w:val="none" w:sz="0" w:space="0" w:color="auto"/>
        <w:right w:val="none" w:sz="0" w:space="0" w:color="auto"/>
      </w:divBdr>
    </w:div>
    <w:div w:id="805315218">
      <w:bodyDiv w:val="1"/>
      <w:marLeft w:val="0"/>
      <w:marRight w:val="0"/>
      <w:marTop w:val="0"/>
      <w:marBottom w:val="0"/>
      <w:divBdr>
        <w:top w:val="none" w:sz="0" w:space="0" w:color="auto"/>
        <w:left w:val="none" w:sz="0" w:space="0" w:color="auto"/>
        <w:bottom w:val="none" w:sz="0" w:space="0" w:color="auto"/>
        <w:right w:val="none" w:sz="0" w:space="0" w:color="auto"/>
      </w:divBdr>
    </w:div>
    <w:div w:id="811950055">
      <w:bodyDiv w:val="1"/>
      <w:marLeft w:val="0"/>
      <w:marRight w:val="0"/>
      <w:marTop w:val="0"/>
      <w:marBottom w:val="0"/>
      <w:divBdr>
        <w:top w:val="none" w:sz="0" w:space="0" w:color="auto"/>
        <w:left w:val="none" w:sz="0" w:space="0" w:color="auto"/>
        <w:bottom w:val="none" w:sz="0" w:space="0" w:color="auto"/>
        <w:right w:val="none" w:sz="0" w:space="0" w:color="auto"/>
      </w:divBdr>
    </w:div>
    <w:div w:id="861943756">
      <w:bodyDiv w:val="1"/>
      <w:marLeft w:val="0"/>
      <w:marRight w:val="0"/>
      <w:marTop w:val="0"/>
      <w:marBottom w:val="0"/>
      <w:divBdr>
        <w:top w:val="none" w:sz="0" w:space="0" w:color="auto"/>
        <w:left w:val="none" w:sz="0" w:space="0" w:color="auto"/>
        <w:bottom w:val="none" w:sz="0" w:space="0" w:color="auto"/>
        <w:right w:val="none" w:sz="0" w:space="0" w:color="auto"/>
      </w:divBdr>
    </w:div>
    <w:div w:id="897742504">
      <w:bodyDiv w:val="1"/>
      <w:marLeft w:val="0"/>
      <w:marRight w:val="0"/>
      <w:marTop w:val="0"/>
      <w:marBottom w:val="0"/>
      <w:divBdr>
        <w:top w:val="none" w:sz="0" w:space="0" w:color="auto"/>
        <w:left w:val="none" w:sz="0" w:space="0" w:color="auto"/>
        <w:bottom w:val="none" w:sz="0" w:space="0" w:color="auto"/>
        <w:right w:val="none" w:sz="0" w:space="0" w:color="auto"/>
      </w:divBdr>
    </w:div>
    <w:div w:id="900559172">
      <w:bodyDiv w:val="1"/>
      <w:marLeft w:val="0"/>
      <w:marRight w:val="0"/>
      <w:marTop w:val="0"/>
      <w:marBottom w:val="0"/>
      <w:divBdr>
        <w:top w:val="none" w:sz="0" w:space="0" w:color="auto"/>
        <w:left w:val="none" w:sz="0" w:space="0" w:color="auto"/>
        <w:bottom w:val="none" w:sz="0" w:space="0" w:color="auto"/>
        <w:right w:val="none" w:sz="0" w:space="0" w:color="auto"/>
      </w:divBdr>
    </w:div>
    <w:div w:id="934940325">
      <w:bodyDiv w:val="1"/>
      <w:marLeft w:val="0"/>
      <w:marRight w:val="0"/>
      <w:marTop w:val="0"/>
      <w:marBottom w:val="0"/>
      <w:divBdr>
        <w:top w:val="none" w:sz="0" w:space="0" w:color="auto"/>
        <w:left w:val="none" w:sz="0" w:space="0" w:color="auto"/>
        <w:bottom w:val="none" w:sz="0" w:space="0" w:color="auto"/>
        <w:right w:val="none" w:sz="0" w:space="0" w:color="auto"/>
      </w:divBdr>
    </w:div>
    <w:div w:id="954293150">
      <w:bodyDiv w:val="1"/>
      <w:marLeft w:val="0"/>
      <w:marRight w:val="0"/>
      <w:marTop w:val="0"/>
      <w:marBottom w:val="0"/>
      <w:divBdr>
        <w:top w:val="none" w:sz="0" w:space="0" w:color="auto"/>
        <w:left w:val="none" w:sz="0" w:space="0" w:color="auto"/>
        <w:bottom w:val="none" w:sz="0" w:space="0" w:color="auto"/>
        <w:right w:val="none" w:sz="0" w:space="0" w:color="auto"/>
      </w:divBdr>
    </w:div>
    <w:div w:id="955211668">
      <w:bodyDiv w:val="1"/>
      <w:marLeft w:val="0"/>
      <w:marRight w:val="0"/>
      <w:marTop w:val="0"/>
      <w:marBottom w:val="0"/>
      <w:divBdr>
        <w:top w:val="none" w:sz="0" w:space="0" w:color="auto"/>
        <w:left w:val="none" w:sz="0" w:space="0" w:color="auto"/>
        <w:bottom w:val="none" w:sz="0" w:space="0" w:color="auto"/>
        <w:right w:val="none" w:sz="0" w:space="0" w:color="auto"/>
      </w:divBdr>
    </w:div>
    <w:div w:id="973481948">
      <w:bodyDiv w:val="1"/>
      <w:marLeft w:val="0"/>
      <w:marRight w:val="0"/>
      <w:marTop w:val="0"/>
      <w:marBottom w:val="0"/>
      <w:divBdr>
        <w:top w:val="none" w:sz="0" w:space="0" w:color="auto"/>
        <w:left w:val="none" w:sz="0" w:space="0" w:color="auto"/>
        <w:bottom w:val="none" w:sz="0" w:space="0" w:color="auto"/>
        <w:right w:val="none" w:sz="0" w:space="0" w:color="auto"/>
      </w:divBdr>
    </w:div>
    <w:div w:id="974140779">
      <w:bodyDiv w:val="1"/>
      <w:marLeft w:val="0"/>
      <w:marRight w:val="0"/>
      <w:marTop w:val="0"/>
      <w:marBottom w:val="0"/>
      <w:divBdr>
        <w:top w:val="none" w:sz="0" w:space="0" w:color="auto"/>
        <w:left w:val="none" w:sz="0" w:space="0" w:color="auto"/>
        <w:bottom w:val="none" w:sz="0" w:space="0" w:color="auto"/>
        <w:right w:val="none" w:sz="0" w:space="0" w:color="auto"/>
      </w:divBdr>
    </w:div>
    <w:div w:id="985865423">
      <w:bodyDiv w:val="1"/>
      <w:marLeft w:val="0"/>
      <w:marRight w:val="0"/>
      <w:marTop w:val="0"/>
      <w:marBottom w:val="0"/>
      <w:divBdr>
        <w:top w:val="none" w:sz="0" w:space="0" w:color="auto"/>
        <w:left w:val="none" w:sz="0" w:space="0" w:color="auto"/>
        <w:bottom w:val="none" w:sz="0" w:space="0" w:color="auto"/>
        <w:right w:val="none" w:sz="0" w:space="0" w:color="auto"/>
      </w:divBdr>
    </w:div>
    <w:div w:id="990645076">
      <w:bodyDiv w:val="1"/>
      <w:marLeft w:val="0"/>
      <w:marRight w:val="0"/>
      <w:marTop w:val="0"/>
      <w:marBottom w:val="0"/>
      <w:divBdr>
        <w:top w:val="none" w:sz="0" w:space="0" w:color="auto"/>
        <w:left w:val="none" w:sz="0" w:space="0" w:color="auto"/>
        <w:bottom w:val="none" w:sz="0" w:space="0" w:color="auto"/>
        <w:right w:val="none" w:sz="0" w:space="0" w:color="auto"/>
      </w:divBdr>
    </w:div>
    <w:div w:id="993529974">
      <w:bodyDiv w:val="1"/>
      <w:marLeft w:val="0"/>
      <w:marRight w:val="0"/>
      <w:marTop w:val="0"/>
      <w:marBottom w:val="0"/>
      <w:divBdr>
        <w:top w:val="none" w:sz="0" w:space="0" w:color="auto"/>
        <w:left w:val="none" w:sz="0" w:space="0" w:color="auto"/>
        <w:bottom w:val="none" w:sz="0" w:space="0" w:color="auto"/>
        <w:right w:val="none" w:sz="0" w:space="0" w:color="auto"/>
      </w:divBdr>
    </w:div>
    <w:div w:id="994842601">
      <w:bodyDiv w:val="1"/>
      <w:marLeft w:val="0"/>
      <w:marRight w:val="0"/>
      <w:marTop w:val="0"/>
      <w:marBottom w:val="0"/>
      <w:divBdr>
        <w:top w:val="none" w:sz="0" w:space="0" w:color="auto"/>
        <w:left w:val="none" w:sz="0" w:space="0" w:color="auto"/>
        <w:bottom w:val="none" w:sz="0" w:space="0" w:color="auto"/>
        <w:right w:val="none" w:sz="0" w:space="0" w:color="auto"/>
      </w:divBdr>
    </w:div>
    <w:div w:id="1015230869">
      <w:bodyDiv w:val="1"/>
      <w:marLeft w:val="0"/>
      <w:marRight w:val="0"/>
      <w:marTop w:val="0"/>
      <w:marBottom w:val="0"/>
      <w:divBdr>
        <w:top w:val="none" w:sz="0" w:space="0" w:color="auto"/>
        <w:left w:val="none" w:sz="0" w:space="0" w:color="auto"/>
        <w:bottom w:val="none" w:sz="0" w:space="0" w:color="auto"/>
        <w:right w:val="none" w:sz="0" w:space="0" w:color="auto"/>
      </w:divBdr>
    </w:div>
    <w:div w:id="1074352891">
      <w:bodyDiv w:val="1"/>
      <w:marLeft w:val="0"/>
      <w:marRight w:val="0"/>
      <w:marTop w:val="0"/>
      <w:marBottom w:val="0"/>
      <w:divBdr>
        <w:top w:val="none" w:sz="0" w:space="0" w:color="auto"/>
        <w:left w:val="none" w:sz="0" w:space="0" w:color="auto"/>
        <w:bottom w:val="none" w:sz="0" w:space="0" w:color="auto"/>
        <w:right w:val="none" w:sz="0" w:space="0" w:color="auto"/>
      </w:divBdr>
    </w:div>
    <w:div w:id="1114712455">
      <w:bodyDiv w:val="1"/>
      <w:marLeft w:val="0"/>
      <w:marRight w:val="0"/>
      <w:marTop w:val="0"/>
      <w:marBottom w:val="0"/>
      <w:divBdr>
        <w:top w:val="none" w:sz="0" w:space="0" w:color="auto"/>
        <w:left w:val="none" w:sz="0" w:space="0" w:color="auto"/>
        <w:bottom w:val="none" w:sz="0" w:space="0" w:color="auto"/>
        <w:right w:val="none" w:sz="0" w:space="0" w:color="auto"/>
      </w:divBdr>
    </w:div>
    <w:div w:id="1124158850">
      <w:bodyDiv w:val="1"/>
      <w:marLeft w:val="0"/>
      <w:marRight w:val="0"/>
      <w:marTop w:val="0"/>
      <w:marBottom w:val="0"/>
      <w:divBdr>
        <w:top w:val="none" w:sz="0" w:space="0" w:color="auto"/>
        <w:left w:val="none" w:sz="0" w:space="0" w:color="auto"/>
        <w:bottom w:val="none" w:sz="0" w:space="0" w:color="auto"/>
        <w:right w:val="none" w:sz="0" w:space="0" w:color="auto"/>
      </w:divBdr>
    </w:div>
    <w:div w:id="1127697559">
      <w:bodyDiv w:val="1"/>
      <w:marLeft w:val="0"/>
      <w:marRight w:val="0"/>
      <w:marTop w:val="0"/>
      <w:marBottom w:val="0"/>
      <w:divBdr>
        <w:top w:val="none" w:sz="0" w:space="0" w:color="auto"/>
        <w:left w:val="none" w:sz="0" w:space="0" w:color="auto"/>
        <w:bottom w:val="none" w:sz="0" w:space="0" w:color="auto"/>
        <w:right w:val="none" w:sz="0" w:space="0" w:color="auto"/>
      </w:divBdr>
    </w:div>
    <w:div w:id="1139299824">
      <w:bodyDiv w:val="1"/>
      <w:marLeft w:val="0"/>
      <w:marRight w:val="0"/>
      <w:marTop w:val="0"/>
      <w:marBottom w:val="0"/>
      <w:divBdr>
        <w:top w:val="none" w:sz="0" w:space="0" w:color="auto"/>
        <w:left w:val="none" w:sz="0" w:space="0" w:color="auto"/>
        <w:bottom w:val="none" w:sz="0" w:space="0" w:color="auto"/>
        <w:right w:val="none" w:sz="0" w:space="0" w:color="auto"/>
      </w:divBdr>
    </w:div>
    <w:div w:id="1176649357">
      <w:bodyDiv w:val="1"/>
      <w:marLeft w:val="0"/>
      <w:marRight w:val="0"/>
      <w:marTop w:val="0"/>
      <w:marBottom w:val="0"/>
      <w:divBdr>
        <w:top w:val="none" w:sz="0" w:space="0" w:color="auto"/>
        <w:left w:val="none" w:sz="0" w:space="0" w:color="auto"/>
        <w:bottom w:val="none" w:sz="0" w:space="0" w:color="auto"/>
        <w:right w:val="none" w:sz="0" w:space="0" w:color="auto"/>
      </w:divBdr>
    </w:div>
    <w:div w:id="1200704822">
      <w:bodyDiv w:val="1"/>
      <w:marLeft w:val="0"/>
      <w:marRight w:val="0"/>
      <w:marTop w:val="0"/>
      <w:marBottom w:val="0"/>
      <w:divBdr>
        <w:top w:val="none" w:sz="0" w:space="0" w:color="auto"/>
        <w:left w:val="none" w:sz="0" w:space="0" w:color="auto"/>
        <w:bottom w:val="none" w:sz="0" w:space="0" w:color="auto"/>
        <w:right w:val="none" w:sz="0" w:space="0" w:color="auto"/>
      </w:divBdr>
    </w:div>
    <w:div w:id="1215115709">
      <w:bodyDiv w:val="1"/>
      <w:marLeft w:val="0"/>
      <w:marRight w:val="0"/>
      <w:marTop w:val="0"/>
      <w:marBottom w:val="0"/>
      <w:divBdr>
        <w:top w:val="none" w:sz="0" w:space="0" w:color="auto"/>
        <w:left w:val="none" w:sz="0" w:space="0" w:color="auto"/>
        <w:bottom w:val="none" w:sz="0" w:space="0" w:color="auto"/>
        <w:right w:val="none" w:sz="0" w:space="0" w:color="auto"/>
      </w:divBdr>
    </w:div>
    <w:div w:id="1251815853">
      <w:bodyDiv w:val="1"/>
      <w:marLeft w:val="0"/>
      <w:marRight w:val="0"/>
      <w:marTop w:val="0"/>
      <w:marBottom w:val="0"/>
      <w:divBdr>
        <w:top w:val="none" w:sz="0" w:space="0" w:color="auto"/>
        <w:left w:val="none" w:sz="0" w:space="0" w:color="auto"/>
        <w:bottom w:val="none" w:sz="0" w:space="0" w:color="auto"/>
        <w:right w:val="none" w:sz="0" w:space="0" w:color="auto"/>
      </w:divBdr>
    </w:div>
    <w:div w:id="1293366049">
      <w:bodyDiv w:val="1"/>
      <w:marLeft w:val="0"/>
      <w:marRight w:val="0"/>
      <w:marTop w:val="0"/>
      <w:marBottom w:val="0"/>
      <w:divBdr>
        <w:top w:val="none" w:sz="0" w:space="0" w:color="auto"/>
        <w:left w:val="none" w:sz="0" w:space="0" w:color="auto"/>
        <w:bottom w:val="none" w:sz="0" w:space="0" w:color="auto"/>
        <w:right w:val="none" w:sz="0" w:space="0" w:color="auto"/>
      </w:divBdr>
    </w:div>
    <w:div w:id="1304314162">
      <w:bodyDiv w:val="1"/>
      <w:marLeft w:val="0"/>
      <w:marRight w:val="0"/>
      <w:marTop w:val="0"/>
      <w:marBottom w:val="0"/>
      <w:divBdr>
        <w:top w:val="none" w:sz="0" w:space="0" w:color="auto"/>
        <w:left w:val="none" w:sz="0" w:space="0" w:color="auto"/>
        <w:bottom w:val="none" w:sz="0" w:space="0" w:color="auto"/>
        <w:right w:val="none" w:sz="0" w:space="0" w:color="auto"/>
      </w:divBdr>
    </w:div>
    <w:div w:id="1309939731">
      <w:bodyDiv w:val="1"/>
      <w:marLeft w:val="0"/>
      <w:marRight w:val="0"/>
      <w:marTop w:val="0"/>
      <w:marBottom w:val="0"/>
      <w:divBdr>
        <w:top w:val="none" w:sz="0" w:space="0" w:color="auto"/>
        <w:left w:val="none" w:sz="0" w:space="0" w:color="auto"/>
        <w:bottom w:val="none" w:sz="0" w:space="0" w:color="auto"/>
        <w:right w:val="none" w:sz="0" w:space="0" w:color="auto"/>
      </w:divBdr>
    </w:div>
    <w:div w:id="1317687447">
      <w:bodyDiv w:val="1"/>
      <w:marLeft w:val="0"/>
      <w:marRight w:val="0"/>
      <w:marTop w:val="0"/>
      <w:marBottom w:val="0"/>
      <w:divBdr>
        <w:top w:val="none" w:sz="0" w:space="0" w:color="auto"/>
        <w:left w:val="none" w:sz="0" w:space="0" w:color="auto"/>
        <w:bottom w:val="none" w:sz="0" w:space="0" w:color="auto"/>
        <w:right w:val="none" w:sz="0" w:space="0" w:color="auto"/>
      </w:divBdr>
    </w:div>
    <w:div w:id="1317996482">
      <w:bodyDiv w:val="1"/>
      <w:marLeft w:val="0"/>
      <w:marRight w:val="0"/>
      <w:marTop w:val="0"/>
      <w:marBottom w:val="0"/>
      <w:divBdr>
        <w:top w:val="none" w:sz="0" w:space="0" w:color="auto"/>
        <w:left w:val="none" w:sz="0" w:space="0" w:color="auto"/>
        <w:bottom w:val="none" w:sz="0" w:space="0" w:color="auto"/>
        <w:right w:val="none" w:sz="0" w:space="0" w:color="auto"/>
      </w:divBdr>
    </w:div>
    <w:div w:id="1319963502">
      <w:bodyDiv w:val="1"/>
      <w:marLeft w:val="0"/>
      <w:marRight w:val="0"/>
      <w:marTop w:val="0"/>
      <w:marBottom w:val="0"/>
      <w:divBdr>
        <w:top w:val="none" w:sz="0" w:space="0" w:color="auto"/>
        <w:left w:val="none" w:sz="0" w:space="0" w:color="auto"/>
        <w:bottom w:val="none" w:sz="0" w:space="0" w:color="auto"/>
        <w:right w:val="none" w:sz="0" w:space="0" w:color="auto"/>
      </w:divBdr>
    </w:div>
    <w:div w:id="1326011653">
      <w:bodyDiv w:val="1"/>
      <w:marLeft w:val="0"/>
      <w:marRight w:val="0"/>
      <w:marTop w:val="0"/>
      <w:marBottom w:val="0"/>
      <w:divBdr>
        <w:top w:val="none" w:sz="0" w:space="0" w:color="auto"/>
        <w:left w:val="none" w:sz="0" w:space="0" w:color="auto"/>
        <w:bottom w:val="none" w:sz="0" w:space="0" w:color="auto"/>
        <w:right w:val="none" w:sz="0" w:space="0" w:color="auto"/>
      </w:divBdr>
    </w:div>
    <w:div w:id="1334799570">
      <w:bodyDiv w:val="1"/>
      <w:marLeft w:val="0"/>
      <w:marRight w:val="0"/>
      <w:marTop w:val="0"/>
      <w:marBottom w:val="0"/>
      <w:divBdr>
        <w:top w:val="none" w:sz="0" w:space="0" w:color="auto"/>
        <w:left w:val="none" w:sz="0" w:space="0" w:color="auto"/>
        <w:bottom w:val="none" w:sz="0" w:space="0" w:color="auto"/>
        <w:right w:val="none" w:sz="0" w:space="0" w:color="auto"/>
      </w:divBdr>
      <w:divsChild>
        <w:div w:id="967247020">
          <w:marLeft w:val="0"/>
          <w:marRight w:val="0"/>
          <w:marTop w:val="0"/>
          <w:marBottom w:val="0"/>
          <w:divBdr>
            <w:top w:val="none" w:sz="0" w:space="0" w:color="auto"/>
            <w:left w:val="none" w:sz="0" w:space="0" w:color="auto"/>
            <w:bottom w:val="none" w:sz="0" w:space="0" w:color="auto"/>
            <w:right w:val="none" w:sz="0" w:space="0" w:color="auto"/>
          </w:divBdr>
          <w:divsChild>
            <w:div w:id="302321643">
              <w:marLeft w:val="0"/>
              <w:marRight w:val="0"/>
              <w:marTop w:val="0"/>
              <w:marBottom w:val="0"/>
              <w:divBdr>
                <w:top w:val="none" w:sz="0" w:space="0" w:color="auto"/>
                <w:left w:val="none" w:sz="0" w:space="0" w:color="auto"/>
                <w:bottom w:val="none" w:sz="0" w:space="0" w:color="auto"/>
                <w:right w:val="none" w:sz="0" w:space="0" w:color="auto"/>
              </w:divBdr>
              <w:divsChild>
                <w:div w:id="462626485">
                  <w:marLeft w:val="0"/>
                  <w:marRight w:val="0"/>
                  <w:marTop w:val="0"/>
                  <w:marBottom w:val="0"/>
                  <w:divBdr>
                    <w:top w:val="none" w:sz="0" w:space="0" w:color="auto"/>
                    <w:left w:val="none" w:sz="0" w:space="0" w:color="auto"/>
                    <w:bottom w:val="none" w:sz="0" w:space="0" w:color="auto"/>
                    <w:right w:val="none" w:sz="0" w:space="0" w:color="auto"/>
                  </w:divBdr>
                  <w:divsChild>
                    <w:div w:id="2021814204">
                      <w:marLeft w:val="0"/>
                      <w:marRight w:val="0"/>
                      <w:marTop w:val="0"/>
                      <w:marBottom w:val="0"/>
                      <w:divBdr>
                        <w:top w:val="none" w:sz="0" w:space="0" w:color="auto"/>
                        <w:left w:val="none" w:sz="0" w:space="0" w:color="auto"/>
                        <w:bottom w:val="none" w:sz="0" w:space="0" w:color="auto"/>
                        <w:right w:val="none" w:sz="0" w:space="0" w:color="auto"/>
                      </w:divBdr>
                      <w:divsChild>
                        <w:div w:id="803278592">
                          <w:marLeft w:val="0"/>
                          <w:marRight w:val="0"/>
                          <w:marTop w:val="0"/>
                          <w:marBottom w:val="0"/>
                          <w:divBdr>
                            <w:top w:val="none" w:sz="0" w:space="0" w:color="auto"/>
                            <w:left w:val="none" w:sz="0" w:space="0" w:color="auto"/>
                            <w:bottom w:val="none" w:sz="0" w:space="0" w:color="auto"/>
                            <w:right w:val="none" w:sz="0" w:space="0" w:color="auto"/>
                          </w:divBdr>
                          <w:divsChild>
                            <w:div w:id="16360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317909">
      <w:bodyDiv w:val="1"/>
      <w:marLeft w:val="0"/>
      <w:marRight w:val="0"/>
      <w:marTop w:val="0"/>
      <w:marBottom w:val="0"/>
      <w:divBdr>
        <w:top w:val="none" w:sz="0" w:space="0" w:color="auto"/>
        <w:left w:val="none" w:sz="0" w:space="0" w:color="auto"/>
        <w:bottom w:val="none" w:sz="0" w:space="0" w:color="auto"/>
        <w:right w:val="none" w:sz="0" w:space="0" w:color="auto"/>
      </w:divBdr>
    </w:div>
    <w:div w:id="1350793356">
      <w:bodyDiv w:val="1"/>
      <w:marLeft w:val="0"/>
      <w:marRight w:val="0"/>
      <w:marTop w:val="0"/>
      <w:marBottom w:val="0"/>
      <w:divBdr>
        <w:top w:val="none" w:sz="0" w:space="0" w:color="auto"/>
        <w:left w:val="none" w:sz="0" w:space="0" w:color="auto"/>
        <w:bottom w:val="none" w:sz="0" w:space="0" w:color="auto"/>
        <w:right w:val="none" w:sz="0" w:space="0" w:color="auto"/>
      </w:divBdr>
    </w:div>
    <w:div w:id="1352560950">
      <w:bodyDiv w:val="1"/>
      <w:marLeft w:val="0"/>
      <w:marRight w:val="0"/>
      <w:marTop w:val="0"/>
      <w:marBottom w:val="0"/>
      <w:divBdr>
        <w:top w:val="none" w:sz="0" w:space="0" w:color="auto"/>
        <w:left w:val="none" w:sz="0" w:space="0" w:color="auto"/>
        <w:bottom w:val="none" w:sz="0" w:space="0" w:color="auto"/>
        <w:right w:val="none" w:sz="0" w:space="0" w:color="auto"/>
      </w:divBdr>
    </w:div>
    <w:div w:id="1354915264">
      <w:bodyDiv w:val="1"/>
      <w:marLeft w:val="0"/>
      <w:marRight w:val="0"/>
      <w:marTop w:val="0"/>
      <w:marBottom w:val="0"/>
      <w:divBdr>
        <w:top w:val="none" w:sz="0" w:space="0" w:color="auto"/>
        <w:left w:val="none" w:sz="0" w:space="0" w:color="auto"/>
        <w:bottom w:val="none" w:sz="0" w:space="0" w:color="auto"/>
        <w:right w:val="none" w:sz="0" w:space="0" w:color="auto"/>
      </w:divBdr>
    </w:div>
    <w:div w:id="1359969096">
      <w:bodyDiv w:val="1"/>
      <w:marLeft w:val="0"/>
      <w:marRight w:val="0"/>
      <w:marTop w:val="0"/>
      <w:marBottom w:val="0"/>
      <w:divBdr>
        <w:top w:val="none" w:sz="0" w:space="0" w:color="auto"/>
        <w:left w:val="none" w:sz="0" w:space="0" w:color="auto"/>
        <w:bottom w:val="none" w:sz="0" w:space="0" w:color="auto"/>
        <w:right w:val="none" w:sz="0" w:space="0" w:color="auto"/>
      </w:divBdr>
    </w:div>
    <w:div w:id="1378432845">
      <w:bodyDiv w:val="1"/>
      <w:marLeft w:val="0"/>
      <w:marRight w:val="0"/>
      <w:marTop w:val="0"/>
      <w:marBottom w:val="0"/>
      <w:divBdr>
        <w:top w:val="none" w:sz="0" w:space="0" w:color="auto"/>
        <w:left w:val="none" w:sz="0" w:space="0" w:color="auto"/>
        <w:bottom w:val="none" w:sz="0" w:space="0" w:color="auto"/>
        <w:right w:val="none" w:sz="0" w:space="0" w:color="auto"/>
      </w:divBdr>
    </w:div>
    <w:div w:id="1378507542">
      <w:bodyDiv w:val="1"/>
      <w:marLeft w:val="0"/>
      <w:marRight w:val="0"/>
      <w:marTop w:val="0"/>
      <w:marBottom w:val="0"/>
      <w:divBdr>
        <w:top w:val="none" w:sz="0" w:space="0" w:color="auto"/>
        <w:left w:val="none" w:sz="0" w:space="0" w:color="auto"/>
        <w:bottom w:val="none" w:sz="0" w:space="0" w:color="auto"/>
        <w:right w:val="none" w:sz="0" w:space="0" w:color="auto"/>
      </w:divBdr>
    </w:div>
    <w:div w:id="1402827914">
      <w:bodyDiv w:val="1"/>
      <w:marLeft w:val="0"/>
      <w:marRight w:val="0"/>
      <w:marTop w:val="0"/>
      <w:marBottom w:val="0"/>
      <w:divBdr>
        <w:top w:val="none" w:sz="0" w:space="0" w:color="auto"/>
        <w:left w:val="none" w:sz="0" w:space="0" w:color="auto"/>
        <w:bottom w:val="none" w:sz="0" w:space="0" w:color="auto"/>
        <w:right w:val="none" w:sz="0" w:space="0" w:color="auto"/>
      </w:divBdr>
    </w:div>
    <w:div w:id="1417092610">
      <w:bodyDiv w:val="1"/>
      <w:marLeft w:val="0"/>
      <w:marRight w:val="0"/>
      <w:marTop w:val="0"/>
      <w:marBottom w:val="0"/>
      <w:divBdr>
        <w:top w:val="none" w:sz="0" w:space="0" w:color="auto"/>
        <w:left w:val="none" w:sz="0" w:space="0" w:color="auto"/>
        <w:bottom w:val="none" w:sz="0" w:space="0" w:color="auto"/>
        <w:right w:val="none" w:sz="0" w:space="0" w:color="auto"/>
      </w:divBdr>
    </w:div>
    <w:div w:id="1423796404">
      <w:bodyDiv w:val="1"/>
      <w:marLeft w:val="0"/>
      <w:marRight w:val="0"/>
      <w:marTop w:val="0"/>
      <w:marBottom w:val="0"/>
      <w:divBdr>
        <w:top w:val="none" w:sz="0" w:space="0" w:color="auto"/>
        <w:left w:val="none" w:sz="0" w:space="0" w:color="auto"/>
        <w:bottom w:val="none" w:sz="0" w:space="0" w:color="auto"/>
        <w:right w:val="none" w:sz="0" w:space="0" w:color="auto"/>
      </w:divBdr>
    </w:div>
    <w:div w:id="1424379504">
      <w:bodyDiv w:val="1"/>
      <w:marLeft w:val="0"/>
      <w:marRight w:val="0"/>
      <w:marTop w:val="0"/>
      <w:marBottom w:val="0"/>
      <w:divBdr>
        <w:top w:val="none" w:sz="0" w:space="0" w:color="auto"/>
        <w:left w:val="none" w:sz="0" w:space="0" w:color="auto"/>
        <w:bottom w:val="none" w:sz="0" w:space="0" w:color="auto"/>
        <w:right w:val="none" w:sz="0" w:space="0" w:color="auto"/>
      </w:divBdr>
    </w:div>
    <w:div w:id="1455489389">
      <w:bodyDiv w:val="1"/>
      <w:marLeft w:val="0"/>
      <w:marRight w:val="0"/>
      <w:marTop w:val="0"/>
      <w:marBottom w:val="0"/>
      <w:divBdr>
        <w:top w:val="none" w:sz="0" w:space="0" w:color="auto"/>
        <w:left w:val="none" w:sz="0" w:space="0" w:color="auto"/>
        <w:bottom w:val="none" w:sz="0" w:space="0" w:color="auto"/>
        <w:right w:val="none" w:sz="0" w:space="0" w:color="auto"/>
      </w:divBdr>
    </w:div>
    <w:div w:id="1457213321">
      <w:bodyDiv w:val="1"/>
      <w:marLeft w:val="0"/>
      <w:marRight w:val="0"/>
      <w:marTop w:val="0"/>
      <w:marBottom w:val="0"/>
      <w:divBdr>
        <w:top w:val="none" w:sz="0" w:space="0" w:color="auto"/>
        <w:left w:val="none" w:sz="0" w:space="0" w:color="auto"/>
        <w:bottom w:val="none" w:sz="0" w:space="0" w:color="auto"/>
        <w:right w:val="none" w:sz="0" w:space="0" w:color="auto"/>
      </w:divBdr>
    </w:div>
    <w:div w:id="1498768974">
      <w:bodyDiv w:val="1"/>
      <w:marLeft w:val="0"/>
      <w:marRight w:val="0"/>
      <w:marTop w:val="0"/>
      <w:marBottom w:val="0"/>
      <w:divBdr>
        <w:top w:val="none" w:sz="0" w:space="0" w:color="auto"/>
        <w:left w:val="none" w:sz="0" w:space="0" w:color="auto"/>
        <w:bottom w:val="none" w:sz="0" w:space="0" w:color="auto"/>
        <w:right w:val="none" w:sz="0" w:space="0" w:color="auto"/>
      </w:divBdr>
    </w:div>
    <w:div w:id="1504662114">
      <w:bodyDiv w:val="1"/>
      <w:marLeft w:val="0"/>
      <w:marRight w:val="0"/>
      <w:marTop w:val="0"/>
      <w:marBottom w:val="0"/>
      <w:divBdr>
        <w:top w:val="none" w:sz="0" w:space="0" w:color="auto"/>
        <w:left w:val="none" w:sz="0" w:space="0" w:color="auto"/>
        <w:bottom w:val="none" w:sz="0" w:space="0" w:color="auto"/>
        <w:right w:val="none" w:sz="0" w:space="0" w:color="auto"/>
      </w:divBdr>
    </w:div>
    <w:div w:id="1509178430">
      <w:bodyDiv w:val="1"/>
      <w:marLeft w:val="0"/>
      <w:marRight w:val="0"/>
      <w:marTop w:val="0"/>
      <w:marBottom w:val="0"/>
      <w:divBdr>
        <w:top w:val="none" w:sz="0" w:space="0" w:color="auto"/>
        <w:left w:val="none" w:sz="0" w:space="0" w:color="auto"/>
        <w:bottom w:val="none" w:sz="0" w:space="0" w:color="auto"/>
        <w:right w:val="none" w:sz="0" w:space="0" w:color="auto"/>
      </w:divBdr>
    </w:div>
    <w:div w:id="1533490761">
      <w:bodyDiv w:val="1"/>
      <w:marLeft w:val="0"/>
      <w:marRight w:val="0"/>
      <w:marTop w:val="0"/>
      <w:marBottom w:val="0"/>
      <w:divBdr>
        <w:top w:val="none" w:sz="0" w:space="0" w:color="auto"/>
        <w:left w:val="none" w:sz="0" w:space="0" w:color="auto"/>
        <w:bottom w:val="none" w:sz="0" w:space="0" w:color="auto"/>
        <w:right w:val="none" w:sz="0" w:space="0" w:color="auto"/>
      </w:divBdr>
    </w:div>
    <w:div w:id="1541746686">
      <w:bodyDiv w:val="1"/>
      <w:marLeft w:val="0"/>
      <w:marRight w:val="0"/>
      <w:marTop w:val="0"/>
      <w:marBottom w:val="0"/>
      <w:divBdr>
        <w:top w:val="none" w:sz="0" w:space="0" w:color="auto"/>
        <w:left w:val="none" w:sz="0" w:space="0" w:color="auto"/>
        <w:bottom w:val="none" w:sz="0" w:space="0" w:color="auto"/>
        <w:right w:val="none" w:sz="0" w:space="0" w:color="auto"/>
      </w:divBdr>
    </w:div>
    <w:div w:id="1580947801">
      <w:bodyDiv w:val="1"/>
      <w:marLeft w:val="0"/>
      <w:marRight w:val="0"/>
      <w:marTop w:val="0"/>
      <w:marBottom w:val="0"/>
      <w:divBdr>
        <w:top w:val="none" w:sz="0" w:space="0" w:color="auto"/>
        <w:left w:val="none" w:sz="0" w:space="0" w:color="auto"/>
        <w:bottom w:val="none" w:sz="0" w:space="0" w:color="auto"/>
        <w:right w:val="none" w:sz="0" w:space="0" w:color="auto"/>
      </w:divBdr>
    </w:div>
    <w:div w:id="1619986508">
      <w:bodyDiv w:val="1"/>
      <w:marLeft w:val="0"/>
      <w:marRight w:val="0"/>
      <w:marTop w:val="0"/>
      <w:marBottom w:val="0"/>
      <w:divBdr>
        <w:top w:val="none" w:sz="0" w:space="0" w:color="auto"/>
        <w:left w:val="none" w:sz="0" w:space="0" w:color="auto"/>
        <w:bottom w:val="none" w:sz="0" w:space="0" w:color="auto"/>
        <w:right w:val="none" w:sz="0" w:space="0" w:color="auto"/>
      </w:divBdr>
      <w:divsChild>
        <w:div w:id="825167385">
          <w:marLeft w:val="547"/>
          <w:marRight w:val="0"/>
          <w:marTop w:val="0"/>
          <w:marBottom w:val="0"/>
          <w:divBdr>
            <w:top w:val="none" w:sz="0" w:space="0" w:color="auto"/>
            <w:left w:val="none" w:sz="0" w:space="0" w:color="auto"/>
            <w:bottom w:val="none" w:sz="0" w:space="0" w:color="auto"/>
            <w:right w:val="none" w:sz="0" w:space="0" w:color="auto"/>
          </w:divBdr>
        </w:div>
      </w:divsChild>
    </w:div>
    <w:div w:id="1658682331">
      <w:bodyDiv w:val="1"/>
      <w:marLeft w:val="0"/>
      <w:marRight w:val="0"/>
      <w:marTop w:val="0"/>
      <w:marBottom w:val="0"/>
      <w:divBdr>
        <w:top w:val="none" w:sz="0" w:space="0" w:color="auto"/>
        <w:left w:val="none" w:sz="0" w:space="0" w:color="auto"/>
        <w:bottom w:val="none" w:sz="0" w:space="0" w:color="auto"/>
        <w:right w:val="none" w:sz="0" w:space="0" w:color="auto"/>
      </w:divBdr>
    </w:div>
    <w:div w:id="1676297092">
      <w:bodyDiv w:val="1"/>
      <w:marLeft w:val="0"/>
      <w:marRight w:val="0"/>
      <w:marTop w:val="0"/>
      <w:marBottom w:val="0"/>
      <w:divBdr>
        <w:top w:val="none" w:sz="0" w:space="0" w:color="auto"/>
        <w:left w:val="none" w:sz="0" w:space="0" w:color="auto"/>
        <w:bottom w:val="none" w:sz="0" w:space="0" w:color="auto"/>
        <w:right w:val="none" w:sz="0" w:space="0" w:color="auto"/>
      </w:divBdr>
    </w:div>
    <w:div w:id="1704744469">
      <w:bodyDiv w:val="1"/>
      <w:marLeft w:val="0"/>
      <w:marRight w:val="0"/>
      <w:marTop w:val="0"/>
      <w:marBottom w:val="0"/>
      <w:divBdr>
        <w:top w:val="none" w:sz="0" w:space="0" w:color="auto"/>
        <w:left w:val="none" w:sz="0" w:space="0" w:color="auto"/>
        <w:bottom w:val="none" w:sz="0" w:space="0" w:color="auto"/>
        <w:right w:val="none" w:sz="0" w:space="0" w:color="auto"/>
      </w:divBdr>
    </w:div>
    <w:div w:id="1715159566">
      <w:bodyDiv w:val="1"/>
      <w:marLeft w:val="0"/>
      <w:marRight w:val="0"/>
      <w:marTop w:val="0"/>
      <w:marBottom w:val="0"/>
      <w:divBdr>
        <w:top w:val="none" w:sz="0" w:space="0" w:color="auto"/>
        <w:left w:val="none" w:sz="0" w:space="0" w:color="auto"/>
        <w:bottom w:val="none" w:sz="0" w:space="0" w:color="auto"/>
        <w:right w:val="none" w:sz="0" w:space="0" w:color="auto"/>
      </w:divBdr>
    </w:div>
    <w:div w:id="1717467714">
      <w:bodyDiv w:val="1"/>
      <w:marLeft w:val="0"/>
      <w:marRight w:val="0"/>
      <w:marTop w:val="0"/>
      <w:marBottom w:val="0"/>
      <w:divBdr>
        <w:top w:val="none" w:sz="0" w:space="0" w:color="auto"/>
        <w:left w:val="none" w:sz="0" w:space="0" w:color="auto"/>
        <w:bottom w:val="none" w:sz="0" w:space="0" w:color="auto"/>
        <w:right w:val="none" w:sz="0" w:space="0" w:color="auto"/>
      </w:divBdr>
    </w:div>
    <w:div w:id="1730105363">
      <w:bodyDiv w:val="1"/>
      <w:marLeft w:val="0"/>
      <w:marRight w:val="0"/>
      <w:marTop w:val="0"/>
      <w:marBottom w:val="0"/>
      <w:divBdr>
        <w:top w:val="none" w:sz="0" w:space="0" w:color="auto"/>
        <w:left w:val="none" w:sz="0" w:space="0" w:color="auto"/>
        <w:bottom w:val="none" w:sz="0" w:space="0" w:color="auto"/>
        <w:right w:val="none" w:sz="0" w:space="0" w:color="auto"/>
      </w:divBdr>
    </w:div>
    <w:div w:id="1737165335">
      <w:bodyDiv w:val="1"/>
      <w:marLeft w:val="0"/>
      <w:marRight w:val="0"/>
      <w:marTop w:val="0"/>
      <w:marBottom w:val="0"/>
      <w:divBdr>
        <w:top w:val="none" w:sz="0" w:space="0" w:color="auto"/>
        <w:left w:val="none" w:sz="0" w:space="0" w:color="auto"/>
        <w:bottom w:val="none" w:sz="0" w:space="0" w:color="auto"/>
        <w:right w:val="none" w:sz="0" w:space="0" w:color="auto"/>
      </w:divBdr>
      <w:divsChild>
        <w:div w:id="1077559246">
          <w:marLeft w:val="0"/>
          <w:marRight w:val="0"/>
          <w:marTop w:val="0"/>
          <w:marBottom w:val="0"/>
          <w:divBdr>
            <w:top w:val="none" w:sz="0" w:space="0" w:color="auto"/>
            <w:left w:val="none" w:sz="0" w:space="0" w:color="auto"/>
            <w:bottom w:val="none" w:sz="0" w:space="0" w:color="auto"/>
            <w:right w:val="none" w:sz="0" w:space="0" w:color="auto"/>
          </w:divBdr>
          <w:divsChild>
            <w:div w:id="1508056144">
              <w:marLeft w:val="0"/>
              <w:marRight w:val="0"/>
              <w:marTop w:val="0"/>
              <w:marBottom w:val="0"/>
              <w:divBdr>
                <w:top w:val="none" w:sz="0" w:space="0" w:color="auto"/>
                <w:left w:val="none" w:sz="0" w:space="0" w:color="auto"/>
                <w:bottom w:val="none" w:sz="0" w:space="0" w:color="auto"/>
                <w:right w:val="none" w:sz="0" w:space="0" w:color="auto"/>
              </w:divBdr>
              <w:divsChild>
                <w:div w:id="953824512">
                  <w:marLeft w:val="0"/>
                  <w:marRight w:val="0"/>
                  <w:marTop w:val="0"/>
                  <w:marBottom w:val="0"/>
                  <w:divBdr>
                    <w:top w:val="none" w:sz="0" w:space="0" w:color="auto"/>
                    <w:left w:val="none" w:sz="0" w:space="0" w:color="auto"/>
                    <w:bottom w:val="none" w:sz="0" w:space="0" w:color="auto"/>
                    <w:right w:val="none" w:sz="0" w:space="0" w:color="auto"/>
                  </w:divBdr>
                  <w:divsChild>
                    <w:div w:id="711925233">
                      <w:marLeft w:val="0"/>
                      <w:marRight w:val="0"/>
                      <w:marTop w:val="0"/>
                      <w:marBottom w:val="0"/>
                      <w:divBdr>
                        <w:top w:val="none" w:sz="0" w:space="0" w:color="auto"/>
                        <w:left w:val="none" w:sz="0" w:space="0" w:color="auto"/>
                        <w:bottom w:val="none" w:sz="0" w:space="0" w:color="auto"/>
                        <w:right w:val="none" w:sz="0" w:space="0" w:color="auto"/>
                      </w:divBdr>
                      <w:divsChild>
                        <w:div w:id="1172139600">
                          <w:marLeft w:val="0"/>
                          <w:marRight w:val="0"/>
                          <w:marTop w:val="0"/>
                          <w:marBottom w:val="0"/>
                          <w:divBdr>
                            <w:top w:val="none" w:sz="0" w:space="0" w:color="auto"/>
                            <w:left w:val="none" w:sz="0" w:space="0" w:color="auto"/>
                            <w:bottom w:val="none" w:sz="0" w:space="0" w:color="auto"/>
                            <w:right w:val="none" w:sz="0" w:space="0" w:color="auto"/>
                          </w:divBdr>
                          <w:divsChild>
                            <w:div w:id="2046366243">
                              <w:marLeft w:val="0"/>
                              <w:marRight w:val="0"/>
                              <w:marTop w:val="0"/>
                              <w:marBottom w:val="0"/>
                              <w:divBdr>
                                <w:top w:val="none" w:sz="0" w:space="0" w:color="auto"/>
                                <w:left w:val="none" w:sz="0" w:space="0" w:color="auto"/>
                                <w:bottom w:val="none" w:sz="0" w:space="0" w:color="auto"/>
                                <w:right w:val="none" w:sz="0" w:space="0" w:color="auto"/>
                              </w:divBdr>
                              <w:divsChild>
                                <w:div w:id="213540487">
                                  <w:marLeft w:val="245"/>
                                  <w:marRight w:val="245"/>
                                  <w:marTop w:val="0"/>
                                  <w:marBottom w:val="0"/>
                                  <w:divBdr>
                                    <w:top w:val="none" w:sz="0" w:space="0" w:color="auto"/>
                                    <w:left w:val="none" w:sz="0" w:space="0" w:color="auto"/>
                                    <w:bottom w:val="none" w:sz="0" w:space="0" w:color="auto"/>
                                    <w:right w:val="none" w:sz="0" w:space="0" w:color="auto"/>
                                  </w:divBdr>
                                  <w:divsChild>
                                    <w:div w:id="1046375175">
                                      <w:marLeft w:val="0"/>
                                      <w:marRight w:val="0"/>
                                      <w:marTop w:val="0"/>
                                      <w:marBottom w:val="272"/>
                                      <w:divBdr>
                                        <w:top w:val="single" w:sz="6" w:space="2" w:color="E4E4E4"/>
                                        <w:left w:val="single" w:sz="6" w:space="2" w:color="E4E4E4"/>
                                        <w:bottom w:val="single" w:sz="6" w:space="2" w:color="E4E4E4"/>
                                        <w:right w:val="single" w:sz="6" w:space="2" w:color="E4E4E4"/>
                                      </w:divBdr>
                                    </w:div>
                                  </w:divsChild>
                                </w:div>
                              </w:divsChild>
                            </w:div>
                          </w:divsChild>
                        </w:div>
                      </w:divsChild>
                    </w:div>
                  </w:divsChild>
                </w:div>
              </w:divsChild>
            </w:div>
          </w:divsChild>
        </w:div>
      </w:divsChild>
    </w:div>
    <w:div w:id="1740708730">
      <w:bodyDiv w:val="1"/>
      <w:marLeft w:val="0"/>
      <w:marRight w:val="0"/>
      <w:marTop w:val="0"/>
      <w:marBottom w:val="0"/>
      <w:divBdr>
        <w:top w:val="none" w:sz="0" w:space="0" w:color="auto"/>
        <w:left w:val="none" w:sz="0" w:space="0" w:color="auto"/>
        <w:bottom w:val="none" w:sz="0" w:space="0" w:color="auto"/>
        <w:right w:val="none" w:sz="0" w:space="0" w:color="auto"/>
      </w:divBdr>
    </w:div>
    <w:div w:id="1774284053">
      <w:bodyDiv w:val="1"/>
      <w:marLeft w:val="0"/>
      <w:marRight w:val="0"/>
      <w:marTop w:val="0"/>
      <w:marBottom w:val="0"/>
      <w:divBdr>
        <w:top w:val="none" w:sz="0" w:space="0" w:color="auto"/>
        <w:left w:val="none" w:sz="0" w:space="0" w:color="auto"/>
        <w:bottom w:val="none" w:sz="0" w:space="0" w:color="auto"/>
        <w:right w:val="none" w:sz="0" w:space="0" w:color="auto"/>
      </w:divBdr>
    </w:div>
    <w:div w:id="1778791908">
      <w:bodyDiv w:val="1"/>
      <w:marLeft w:val="0"/>
      <w:marRight w:val="0"/>
      <w:marTop w:val="0"/>
      <w:marBottom w:val="0"/>
      <w:divBdr>
        <w:top w:val="none" w:sz="0" w:space="0" w:color="auto"/>
        <w:left w:val="none" w:sz="0" w:space="0" w:color="auto"/>
        <w:bottom w:val="none" w:sz="0" w:space="0" w:color="auto"/>
        <w:right w:val="none" w:sz="0" w:space="0" w:color="auto"/>
      </w:divBdr>
    </w:div>
    <w:div w:id="1804691933">
      <w:bodyDiv w:val="1"/>
      <w:marLeft w:val="0"/>
      <w:marRight w:val="0"/>
      <w:marTop w:val="0"/>
      <w:marBottom w:val="0"/>
      <w:divBdr>
        <w:top w:val="none" w:sz="0" w:space="0" w:color="auto"/>
        <w:left w:val="none" w:sz="0" w:space="0" w:color="auto"/>
        <w:bottom w:val="none" w:sz="0" w:space="0" w:color="auto"/>
        <w:right w:val="none" w:sz="0" w:space="0" w:color="auto"/>
      </w:divBdr>
    </w:div>
    <w:div w:id="1805197559">
      <w:bodyDiv w:val="1"/>
      <w:marLeft w:val="0"/>
      <w:marRight w:val="0"/>
      <w:marTop w:val="0"/>
      <w:marBottom w:val="0"/>
      <w:divBdr>
        <w:top w:val="none" w:sz="0" w:space="0" w:color="auto"/>
        <w:left w:val="none" w:sz="0" w:space="0" w:color="auto"/>
        <w:bottom w:val="none" w:sz="0" w:space="0" w:color="auto"/>
        <w:right w:val="none" w:sz="0" w:space="0" w:color="auto"/>
      </w:divBdr>
    </w:div>
    <w:div w:id="1810705201">
      <w:bodyDiv w:val="1"/>
      <w:marLeft w:val="0"/>
      <w:marRight w:val="0"/>
      <w:marTop w:val="0"/>
      <w:marBottom w:val="0"/>
      <w:divBdr>
        <w:top w:val="none" w:sz="0" w:space="0" w:color="auto"/>
        <w:left w:val="none" w:sz="0" w:space="0" w:color="auto"/>
        <w:bottom w:val="none" w:sz="0" w:space="0" w:color="auto"/>
        <w:right w:val="none" w:sz="0" w:space="0" w:color="auto"/>
      </w:divBdr>
    </w:div>
    <w:div w:id="1848444818">
      <w:bodyDiv w:val="1"/>
      <w:marLeft w:val="0"/>
      <w:marRight w:val="0"/>
      <w:marTop w:val="0"/>
      <w:marBottom w:val="0"/>
      <w:divBdr>
        <w:top w:val="none" w:sz="0" w:space="0" w:color="auto"/>
        <w:left w:val="none" w:sz="0" w:space="0" w:color="auto"/>
        <w:bottom w:val="none" w:sz="0" w:space="0" w:color="auto"/>
        <w:right w:val="none" w:sz="0" w:space="0" w:color="auto"/>
      </w:divBdr>
    </w:div>
    <w:div w:id="1871844581">
      <w:bodyDiv w:val="1"/>
      <w:marLeft w:val="0"/>
      <w:marRight w:val="0"/>
      <w:marTop w:val="0"/>
      <w:marBottom w:val="0"/>
      <w:divBdr>
        <w:top w:val="none" w:sz="0" w:space="0" w:color="auto"/>
        <w:left w:val="none" w:sz="0" w:space="0" w:color="auto"/>
        <w:bottom w:val="none" w:sz="0" w:space="0" w:color="auto"/>
        <w:right w:val="none" w:sz="0" w:space="0" w:color="auto"/>
      </w:divBdr>
    </w:div>
    <w:div w:id="1891451133">
      <w:bodyDiv w:val="1"/>
      <w:marLeft w:val="0"/>
      <w:marRight w:val="0"/>
      <w:marTop w:val="0"/>
      <w:marBottom w:val="0"/>
      <w:divBdr>
        <w:top w:val="none" w:sz="0" w:space="0" w:color="auto"/>
        <w:left w:val="none" w:sz="0" w:space="0" w:color="auto"/>
        <w:bottom w:val="none" w:sz="0" w:space="0" w:color="auto"/>
        <w:right w:val="none" w:sz="0" w:space="0" w:color="auto"/>
      </w:divBdr>
    </w:div>
    <w:div w:id="1893688470">
      <w:bodyDiv w:val="1"/>
      <w:marLeft w:val="0"/>
      <w:marRight w:val="0"/>
      <w:marTop w:val="0"/>
      <w:marBottom w:val="0"/>
      <w:divBdr>
        <w:top w:val="none" w:sz="0" w:space="0" w:color="auto"/>
        <w:left w:val="none" w:sz="0" w:space="0" w:color="auto"/>
        <w:bottom w:val="none" w:sz="0" w:space="0" w:color="auto"/>
        <w:right w:val="none" w:sz="0" w:space="0" w:color="auto"/>
      </w:divBdr>
    </w:div>
    <w:div w:id="1898659582">
      <w:bodyDiv w:val="1"/>
      <w:marLeft w:val="0"/>
      <w:marRight w:val="0"/>
      <w:marTop w:val="0"/>
      <w:marBottom w:val="0"/>
      <w:divBdr>
        <w:top w:val="none" w:sz="0" w:space="0" w:color="auto"/>
        <w:left w:val="none" w:sz="0" w:space="0" w:color="auto"/>
        <w:bottom w:val="none" w:sz="0" w:space="0" w:color="auto"/>
        <w:right w:val="none" w:sz="0" w:space="0" w:color="auto"/>
      </w:divBdr>
    </w:div>
    <w:div w:id="1904442312">
      <w:bodyDiv w:val="1"/>
      <w:marLeft w:val="0"/>
      <w:marRight w:val="0"/>
      <w:marTop w:val="0"/>
      <w:marBottom w:val="0"/>
      <w:divBdr>
        <w:top w:val="none" w:sz="0" w:space="0" w:color="auto"/>
        <w:left w:val="none" w:sz="0" w:space="0" w:color="auto"/>
        <w:bottom w:val="none" w:sz="0" w:space="0" w:color="auto"/>
        <w:right w:val="none" w:sz="0" w:space="0" w:color="auto"/>
      </w:divBdr>
      <w:divsChild>
        <w:div w:id="197939669">
          <w:marLeft w:val="1714"/>
          <w:marRight w:val="0"/>
          <w:marTop w:val="0"/>
          <w:marBottom w:val="0"/>
          <w:divBdr>
            <w:top w:val="none" w:sz="0" w:space="0" w:color="auto"/>
            <w:left w:val="none" w:sz="0" w:space="0" w:color="auto"/>
            <w:bottom w:val="none" w:sz="0" w:space="0" w:color="auto"/>
            <w:right w:val="none" w:sz="0" w:space="0" w:color="auto"/>
          </w:divBdr>
        </w:div>
        <w:div w:id="1145975754">
          <w:marLeft w:val="1714"/>
          <w:marRight w:val="0"/>
          <w:marTop w:val="0"/>
          <w:marBottom w:val="0"/>
          <w:divBdr>
            <w:top w:val="none" w:sz="0" w:space="0" w:color="auto"/>
            <w:left w:val="none" w:sz="0" w:space="0" w:color="auto"/>
            <w:bottom w:val="none" w:sz="0" w:space="0" w:color="auto"/>
            <w:right w:val="none" w:sz="0" w:space="0" w:color="auto"/>
          </w:divBdr>
        </w:div>
        <w:div w:id="1384600794">
          <w:marLeft w:val="1714"/>
          <w:marRight w:val="0"/>
          <w:marTop w:val="0"/>
          <w:marBottom w:val="0"/>
          <w:divBdr>
            <w:top w:val="none" w:sz="0" w:space="0" w:color="auto"/>
            <w:left w:val="none" w:sz="0" w:space="0" w:color="auto"/>
            <w:bottom w:val="none" w:sz="0" w:space="0" w:color="auto"/>
            <w:right w:val="none" w:sz="0" w:space="0" w:color="auto"/>
          </w:divBdr>
        </w:div>
        <w:div w:id="1582374270">
          <w:marLeft w:val="1714"/>
          <w:marRight w:val="0"/>
          <w:marTop w:val="0"/>
          <w:marBottom w:val="0"/>
          <w:divBdr>
            <w:top w:val="none" w:sz="0" w:space="0" w:color="auto"/>
            <w:left w:val="none" w:sz="0" w:space="0" w:color="auto"/>
            <w:bottom w:val="none" w:sz="0" w:space="0" w:color="auto"/>
            <w:right w:val="none" w:sz="0" w:space="0" w:color="auto"/>
          </w:divBdr>
        </w:div>
      </w:divsChild>
    </w:div>
    <w:div w:id="1918241770">
      <w:bodyDiv w:val="1"/>
      <w:marLeft w:val="0"/>
      <w:marRight w:val="0"/>
      <w:marTop w:val="0"/>
      <w:marBottom w:val="0"/>
      <w:divBdr>
        <w:top w:val="none" w:sz="0" w:space="0" w:color="auto"/>
        <w:left w:val="none" w:sz="0" w:space="0" w:color="auto"/>
        <w:bottom w:val="none" w:sz="0" w:space="0" w:color="auto"/>
        <w:right w:val="none" w:sz="0" w:space="0" w:color="auto"/>
      </w:divBdr>
    </w:div>
    <w:div w:id="1920021984">
      <w:bodyDiv w:val="1"/>
      <w:marLeft w:val="0"/>
      <w:marRight w:val="0"/>
      <w:marTop w:val="0"/>
      <w:marBottom w:val="0"/>
      <w:divBdr>
        <w:top w:val="none" w:sz="0" w:space="0" w:color="auto"/>
        <w:left w:val="none" w:sz="0" w:space="0" w:color="auto"/>
        <w:bottom w:val="none" w:sz="0" w:space="0" w:color="auto"/>
        <w:right w:val="none" w:sz="0" w:space="0" w:color="auto"/>
      </w:divBdr>
    </w:div>
    <w:div w:id="1924220647">
      <w:bodyDiv w:val="1"/>
      <w:marLeft w:val="0"/>
      <w:marRight w:val="0"/>
      <w:marTop w:val="0"/>
      <w:marBottom w:val="0"/>
      <w:divBdr>
        <w:top w:val="none" w:sz="0" w:space="0" w:color="auto"/>
        <w:left w:val="none" w:sz="0" w:space="0" w:color="auto"/>
        <w:bottom w:val="none" w:sz="0" w:space="0" w:color="auto"/>
        <w:right w:val="none" w:sz="0" w:space="0" w:color="auto"/>
      </w:divBdr>
    </w:div>
    <w:div w:id="1924759346">
      <w:bodyDiv w:val="1"/>
      <w:marLeft w:val="0"/>
      <w:marRight w:val="0"/>
      <w:marTop w:val="0"/>
      <w:marBottom w:val="0"/>
      <w:divBdr>
        <w:top w:val="none" w:sz="0" w:space="0" w:color="auto"/>
        <w:left w:val="none" w:sz="0" w:space="0" w:color="auto"/>
        <w:bottom w:val="none" w:sz="0" w:space="0" w:color="auto"/>
        <w:right w:val="none" w:sz="0" w:space="0" w:color="auto"/>
      </w:divBdr>
    </w:div>
    <w:div w:id="1928466057">
      <w:bodyDiv w:val="1"/>
      <w:marLeft w:val="0"/>
      <w:marRight w:val="0"/>
      <w:marTop w:val="0"/>
      <w:marBottom w:val="0"/>
      <w:divBdr>
        <w:top w:val="none" w:sz="0" w:space="0" w:color="auto"/>
        <w:left w:val="none" w:sz="0" w:space="0" w:color="auto"/>
        <w:bottom w:val="none" w:sz="0" w:space="0" w:color="auto"/>
        <w:right w:val="none" w:sz="0" w:space="0" w:color="auto"/>
      </w:divBdr>
    </w:div>
    <w:div w:id="1946038081">
      <w:bodyDiv w:val="1"/>
      <w:marLeft w:val="0"/>
      <w:marRight w:val="0"/>
      <w:marTop w:val="0"/>
      <w:marBottom w:val="0"/>
      <w:divBdr>
        <w:top w:val="none" w:sz="0" w:space="0" w:color="auto"/>
        <w:left w:val="none" w:sz="0" w:space="0" w:color="auto"/>
        <w:bottom w:val="none" w:sz="0" w:space="0" w:color="auto"/>
        <w:right w:val="none" w:sz="0" w:space="0" w:color="auto"/>
      </w:divBdr>
    </w:div>
    <w:div w:id="1955674518">
      <w:bodyDiv w:val="1"/>
      <w:marLeft w:val="0"/>
      <w:marRight w:val="0"/>
      <w:marTop w:val="0"/>
      <w:marBottom w:val="0"/>
      <w:divBdr>
        <w:top w:val="none" w:sz="0" w:space="0" w:color="auto"/>
        <w:left w:val="none" w:sz="0" w:space="0" w:color="auto"/>
        <w:bottom w:val="none" w:sz="0" w:space="0" w:color="auto"/>
        <w:right w:val="none" w:sz="0" w:space="0" w:color="auto"/>
      </w:divBdr>
    </w:div>
    <w:div w:id="1977493947">
      <w:bodyDiv w:val="1"/>
      <w:marLeft w:val="0"/>
      <w:marRight w:val="0"/>
      <w:marTop w:val="0"/>
      <w:marBottom w:val="0"/>
      <w:divBdr>
        <w:top w:val="none" w:sz="0" w:space="0" w:color="auto"/>
        <w:left w:val="none" w:sz="0" w:space="0" w:color="auto"/>
        <w:bottom w:val="none" w:sz="0" w:space="0" w:color="auto"/>
        <w:right w:val="none" w:sz="0" w:space="0" w:color="auto"/>
      </w:divBdr>
    </w:div>
    <w:div w:id="1988782480">
      <w:bodyDiv w:val="1"/>
      <w:marLeft w:val="0"/>
      <w:marRight w:val="0"/>
      <w:marTop w:val="0"/>
      <w:marBottom w:val="0"/>
      <w:divBdr>
        <w:top w:val="none" w:sz="0" w:space="0" w:color="auto"/>
        <w:left w:val="none" w:sz="0" w:space="0" w:color="auto"/>
        <w:bottom w:val="none" w:sz="0" w:space="0" w:color="auto"/>
        <w:right w:val="none" w:sz="0" w:space="0" w:color="auto"/>
      </w:divBdr>
    </w:div>
    <w:div w:id="2006468118">
      <w:bodyDiv w:val="1"/>
      <w:marLeft w:val="0"/>
      <w:marRight w:val="0"/>
      <w:marTop w:val="0"/>
      <w:marBottom w:val="0"/>
      <w:divBdr>
        <w:top w:val="none" w:sz="0" w:space="0" w:color="auto"/>
        <w:left w:val="none" w:sz="0" w:space="0" w:color="auto"/>
        <w:bottom w:val="none" w:sz="0" w:space="0" w:color="auto"/>
        <w:right w:val="none" w:sz="0" w:space="0" w:color="auto"/>
      </w:divBdr>
    </w:div>
    <w:div w:id="2023822924">
      <w:bodyDiv w:val="1"/>
      <w:marLeft w:val="0"/>
      <w:marRight w:val="0"/>
      <w:marTop w:val="0"/>
      <w:marBottom w:val="0"/>
      <w:divBdr>
        <w:top w:val="none" w:sz="0" w:space="0" w:color="auto"/>
        <w:left w:val="none" w:sz="0" w:space="0" w:color="auto"/>
        <w:bottom w:val="none" w:sz="0" w:space="0" w:color="auto"/>
        <w:right w:val="none" w:sz="0" w:space="0" w:color="auto"/>
      </w:divBdr>
    </w:div>
    <w:div w:id="2026857671">
      <w:bodyDiv w:val="1"/>
      <w:marLeft w:val="0"/>
      <w:marRight w:val="0"/>
      <w:marTop w:val="0"/>
      <w:marBottom w:val="0"/>
      <w:divBdr>
        <w:top w:val="none" w:sz="0" w:space="0" w:color="auto"/>
        <w:left w:val="none" w:sz="0" w:space="0" w:color="auto"/>
        <w:bottom w:val="none" w:sz="0" w:space="0" w:color="auto"/>
        <w:right w:val="none" w:sz="0" w:space="0" w:color="auto"/>
      </w:divBdr>
      <w:divsChild>
        <w:div w:id="1450737349">
          <w:marLeft w:val="0"/>
          <w:marRight w:val="0"/>
          <w:marTop w:val="0"/>
          <w:marBottom w:val="0"/>
          <w:divBdr>
            <w:top w:val="none" w:sz="0" w:space="0" w:color="auto"/>
            <w:left w:val="none" w:sz="0" w:space="0" w:color="auto"/>
            <w:bottom w:val="none" w:sz="0" w:space="0" w:color="auto"/>
            <w:right w:val="none" w:sz="0" w:space="0" w:color="auto"/>
          </w:divBdr>
          <w:divsChild>
            <w:div w:id="273439242">
              <w:marLeft w:val="0"/>
              <w:marRight w:val="0"/>
              <w:marTop w:val="0"/>
              <w:marBottom w:val="0"/>
              <w:divBdr>
                <w:top w:val="none" w:sz="0" w:space="0" w:color="auto"/>
                <w:left w:val="none" w:sz="0" w:space="0" w:color="auto"/>
                <w:bottom w:val="none" w:sz="0" w:space="0" w:color="auto"/>
                <w:right w:val="none" w:sz="0" w:space="0" w:color="auto"/>
              </w:divBdr>
              <w:divsChild>
                <w:div w:id="1384331482">
                  <w:marLeft w:val="0"/>
                  <w:marRight w:val="0"/>
                  <w:marTop w:val="0"/>
                  <w:marBottom w:val="0"/>
                  <w:divBdr>
                    <w:top w:val="none" w:sz="0" w:space="0" w:color="auto"/>
                    <w:left w:val="none" w:sz="0" w:space="0" w:color="auto"/>
                    <w:bottom w:val="none" w:sz="0" w:space="0" w:color="auto"/>
                    <w:right w:val="none" w:sz="0" w:space="0" w:color="auto"/>
                  </w:divBdr>
                  <w:divsChild>
                    <w:div w:id="1702365737">
                      <w:marLeft w:val="0"/>
                      <w:marRight w:val="0"/>
                      <w:marTop w:val="0"/>
                      <w:marBottom w:val="0"/>
                      <w:divBdr>
                        <w:top w:val="none" w:sz="0" w:space="0" w:color="auto"/>
                        <w:left w:val="none" w:sz="0" w:space="0" w:color="auto"/>
                        <w:bottom w:val="none" w:sz="0" w:space="0" w:color="auto"/>
                        <w:right w:val="none" w:sz="0" w:space="0" w:color="auto"/>
                      </w:divBdr>
                      <w:divsChild>
                        <w:div w:id="472328895">
                          <w:marLeft w:val="0"/>
                          <w:marRight w:val="0"/>
                          <w:marTop w:val="0"/>
                          <w:marBottom w:val="0"/>
                          <w:divBdr>
                            <w:top w:val="none" w:sz="0" w:space="0" w:color="auto"/>
                            <w:left w:val="none" w:sz="0" w:space="0" w:color="auto"/>
                            <w:bottom w:val="none" w:sz="0" w:space="0" w:color="auto"/>
                            <w:right w:val="none" w:sz="0" w:space="0" w:color="auto"/>
                          </w:divBdr>
                          <w:divsChild>
                            <w:div w:id="566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141260">
      <w:bodyDiv w:val="1"/>
      <w:marLeft w:val="0"/>
      <w:marRight w:val="0"/>
      <w:marTop w:val="0"/>
      <w:marBottom w:val="0"/>
      <w:divBdr>
        <w:top w:val="none" w:sz="0" w:space="0" w:color="auto"/>
        <w:left w:val="none" w:sz="0" w:space="0" w:color="auto"/>
        <w:bottom w:val="none" w:sz="0" w:space="0" w:color="auto"/>
        <w:right w:val="none" w:sz="0" w:space="0" w:color="auto"/>
      </w:divBdr>
      <w:divsChild>
        <w:div w:id="1487355343">
          <w:marLeft w:val="15"/>
          <w:marRight w:val="15"/>
          <w:marTop w:val="15"/>
          <w:marBottom w:val="15"/>
          <w:divBdr>
            <w:top w:val="single" w:sz="6" w:space="2" w:color="5F7431"/>
            <w:left w:val="single" w:sz="6" w:space="2" w:color="5F7431"/>
            <w:bottom w:val="single" w:sz="6" w:space="2" w:color="5F7431"/>
            <w:right w:val="single" w:sz="6" w:space="2" w:color="5F7431"/>
          </w:divBdr>
        </w:div>
      </w:divsChild>
    </w:div>
    <w:div w:id="2036692250">
      <w:bodyDiv w:val="1"/>
      <w:marLeft w:val="0"/>
      <w:marRight w:val="0"/>
      <w:marTop w:val="0"/>
      <w:marBottom w:val="0"/>
      <w:divBdr>
        <w:top w:val="none" w:sz="0" w:space="0" w:color="auto"/>
        <w:left w:val="none" w:sz="0" w:space="0" w:color="auto"/>
        <w:bottom w:val="none" w:sz="0" w:space="0" w:color="auto"/>
        <w:right w:val="none" w:sz="0" w:space="0" w:color="auto"/>
      </w:divBdr>
    </w:div>
    <w:div w:id="2039116536">
      <w:bodyDiv w:val="1"/>
      <w:marLeft w:val="0"/>
      <w:marRight w:val="0"/>
      <w:marTop w:val="0"/>
      <w:marBottom w:val="0"/>
      <w:divBdr>
        <w:top w:val="none" w:sz="0" w:space="0" w:color="auto"/>
        <w:left w:val="none" w:sz="0" w:space="0" w:color="auto"/>
        <w:bottom w:val="none" w:sz="0" w:space="0" w:color="auto"/>
        <w:right w:val="none" w:sz="0" w:space="0" w:color="auto"/>
      </w:divBdr>
    </w:div>
    <w:div w:id="2042390200">
      <w:bodyDiv w:val="1"/>
      <w:marLeft w:val="0"/>
      <w:marRight w:val="0"/>
      <w:marTop w:val="0"/>
      <w:marBottom w:val="0"/>
      <w:divBdr>
        <w:top w:val="none" w:sz="0" w:space="0" w:color="auto"/>
        <w:left w:val="none" w:sz="0" w:space="0" w:color="auto"/>
        <w:bottom w:val="none" w:sz="0" w:space="0" w:color="auto"/>
        <w:right w:val="none" w:sz="0" w:space="0" w:color="auto"/>
      </w:divBdr>
    </w:div>
    <w:div w:id="2050687928">
      <w:bodyDiv w:val="1"/>
      <w:marLeft w:val="0"/>
      <w:marRight w:val="0"/>
      <w:marTop w:val="0"/>
      <w:marBottom w:val="0"/>
      <w:divBdr>
        <w:top w:val="none" w:sz="0" w:space="0" w:color="auto"/>
        <w:left w:val="none" w:sz="0" w:space="0" w:color="auto"/>
        <w:bottom w:val="none" w:sz="0" w:space="0" w:color="auto"/>
        <w:right w:val="none" w:sz="0" w:space="0" w:color="auto"/>
      </w:divBdr>
    </w:div>
    <w:div w:id="2076850058">
      <w:bodyDiv w:val="1"/>
      <w:marLeft w:val="0"/>
      <w:marRight w:val="0"/>
      <w:marTop w:val="0"/>
      <w:marBottom w:val="0"/>
      <w:divBdr>
        <w:top w:val="none" w:sz="0" w:space="0" w:color="auto"/>
        <w:left w:val="none" w:sz="0" w:space="0" w:color="auto"/>
        <w:bottom w:val="none" w:sz="0" w:space="0" w:color="auto"/>
        <w:right w:val="none" w:sz="0" w:space="0" w:color="auto"/>
      </w:divBdr>
    </w:div>
    <w:div w:id="2081174592">
      <w:bodyDiv w:val="1"/>
      <w:marLeft w:val="0"/>
      <w:marRight w:val="0"/>
      <w:marTop w:val="0"/>
      <w:marBottom w:val="0"/>
      <w:divBdr>
        <w:top w:val="none" w:sz="0" w:space="0" w:color="auto"/>
        <w:left w:val="none" w:sz="0" w:space="0" w:color="auto"/>
        <w:bottom w:val="none" w:sz="0" w:space="0" w:color="auto"/>
        <w:right w:val="none" w:sz="0" w:space="0" w:color="auto"/>
      </w:divBdr>
    </w:div>
    <w:div w:id="2102985607">
      <w:bodyDiv w:val="1"/>
      <w:marLeft w:val="0"/>
      <w:marRight w:val="0"/>
      <w:marTop w:val="0"/>
      <w:marBottom w:val="0"/>
      <w:divBdr>
        <w:top w:val="none" w:sz="0" w:space="0" w:color="auto"/>
        <w:left w:val="none" w:sz="0" w:space="0" w:color="auto"/>
        <w:bottom w:val="none" w:sz="0" w:space="0" w:color="auto"/>
        <w:right w:val="none" w:sz="0" w:space="0" w:color="auto"/>
      </w:divBdr>
    </w:div>
    <w:div w:id="2111928956">
      <w:bodyDiv w:val="1"/>
      <w:marLeft w:val="0"/>
      <w:marRight w:val="0"/>
      <w:marTop w:val="0"/>
      <w:marBottom w:val="0"/>
      <w:divBdr>
        <w:top w:val="none" w:sz="0" w:space="0" w:color="auto"/>
        <w:left w:val="none" w:sz="0" w:space="0" w:color="auto"/>
        <w:bottom w:val="none" w:sz="0" w:space="0" w:color="auto"/>
        <w:right w:val="none" w:sz="0" w:space="0" w:color="auto"/>
      </w:divBdr>
    </w:div>
    <w:div w:id="2121021370">
      <w:bodyDiv w:val="1"/>
      <w:marLeft w:val="0"/>
      <w:marRight w:val="0"/>
      <w:marTop w:val="0"/>
      <w:marBottom w:val="0"/>
      <w:divBdr>
        <w:top w:val="none" w:sz="0" w:space="0" w:color="auto"/>
        <w:left w:val="none" w:sz="0" w:space="0" w:color="auto"/>
        <w:bottom w:val="none" w:sz="0" w:space="0" w:color="auto"/>
        <w:right w:val="none" w:sz="0" w:space="0" w:color="auto"/>
      </w:divBdr>
    </w:div>
    <w:div w:id="2126075840">
      <w:bodyDiv w:val="1"/>
      <w:marLeft w:val="0"/>
      <w:marRight w:val="0"/>
      <w:marTop w:val="0"/>
      <w:marBottom w:val="0"/>
      <w:divBdr>
        <w:top w:val="none" w:sz="0" w:space="0" w:color="auto"/>
        <w:left w:val="none" w:sz="0" w:space="0" w:color="auto"/>
        <w:bottom w:val="none" w:sz="0" w:space="0" w:color="auto"/>
        <w:right w:val="none" w:sz="0" w:space="0" w:color="auto"/>
      </w:divBdr>
    </w:div>
    <w:div w:id="2126150456">
      <w:bodyDiv w:val="1"/>
      <w:marLeft w:val="0"/>
      <w:marRight w:val="0"/>
      <w:marTop w:val="0"/>
      <w:marBottom w:val="0"/>
      <w:divBdr>
        <w:top w:val="none" w:sz="0" w:space="0" w:color="auto"/>
        <w:left w:val="none" w:sz="0" w:space="0" w:color="auto"/>
        <w:bottom w:val="none" w:sz="0" w:space="0" w:color="auto"/>
        <w:right w:val="none" w:sz="0" w:space="0" w:color="auto"/>
      </w:divBdr>
    </w:div>
    <w:div w:id="214592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header" Target="header6.xml" Id="rId18" /><Relationship Type="http://schemas.openxmlformats.org/officeDocument/2006/relationships/header" Target="header14.xml" Id="rId26" /><Relationship Type="http://schemas.openxmlformats.org/officeDocument/2006/relationships/styles" Target="styles.xml" Id="rId3" /><Relationship Type="http://schemas.openxmlformats.org/officeDocument/2006/relationships/header" Target="header9.xml" Id="rId21"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header" Target="header13.xml" Id="rId25"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header" Target="header8.xml" Id="rId20" /><Relationship Type="http://schemas.openxmlformats.org/officeDocument/2006/relationships/header" Target="header17.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header" Target="header12.xml" Id="rId24" /><Relationship Type="http://schemas.openxmlformats.org/officeDocument/2006/relationships/theme" Target="theme/theme1.xml" Id="rId32"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1.xml" Id="rId23" /><Relationship Type="http://schemas.openxmlformats.org/officeDocument/2006/relationships/header" Target="header16.xml" Id="rId28" /><Relationship Type="http://schemas.openxmlformats.org/officeDocument/2006/relationships/header" Target="header1.xml" Id="rId10" /><Relationship Type="http://schemas.openxmlformats.org/officeDocument/2006/relationships/header" Target="header7.xml" Id="rId19" /><Relationship Type="http://schemas.openxmlformats.org/officeDocument/2006/relationships/fontTable" Target="fontTable.xml" Id="rId31" /><Relationship Type="http://schemas.openxmlformats.org/officeDocument/2006/relationships/settings" Target="settings.xml" Id="rId4" /><Relationship Type="http://schemas.openxmlformats.org/officeDocument/2006/relationships/hyperlink" Target="https://www.fca.org.uk/contact" TargetMode="External" Id="rId9" /><Relationship Type="http://schemas.openxmlformats.org/officeDocument/2006/relationships/header" Target="header3.xml" Id="rId14" /><Relationship Type="http://schemas.openxmlformats.org/officeDocument/2006/relationships/header" Target="header10.xml" Id="rId22" /><Relationship Type="http://schemas.openxmlformats.org/officeDocument/2006/relationships/header" Target="header15.xml" Id="rId27" /><Relationship Type="http://schemas.openxmlformats.org/officeDocument/2006/relationships/header" Target="header18.xml" Id="rId30"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8"?>
<properties xmlns="http://www.imanage.com/work/xmlschema">
  <documentid>Legal02!114073603.1</documentid>
  <senderid>JCR01</senderid>
  <senderemail>JOHN.REED@UK.GOWLINGWLG.COM</senderemail>
  <lastmodified>2025-02-20T09:15:00.0000000+00:00</lastmodified>
  <database>Legal02</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7A1817A-87FF-48C6-B25D-B0EC17331EB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Company/>
  <ap:Pages>110</ap:Pages>
  <ap:Words>61353</ap:Words>
  <ap:Characters>326818</ap:Characters>
  <ap:Application>Microsoft Office Word</ap:Application>
  <ap:DocSecurity>0</ap:DocSecurity>
  <ap:Lines>2723</ap:Lines>
  <ap:Paragraphs>774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387397</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tikitDocRef">
    <vt:lpwstr>LEGAL02#114073603v1[JCR01]</vt:lpwstr>
  </op:property>
</op:Properties>
</file>